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DC3F8" w14:textId="77777777" w:rsidR="00E940AE" w:rsidRPr="00E940AE" w:rsidRDefault="00E940AE" w:rsidP="00E940AE">
      <w:pPr>
        <w:rPr>
          <w:b/>
          <w:bCs/>
          <w:noProof/>
          <w:sz w:val="48"/>
          <w:szCs w:val="48"/>
        </w:rPr>
      </w:pPr>
      <w:r w:rsidRPr="00E940AE">
        <w:rPr>
          <w:b/>
          <w:bCs/>
          <w:noProof/>
          <w:sz w:val="48"/>
          <w:szCs w:val="48"/>
        </w:rPr>
        <w:t>Univarite Analysis</w:t>
      </w:r>
    </w:p>
    <w:p w14:paraId="129CA882" w14:textId="23754EFE" w:rsidR="00204F40" w:rsidRDefault="00D071B0">
      <w:r>
        <w:rPr>
          <w:noProof/>
        </w:rPr>
        <w:drawing>
          <wp:inline distT="0" distB="0" distL="0" distR="0" wp14:anchorId="489C3450" wp14:editId="34ADDABC">
            <wp:extent cx="5181600" cy="3828914"/>
            <wp:effectExtent l="0" t="0" r="0" b="635"/>
            <wp:docPr id="14260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073" cy="3830741"/>
                    </a:xfrm>
                    <a:prstGeom prst="rect">
                      <a:avLst/>
                    </a:prstGeom>
                    <a:noFill/>
                    <a:ln>
                      <a:noFill/>
                    </a:ln>
                  </pic:spPr>
                </pic:pic>
              </a:graphicData>
            </a:graphic>
          </wp:inline>
        </w:drawing>
      </w:r>
    </w:p>
    <w:p w14:paraId="79F53D22" w14:textId="19C82812" w:rsidR="001F72A2" w:rsidRPr="001F72A2" w:rsidRDefault="001F72A2">
      <w:pPr>
        <w:rPr>
          <w:sz w:val="28"/>
          <w:szCs w:val="28"/>
        </w:rPr>
      </w:pPr>
      <w:r w:rsidRPr="001F72A2">
        <w:rPr>
          <w:sz w:val="28"/>
          <w:szCs w:val="28"/>
        </w:rPr>
        <w:t>The diagram shows the distribution of ssc_p (likely student scores):</w:t>
      </w:r>
    </w:p>
    <w:p w14:paraId="496305A0" w14:textId="77777777" w:rsidR="0013298C" w:rsidRPr="0013298C" w:rsidRDefault="0013298C" w:rsidP="0013298C">
      <w:pPr>
        <w:numPr>
          <w:ilvl w:val="0"/>
          <w:numId w:val="1"/>
        </w:numPr>
        <w:rPr>
          <w:sz w:val="28"/>
          <w:szCs w:val="28"/>
        </w:rPr>
      </w:pPr>
      <w:r w:rsidRPr="0013298C">
        <w:rPr>
          <w:b/>
          <w:bCs/>
          <w:sz w:val="28"/>
          <w:szCs w:val="28"/>
        </w:rPr>
        <w:t>Blue Histogram</w:t>
      </w:r>
      <w:r w:rsidRPr="0013298C">
        <w:rPr>
          <w:sz w:val="28"/>
          <w:szCs w:val="28"/>
        </w:rPr>
        <w:t>: Represents the frequency of scores. Most students scored between 60-70%, shown by the tallest bar.</w:t>
      </w:r>
    </w:p>
    <w:p w14:paraId="76DBB538" w14:textId="77777777" w:rsidR="0013298C" w:rsidRPr="0013298C" w:rsidRDefault="0013298C" w:rsidP="0013298C">
      <w:pPr>
        <w:numPr>
          <w:ilvl w:val="0"/>
          <w:numId w:val="1"/>
        </w:numPr>
        <w:rPr>
          <w:sz w:val="28"/>
          <w:szCs w:val="28"/>
        </w:rPr>
      </w:pPr>
      <w:r w:rsidRPr="0013298C">
        <w:rPr>
          <w:b/>
          <w:bCs/>
          <w:sz w:val="28"/>
          <w:szCs w:val="28"/>
        </w:rPr>
        <w:t>Red KDE Curve</w:t>
      </w:r>
      <w:r w:rsidRPr="0013298C">
        <w:rPr>
          <w:sz w:val="28"/>
          <w:szCs w:val="28"/>
        </w:rPr>
        <w:t>: Smoothly estimates the probability of scores. The peak at 60-65% confirms that this range is the most common. The curve tapers off, indicating fewer students with very low or very high scores.</w:t>
      </w:r>
    </w:p>
    <w:p w14:paraId="65C42D56" w14:textId="77777777" w:rsidR="0013298C" w:rsidRDefault="0013298C" w:rsidP="0013298C">
      <w:pPr>
        <w:rPr>
          <w:sz w:val="28"/>
          <w:szCs w:val="28"/>
        </w:rPr>
      </w:pPr>
      <w:r w:rsidRPr="0013298C">
        <w:rPr>
          <w:sz w:val="28"/>
          <w:szCs w:val="28"/>
        </w:rPr>
        <w:t>Together, the histogram and KDE show a normal-like distribution, with most scores around the middle (60-70%).</w:t>
      </w:r>
    </w:p>
    <w:p w14:paraId="63DDABC0" w14:textId="77777777" w:rsidR="000A24F9" w:rsidRDefault="000A24F9" w:rsidP="00B66368">
      <w:pPr>
        <w:rPr>
          <w:b/>
          <w:bCs/>
          <w:sz w:val="48"/>
          <w:szCs w:val="48"/>
        </w:rPr>
      </w:pPr>
    </w:p>
    <w:p w14:paraId="4F5C938A" w14:textId="77777777" w:rsidR="000A24F9" w:rsidRDefault="000A24F9" w:rsidP="00B66368">
      <w:pPr>
        <w:rPr>
          <w:b/>
          <w:bCs/>
          <w:sz w:val="48"/>
          <w:szCs w:val="48"/>
        </w:rPr>
      </w:pPr>
    </w:p>
    <w:p w14:paraId="4727868A" w14:textId="77777777" w:rsidR="000A24F9" w:rsidRDefault="000A24F9" w:rsidP="00B66368">
      <w:pPr>
        <w:rPr>
          <w:b/>
          <w:bCs/>
          <w:sz w:val="48"/>
          <w:szCs w:val="48"/>
        </w:rPr>
      </w:pPr>
    </w:p>
    <w:p w14:paraId="788E0A09" w14:textId="77777777" w:rsidR="000A24F9" w:rsidRDefault="000A24F9" w:rsidP="00B66368">
      <w:pPr>
        <w:rPr>
          <w:b/>
          <w:bCs/>
          <w:sz w:val="48"/>
          <w:szCs w:val="48"/>
        </w:rPr>
      </w:pPr>
    </w:p>
    <w:p w14:paraId="3E0FFC22" w14:textId="658222F2" w:rsidR="00B66368" w:rsidRPr="00B66368" w:rsidRDefault="00B66368" w:rsidP="00B66368">
      <w:pPr>
        <w:rPr>
          <w:b/>
          <w:bCs/>
          <w:sz w:val="28"/>
          <w:szCs w:val="28"/>
        </w:rPr>
      </w:pPr>
      <w:r w:rsidRPr="00B66368">
        <w:rPr>
          <w:b/>
          <w:bCs/>
          <w:sz w:val="48"/>
          <w:szCs w:val="48"/>
        </w:rPr>
        <w:lastRenderedPageBreak/>
        <w:t>Bivari</w:t>
      </w:r>
      <w:r w:rsidRPr="00B85071">
        <w:rPr>
          <w:b/>
          <w:bCs/>
          <w:sz w:val="48"/>
          <w:szCs w:val="48"/>
        </w:rPr>
        <w:t>a</w:t>
      </w:r>
      <w:r w:rsidRPr="00B66368">
        <w:rPr>
          <w:b/>
          <w:bCs/>
          <w:sz w:val="48"/>
          <w:szCs w:val="48"/>
        </w:rPr>
        <w:t>te Analysis : Distribution Plot</w:t>
      </w:r>
    </w:p>
    <w:p w14:paraId="1437D2EB" w14:textId="5104C88E" w:rsidR="00B66368" w:rsidRPr="0013298C" w:rsidRDefault="000A24F9" w:rsidP="0013298C">
      <w:pPr>
        <w:rPr>
          <w:sz w:val="28"/>
          <w:szCs w:val="28"/>
        </w:rPr>
      </w:pPr>
      <w:r>
        <w:rPr>
          <w:noProof/>
        </w:rPr>
        <w:drawing>
          <wp:inline distT="0" distB="0" distL="0" distR="0" wp14:anchorId="136B74F4" wp14:editId="58B5C99F">
            <wp:extent cx="5669915" cy="5396865"/>
            <wp:effectExtent l="0" t="0" r="6985" b="0"/>
            <wp:docPr id="1996409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915" cy="5396865"/>
                    </a:xfrm>
                    <a:prstGeom prst="rect">
                      <a:avLst/>
                    </a:prstGeom>
                    <a:noFill/>
                    <a:ln>
                      <a:noFill/>
                    </a:ln>
                  </pic:spPr>
                </pic:pic>
              </a:graphicData>
            </a:graphic>
          </wp:inline>
        </w:drawing>
      </w:r>
    </w:p>
    <w:p w14:paraId="2F1D8D36" w14:textId="77777777" w:rsidR="0013298C" w:rsidRDefault="0013298C"/>
    <w:p w14:paraId="47A88D3E" w14:textId="77777777" w:rsidR="00D91DE3" w:rsidRPr="00D91DE3" w:rsidRDefault="00D91DE3" w:rsidP="00D91DE3">
      <w:pPr>
        <w:rPr>
          <w:sz w:val="24"/>
          <w:szCs w:val="24"/>
        </w:rPr>
      </w:pPr>
      <w:r w:rsidRPr="00D91DE3">
        <w:rPr>
          <w:sz w:val="24"/>
          <w:szCs w:val="24"/>
        </w:rPr>
        <w:t xml:space="preserve">This diagram is a </w:t>
      </w:r>
      <w:r w:rsidRPr="00D91DE3">
        <w:rPr>
          <w:b/>
          <w:bCs/>
          <w:sz w:val="24"/>
          <w:szCs w:val="24"/>
        </w:rPr>
        <w:t>scatter plot</w:t>
      </w:r>
      <w:r w:rsidRPr="00D91DE3">
        <w:rPr>
          <w:sz w:val="24"/>
          <w:szCs w:val="24"/>
        </w:rPr>
        <w:t xml:space="preserve"> of ssc_p (secondary school percentage) versus salary, with </w:t>
      </w:r>
      <w:r w:rsidRPr="00D91DE3">
        <w:rPr>
          <w:b/>
          <w:bCs/>
          <w:sz w:val="24"/>
          <w:szCs w:val="24"/>
        </w:rPr>
        <w:t>marginal histograms</w:t>
      </w:r>
      <w:r w:rsidRPr="00D91DE3">
        <w:rPr>
          <w:sz w:val="24"/>
          <w:szCs w:val="24"/>
        </w:rPr>
        <w:t xml:space="preserve"> for both variables:</w:t>
      </w:r>
    </w:p>
    <w:p w14:paraId="283F5C17" w14:textId="77777777" w:rsidR="00D91DE3" w:rsidRPr="00D91DE3" w:rsidRDefault="00D91DE3" w:rsidP="00D91DE3">
      <w:pPr>
        <w:numPr>
          <w:ilvl w:val="0"/>
          <w:numId w:val="2"/>
        </w:numPr>
        <w:rPr>
          <w:sz w:val="24"/>
          <w:szCs w:val="24"/>
        </w:rPr>
      </w:pPr>
      <w:r w:rsidRPr="00D91DE3">
        <w:rPr>
          <w:b/>
          <w:bCs/>
          <w:sz w:val="24"/>
          <w:szCs w:val="24"/>
        </w:rPr>
        <w:t>Scatter Plot</w:t>
      </w:r>
      <w:r w:rsidRPr="00D91DE3">
        <w:rPr>
          <w:sz w:val="24"/>
          <w:szCs w:val="24"/>
        </w:rPr>
        <w:t>: It shows the relationship between ssc_p and salary. Most points are clustered between 200,000 and 400,000 in salary, regardless of ssc_p. There are some outliers with very high salaries, especially around 60-80% ssc_p, but overall, there is no strong visible correlation between higher scores and higher salaries.</w:t>
      </w:r>
    </w:p>
    <w:p w14:paraId="21BCACA8" w14:textId="77777777" w:rsidR="00D91DE3" w:rsidRPr="00D91DE3" w:rsidRDefault="00D91DE3" w:rsidP="00D91DE3">
      <w:pPr>
        <w:numPr>
          <w:ilvl w:val="0"/>
          <w:numId w:val="2"/>
        </w:numPr>
        <w:rPr>
          <w:sz w:val="24"/>
          <w:szCs w:val="24"/>
        </w:rPr>
      </w:pPr>
      <w:r w:rsidRPr="00D91DE3">
        <w:rPr>
          <w:b/>
          <w:bCs/>
          <w:sz w:val="24"/>
          <w:szCs w:val="24"/>
        </w:rPr>
        <w:t>Top Histogram (ssc_p)</w:t>
      </w:r>
      <w:r w:rsidRPr="00D91DE3">
        <w:rPr>
          <w:sz w:val="24"/>
          <w:szCs w:val="24"/>
        </w:rPr>
        <w:t>: Most students have scores between 60-70%.</w:t>
      </w:r>
    </w:p>
    <w:p w14:paraId="5E387BC0" w14:textId="77777777" w:rsidR="00D91DE3" w:rsidRPr="00D91DE3" w:rsidRDefault="00D91DE3" w:rsidP="00D91DE3">
      <w:pPr>
        <w:numPr>
          <w:ilvl w:val="0"/>
          <w:numId w:val="2"/>
        </w:numPr>
        <w:rPr>
          <w:sz w:val="24"/>
          <w:szCs w:val="24"/>
        </w:rPr>
      </w:pPr>
      <w:r w:rsidRPr="00D91DE3">
        <w:rPr>
          <w:b/>
          <w:bCs/>
          <w:sz w:val="24"/>
          <w:szCs w:val="24"/>
        </w:rPr>
        <w:t>Right Histogram (Salary)</w:t>
      </w:r>
      <w:r w:rsidRPr="00D91DE3">
        <w:rPr>
          <w:sz w:val="24"/>
          <w:szCs w:val="24"/>
        </w:rPr>
        <w:t>: Most salaries fall between 200,000 and 300,000.</w:t>
      </w:r>
    </w:p>
    <w:p w14:paraId="37F062F8" w14:textId="77777777" w:rsidR="00D91DE3" w:rsidRDefault="00D91DE3" w:rsidP="00D91DE3">
      <w:pPr>
        <w:rPr>
          <w:sz w:val="24"/>
          <w:szCs w:val="24"/>
        </w:rPr>
      </w:pPr>
      <w:r w:rsidRPr="00D91DE3">
        <w:rPr>
          <w:sz w:val="24"/>
          <w:szCs w:val="24"/>
        </w:rPr>
        <w:t>In summary, the plot shows a scattered relationship between ssc_p and salary, with most data points concentrated in mid-ranges for both.</w:t>
      </w:r>
    </w:p>
    <w:p w14:paraId="73D4C4AC" w14:textId="512F1612" w:rsidR="001E1553" w:rsidRDefault="001E1553" w:rsidP="001E1553">
      <w:pPr>
        <w:rPr>
          <w:b/>
          <w:bCs/>
          <w:sz w:val="44"/>
          <w:szCs w:val="44"/>
        </w:rPr>
      </w:pPr>
      <w:r w:rsidRPr="00B66368">
        <w:rPr>
          <w:b/>
          <w:bCs/>
          <w:sz w:val="44"/>
          <w:szCs w:val="44"/>
        </w:rPr>
        <w:lastRenderedPageBreak/>
        <w:t>Bivari</w:t>
      </w:r>
      <w:r w:rsidRPr="00D027CD">
        <w:rPr>
          <w:b/>
          <w:bCs/>
          <w:sz w:val="44"/>
          <w:szCs w:val="44"/>
        </w:rPr>
        <w:t>a</w:t>
      </w:r>
      <w:r w:rsidRPr="00B66368">
        <w:rPr>
          <w:b/>
          <w:bCs/>
          <w:sz w:val="44"/>
          <w:szCs w:val="44"/>
        </w:rPr>
        <w:t>te Analysis : Distribution Plot</w:t>
      </w:r>
      <w:r w:rsidR="00D027CD" w:rsidRPr="00D027CD">
        <w:rPr>
          <w:b/>
          <w:bCs/>
          <w:sz w:val="44"/>
          <w:szCs w:val="44"/>
        </w:rPr>
        <w:t>;</w:t>
      </w:r>
      <w:r w:rsidR="00D027CD">
        <w:rPr>
          <w:b/>
          <w:bCs/>
          <w:sz w:val="44"/>
          <w:szCs w:val="44"/>
        </w:rPr>
        <w:t xml:space="preserve"> </w:t>
      </w:r>
      <w:r w:rsidR="00D027CD" w:rsidRPr="00D027CD">
        <w:rPr>
          <w:b/>
          <w:bCs/>
          <w:sz w:val="44"/>
          <w:szCs w:val="44"/>
        </w:rPr>
        <w:t>Kind=hue</w:t>
      </w:r>
    </w:p>
    <w:p w14:paraId="04B8FC52" w14:textId="0F1B8F8D" w:rsidR="00315E66" w:rsidRDefault="00315E66" w:rsidP="001E1553">
      <w:pPr>
        <w:rPr>
          <w:b/>
          <w:bCs/>
          <w:sz w:val="44"/>
          <w:szCs w:val="44"/>
        </w:rPr>
      </w:pPr>
      <w:r>
        <w:rPr>
          <w:noProof/>
        </w:rPr>
        <w:drawing>
          <wp:inline distT="0" distB="0" distL="0" distR="0" wp14:anchorId="6B2CF370" wp14:editId="605745BF">
            <wp:extent cx="5669915" cy="5396865"/>
            <wp:effectExtent l="0" t="0" r="6985" b="0"/>
            <wp:docPr id="2137336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915" cy="5396865"/>
                    </a:xfrm>
                    <a:prstGeom prst="rect">
                      <a:avLst/>
                    </a:prstGeom>
                    <a:noFill/>
                    <a:ln>
                      <a:noFill/>
                    </a:ln>
                  </pic:spPr>
                </pic:pic>
              </a:graphicData>
            </a:graphic>
          </wp:inline>
        </w:drawing>
      </w:r>
    </w:p>
    <w:p w14:paraId="0E5D6C47" w14:textId="77777777" w:rsidR="00EB6096" w:rsidRPr="00EB6096" w:rsidRDefault="00EB6096" w:rsidP="00EB6096">
      <w:r w:rsidRPr="00EB6096">
        <w:t xml:space="preserve">This diagram is a </w:t>
      </w:r>
      <w:proofErr w:type="spellStart"/>
      <w:r w:rsidRPr="00EB6096">
        <w:t>hexbin</w:t>
      </w:r>
      <w:proofErr w:type="spellEnd"/>
      <w:r w:rsidRPr="00EB6096">
        <w:t xml:space="preserve"> plot of ssc_p (secondary school percentage) versus salary, with marginal histograms. It shows the density of data points by grouping them into hexagonal bins:</w:t>
      </w:r>
    </w:p>
    <w:p w14:paraId="310F8602" w14:textId="77777777" w:rsidR="00EB6096" w:rsidRPr="00EB6096" w:rsidRDefault="00EB6096" w:rsidP="00EB6096">
      <w:pPr>
        <w:numPr>
          <w:ilvl w:val="0"/>
          <w:numId w:val="3"/>
        </w:numPr>
      </w:pPr>
      <w:proofErr w:type="spellStart"/>
      <w:r w:rsidRPr="00EB6096">
        <w:t>Hexbin</w:t>
      </w:r>
      <w:proofErr w:type="spellEnd"/>
      <w:r w:rsidRPr="00EB6096">
        <w:t xml:space="preserve"> Plot: The </w:t>
      </w:r>
      <w:proofErr w:type="spellStart"/>
      <w:r w:rsidRPr="00EB6096">
        <w:t>color</w:t>
      </w:r>
      <w:proofErr w:type="spellEnd"/>
      <w:r w:rsidRPr="00EB6096">
        <w:t xml:space="preserve"> intensity of each hexagon represents the concentration of data points in that area. Darker hexagons indicate more students within that particular ssc_p and salary range.</w:t>
      </w:r>
    </w:p>
    <w:p w14:paraId="3B94C6A1" w14:textId="77777777" w:rsidR="00EB6096" w:rsidRPr="00EB6096" w:rsidRDefault="00EB6096" w:rsidP="00EB6096">
      <w:pPr>
        <w:numPr>
          <w:ilvl w:val="1"/>
          <w:numId w:val="3"/>
        </w:numPr>
      </w:pPr>
      <w:r w:rsidRPr="00EB6096">
        <w:t>The darkest hexagons are found around ssc_p scores between 60-70% and salaries around 200,000-300,000. This indicates that the majority of students in this dataset have scores in this range and receive salaries within this bracket.</w:t>
      </w:r>
    </w:p>
    <w:p w14:paraId="5594E867" w14:textId="77777777" w:rsidR="00EB6096" w:rsidRPr="00EB6096" w:rsidRDefault="00EB6096" w:rsidP="00EB6096">
      <w:pPr>
        <w:numPr>
          <w:ilvl w:val="1"/>
          <w:numId w:val="3"/>
        </w:numPr>
      </w:pPr>
      <w:r w:rsidRPr="00EB6096">
        <w:t>A few lighter hexagons are scattered at higher salary ranges (500,000-900,000), suggesting some outliers, but these are much less frequent.</w:t>
      </w:r>
    </w:p>
    <w:p w14:paraId="4CA4900F" w14:textId="77777777" w:rsidR="00EB6096" w:rsidRPr="00EB6096" w:rsidRDefault="00EB6096" w:rsidP="00EB6096">
      <w:pPr>
        <w:numPr>
          <w:ilvl w:val="0"/>
          <w:numId w:val="3"/>
        </w:numPr>
      </w:pPr>
      <w:r w:rsidRPr="00EB6096">
        <w:t>Top Histogram (ssc_p): Most students have ssc_p scores in the range of 60-70%.</w:t>
      </w:r>
    </w:p>
    <w:p w14:paraId="603764B7" w14:textId="77777777" w:rsidR="00EB6096" w:rsidRPr="00EB6096" w:rsidRDefault="00EB6096" w:rsidP="00EB6096">
      <w:pPr>
        <w:numPr>
          <w:ilvl w:val="0"/>
          <w:numId w:val="3"/>
        </w:numPr>
      </w:pPr>
      <w:r w:rsidRPr="00EB6096">
        <w:t>Right Histogram (Salary): The majority of salaries fall between 200,000 and 300,000.</w:t>
      </w:r>
    </w:p>
    <w:p w14:paraId="03809EA6" w14:textId="77777777" w:rsidR="00EB6096" w:rsidRDefault="00EB6096" w:rsidP="00EB6096">
      <w:r w:rsidRPr="00EB6096">
        <w:lastRenderedPageBreak/>
        <w:t xml:space="preserve">The </w:t>
      </w:r>
      <w:proofErr w:type="spellStart"/>
      <w:r w:rsidRPr="00EB6096">
        <w:t>hexbin</w:t>
      </w:r>
      <w:proofErr w:type="spellEnd"/>
      <w:r w:rsidRPr="00EB6096">
        <w:t xml:space="preserve"> plot highlights that most students have ssc_p scores around 60-70% and receive salaries between 200,000-300,000. There are some outliers with higher salaries, but they are much less frequent.</w:t>
      </w:r>
    </w:p>
    <w:p w14:paraId="608F6ADD" w14:textId="1386AFE5" w:rsidR="007C5FA2" w:rsidRDefault="007C5FA2" w:rsidP="007C5FA2">
      <w:pPr>
        <w:rPr>
          <w:b/>
          <w:bCs/>
          <w:sz w:val="44"/>
          <w:szCs w:val="44"/>
        </w:rPr>
      </w:pPr>
      <w:r w:rsidRPr="00B66368">
        <w:rPr>
          <w:b/>
          <w:bCs/>
          <w:sz w:val="44"/>
          <w:szCs w:val="44"/>
        </w:rPr>
        <w:t>Bivari</w:t>
      </w:r>
      <w:r w:rsidRPr="00D027CD">
        <w:rPr>
          <w:b/>
          <w:bCs/>
          <w:sz w:val="44"/>
          <w:szCs w:val="44"/>
        </w:rPr>
        <w:t>a</w:t>
      </w:r>
      <w:r w:rsidRPr="00B66368">
        <w:rPr>
          <w:b/>
          <w:bCs/>
          <w:sz w:val="44"/>
          <w:szCs w:val="44"/>
        </w:rPr>
        <w:t>te Analysis : Distribution Plot</w:t>
      </w:r>
      <w:r w:rsidRPr="00D027CD">
        <w:rPr>
          <w:b/>
          <w:bCs/>
          <w:sz w:val="44"/>
          <w:szCs w:val="44"/>
        </w:rPr>
        <w:t>;</w:t>
      </w:r>
      <w:r>
        <w:rPr>
          <w:b/>
          <w:bCs/>
          <w:sz w:val="44"/>
          <w:szCs w:val="44"/>
        </w:rPr>
        <w:t xml:space="preserve"> </w:t>
      </w:r>
      <w:r w:rsidRPr="00D027CD">
        <w:rPr>
          <w:b/>
          <w:bCs/>
          <w:sz w:val="44"/>
          <w:szCs w:val="44"/>
        </w:rPr>
        <w:t>Kind=</w:t>
      </w:r>
      <w:proofErr w:type="spellStart"/>
      <w:r w:rsidR="005C47BE">
        <w:rPr>
          <w:b/>
          <w:bCs/>
          <w:sz w:val="44"/>
          <w:szCs w:val="44"/>
        </w:rPr>
        <w:t>Kde</w:t>
      </w:r>
      <w:proofErr w:type="spellEnd"/>
    </w:p>
    <w:p w14:paraId="7DEBF7D4" w14:textId="61965BDD" w:rsidR="007C5FA2" w:rsidRPr="00EB6096" w:rsidRDefault="009349F0" w:rsidP="00EB6096">
      <w:pPr>
        <w:rPr>
          <w:sz w:val="24"/>
          <w:szCs w:val="24"/>
        </w:rPr>
      </w:pPr>
      <w:r>
        <w:rPr>
          <w:noProof/>
        </w:rPr>
        <w:drawing>
          <wp:inline distT="0" distB="0" distL="0" distR="0" wp14:anchorId="5CFB996C" wp14:editId="7AD1792D">
            <wp:extent cx="5731510" cy="5379085"/>
            <wp:effectExtent l="0" t="0" r="2540" b="0"/>
            <wp:docPr id="736009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79085"/>
                    </a:xfrm>
                    <a:prstGeom prst="rect">
                      <a:avLst/>
                    </a:prstGeom>
                    <a:noFill/>
                    <a:ln>
                      <a:noFill/>
                    </a:ln>
                  </pic:spPr>
                </pic:pic>
              </a:graphicData>
            </a:graphic>
          </wp:inline>
        </w:drawing>
      </w:r>
    </w:p>
    <w:p w14:paraId="7ADBD4B8" w14:textId="77777777" w:rsidR="00EB6096" w:rsidRPr="00B66368" w:rsidRDefault="00EB6096" w:rsidP="001E1553">
      <w:pPr>
        <w:rPr>
          <w:b/>
          <w:bCs/>
        </w:rPr>
      </w:pPr>
    </w:p>
    <w:p w14:paraId="5FA27CF0" w14:textId="77777777" w:rsidR="009C6D6B" w:rsidRPr="009C6D6B" w:rsidRDefault="009C6D6B" w:rsidP="009C6D6B">
      <w:r w:rsidRPr="009C6D6B">
        <w:t xml:space="preserve">The plot shows the relationship between </w:t>
      </w:r>
      <w:r w:rsidRPr="009C6D6B">
        <w:rPr>
          <w:b/>
          <w:bCs/>
        </w:rPr>
        <w:t>secondary school percentage (ssc_p)</w:t>
      </w:r>
      <w:r w:rsidRPr="009C6D6B">
        <w:t xml:space="preserve"> and </w:t>
      </w:r>
      <w:r w:rsidRPr="009C6D6B">
        <w:rPr>
          <w:b/>
          <w:bCs/>
        </w:rPr>
        <w:t>salary</w:t>
      </w:r>
      <w:r w:rsidRPr="009C6D6B">
        <w:t>:</w:t>
      </w:r>
    </w:p>
    <w:p w14:paraId="779FE707" w14:textId="77777777" w:rsidR="009C6D6B" w:rsidRPr="009C6D6B" w:rsidRDefault="009C6D6B" w:rsidP="009C6D6B">
      <w:pPr>
        <w:numPr>
          <w:ilvl w:val="0"/>
          <w:numId w:val="4"/>
        </w:numPr>
      </w:pPr>
      <w:r w:rsidRPr="009C6D6B">
        <w:rPr>
          <w:b/>
          <w:bCs/>
        </w:rPr>
        <w:t>X-axis (ssc_p)</w:t>
      </w:r>
      <w:r w:rsidRPr="009C6D6B">
        <w:t xml:space="preserve">: Most values range between </w:t>
      </w:r>
      <w:r w:rsidRPr="009C6D6B">
        <w:rPr>
          <w:b/>
          <w:bCs/>
        </w:rPr>
        <w:t>60-70%</w:t>
      </w:r>
      <w:r w:rsidRPr="009C6D6B">
        <w:t>.</w:t>
      </w:r>
    </w:p>
    <w:p w14:paraId="4C6EE5FD" w14:textId="77777777" w:rsidR="009C6D6B" w:rsidRPr="009C6D6B" w:rsidRDefault="009C6D6B" w:rsidP="009C6D6B">
      <w:pPr>
        <w:numPr>
          <w:ilvl w:val="0"/>
          <w:numId w:val="4"/>
        </w:numPr>
      </w:pPr>
      <w:r w:rsidRPr="009C6D6B">
        <w:rPr>
          <w:b/>
          <w:bCs/>
        </w:rPr>
        <w:t>Y-axis (salary)</w:t>
      </w:r>
      <w:r w:rsidRPr="009C6D6B">
        <w:t xml:space="preserve">: Most salaries are between </w:t>
      </w:r>
      <w:r w:rsidRPr="009C6D6B">
        <w:rPr>
          <w:b/>
          <w:bCs/>
        </w:rPr>
        <w:t>200,000 and 400,000</w:t>
      </w:r>
      <w:r w:rsidRPr="009C6D6B">
        <w:t>.</w:t>
      </w:r>
    </w:p>
    <w:p w14:paraId="5579EADC" w14:textId="77777777" w:rsidR="009C6D6B" w:rsidRPr="009C6D6B" w:rsidRDefault="009C6D6B" w:rsidP="009C6D6B">
      <w:pPr>
        <w:numPr>
          <w:ilvl w:val="0"/>
          <w:numId w:val="4"/>
        </w:numPr>
      </w:pPr>
      <w:r w:rsidRPr="009C6D6B">
        <w:rPr>
          <w:b/>
          <w:bCs/>
        </w:rPr>
        <w:t>Contours</w:t>
      </w:r>
      <w:r w:rsidRPr="009C6D6B">
        <w:t xml:space="preserve">: These show data density, indicating a concentration of data points in the </w:t>
      </w:r>
      <w:r w:rsidRPr="009C6D6B">
        <w:rPr>
          <w:b/>
          <w:bCs/>
        </w:rPr>
        <w:t>60-70% ssc_p range</w:t>
      </w:r>
      <w:r w:rsidRPr="009C6D6B">
        <w:t xml:space="preserve"> with salaries in the </w:t>
      </w:r>
      <w:r w:rsidRPr="009C6D6B">
        <w:rPr>
          <w:b/>
          <w:bCs/>
        </w:rPr>
        <w:t>200,000 to 400,000</w:t>
      </w:r>
      <w:r w:rsidRPr="009C6D6B">
        <w:t xml:space="preserve"> range.</w:t>
      </w:r>
    </w:p>
    <w:p w14:paraId="4133CC7E" w14:textId="77777777" w:rsidR="009C6D6B" w:rsidRPr="009C6D6B" w:rsidRDefault="009C6D6B" w:rsidP="009C6D6B">
      <w:pPr>
        <w:numPr>
          <w:ilvl w:val="0"/>
          <w:numId w:val="4"/>
        </w:numPr>
      </w:pPr>
      <w:r w:rsidRPr="009C6D6B">
        <w:rPr>
          <w:b/>
          <w:bCs/>
        </w:rPr>
        <w:t>Marginal KDE plots</w:t>
      </w:r>
      <w:r w:rsidRPr="009C6D6B">
        <w:t xml:space="preserve">: The top plot shows the distribution of ssc_p, with a peak around </w:t>
      </w:r>
      <w:r w:rsidRPr="009C6D6B">
        <w:rPr>
          <w:b/>
          <w:bCs/>
        </w:rPr>
        <w:t>65-70%</w:t>
      </w:r>
      <w:r w:rsidRPr="009C6D6B">
        <w:t xml:space="preserve">, and the right plot shows the distribution of salaries, peaking around </w:t>
      </w:r>
      <w:r w:rsidRPr="009C6D6B">
        <w:rPr>
          <w:b/>
          <w:bCs/>
        </w:rPr>
        <w:t>200,000 to 400,000</w:t>
      </w:r>
      <w:r w:rsidRPr="009C6D6B">
        <w:t>.</w:t>
      </w:r>
    </w:p>
    <w:p w14:paraId="7B38DE0E" w14:textId="77777777" w:rsidR="009C6D6B" w:rsidRPr="009C6D6B" w:rsidRDefault="009C6D6B" w:rsidP="009C6D6B">
      <w:pPr>
        <w:numPr>
          <w:ilvl w:val="0"/>
          <w:numId w:val="4"/>
        </w:numPr>
      </w:pPr>
      <w:r w:rsidRPr="009C6D6B">
        <w:lastRenderedPageBreak/>
        <w:t xml:space="preserve">There is also a small, isolated cluster representing higher salaries, up to </w:t>
      </w:r>
      <w:r w:rsidRPr="009C6D6B">
        <w:rPr>
          <w:b/>
          <w:bCs/>
        </w:rPr>
        <w:t>1,000,000</w:t>
      </w:r>
      <w:r w:rsidRPr="009C6D6B">
        <w:t>, likely indicating a few outliers.</w:t>
      </w:r>
    </w:p>
    <w:p w14:paraId="4FABA896" w14:textId="77777777" w:rsidR="009C6D6B" w:rsidRDefault="009C6D6B" w:rsidP="009C6D6B">
      <w:r w:rsidRPr="009C6D6B">
        <w:t xml:space="preserve">This visual clarifies that </w:t>
      </w:r>
      <w:r w:rsidRPr="009C6D6B">
        <w:rPr>
          <w:b/>
          <w:bCs/>
        </w:rPr>
        <w:t>ssc_p between 60-70%</w:t>
      </w:r>
      <w:r w:rsidRPr="009C6D6B">
        <w:t xml:space="preserve"> is associated with most salaries in the dataset, primarily around </w:t>
      </w:r>
      <w:r w:rsidRPr="009C6D6B">
        <w:rPr>
          <w:b/>
          <w:bCs/>
        </w:rPr>
        <w:t>200,000 to 400,000</w:t>
      </w:r>
      <w:r w:rsidRPr="009C6D6B">
        <w:t>.</w:t>
      </w:r>
    </w:p>
    <w:p w14:paraId="2C359DFF" w14:textId="105A4546" w:rsidR="00FE5C24" w:rsidRDefault="00FE5C24" w:rsidP="009C6D6B">
      <w:pPr>
        <w:rPr>
          <w:b/>
          <w:bCs/>
          <w:sz w:val="44"/>
          <w:szCs w:val="44"/>
        </w:rPr>
      </w:pPr>
      <w:r w:rsidRPr="00FE5C24">
        <w:rPr>
          <w:b/>
          <w:bCs/>
          <w:sz w:val="44"/>
          <w:szCs w:val="44"/>
        </w:rPr>
        <w:t>For Categorical Plot</w:t>
      </w:r>
    </w:p>
    <w:p w14:paraId="23529A10" w14:textId="77777777" w:rsidR="008F69A5" w:rsidRDefault="00FE5C24" w:rsidP="008F69A5">
      <w:pPr>
        <w:rPr>
          <w:b/>
          <w:bCs/>
          <w:sz w:val="44"/>
          <w:szCs w:val="44"/>
        </w:rPr>
      </w:pPr>
      <w:r>
        <w:rPr>
          <w:noProof/>
        </w:rPr>
        <w:drawing>
          <wp:inline distT="0" distB="0" distL="0" distR="0" wp14:anchorId="0765A675" wp14:editId="1A9DA94F">
            <wp:extent cx="5140960" cy="3949065"/>
            <wp:effectExtent l="0" t="0" r="2540" b="0"/>
            <wp:docPr id="2064705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960" cy="3949065"/>
                    </a:xfrm>
                    <a:prstGeom prst="rect">
                      <a:avLst/>
                    </a:prstGeom>
                    <a:noFill/>
                    <a:ln>
                      <a:noFill/>
                    </a:ln>
                  </pic:spPr>
                </pic:pic>
              </a:graphicData>
            </a:graphic>
          </wp:inline>
        </w:drawing>
      </w:r>
    </w:p>
    <w:p w14:paraId="0C0F1AEC" w14:textId="7877B473" w:rsidR="008F69A5" w:rsidRPr="00D555BE" w:rsidRDefault="008F69A5" w:rsidP="008F69A5">
      <w:pPr>
        <w:rPr>
          <w:sz w:val="24"/>
          <w:szCs w:val="24"/>
        </w:rPr>
      </w:pPr>
      <w:r w:rsidRPr="00D555BE">
        <w:rPr>
          <w:sz w:val="24"/>
          <w:szCs w:val="24"/>
        </w:rPr>
        <w:t>The plot is a strip plot (scatter plot) showing the distribution of secondary school percentage (ssc_p) based on gender (M/F).</w:t>
      </w:r>
    </w:p>
    <w:p w14:paraId="3A888D8D" w14:textId="77777777" w:rsidR="008F69A5" w:rsidRPr="008F69A5" w:rsidRDefault="008F69A5" w:rsidP="008F69A5">
      <w:pPr>
        <w:rPr>
          <w:sz w:val="24"/>
          <w:szCs w:val="24"/>
        </w:rPr>
      </w:pPr>
      <w:r w:rsidRPr="008F69A5">
        <w:rPr>
          <w:sz w:val="24"/>
          <w:szCs w:val="24"/>
        </w:rPr>
        <w:t>Explanation:</w:t>
      </w:r>
    </w:p>
    <w:p w14:paraId="23AB2E72" w14:textId="77777777" w:rsidR="008F69A5" w:rsidRPr="008F69A5" w:rsidRDefault="008F69A5" w:rsidP="008F69A5">
      <w:pPr>
        <w:numPr>
          <w:ilvl w:val="0"/>
          <w:numId w:val="5"/>
        </w:numPr>
        <w:rPr>
          <w:sz w:val="24"/>
          <w:szCs w:val="24"/>
        </w:rPr>
      </w:pPr>
      <w:r w:rsidRPr="008F69A5">
        <w:rPr>
          <w:sz w:val="24"/>
          <w:szCs w:val="24"/>
        </w:rPr>
        <w:t>X-axis (gender): Two categories, M for male and F for female.</w:t>
      </w:r>
    </w:p>
    <w:p w14:paraId="7921852E" w14:textId="77777777" w:rsidR="008F69A5" w:rsidRPr="008F69A5" w:rsidRDefault="008F69A5" w:rsidP="008F69A5">
      <w:pPr>
        <w:numPr>
          <w:ilvl w:val="0"/>
          <w:numId w:val="5"/>
        </w:numPr>
        <w:rPr>
          <w:sz w:val="24"/>
          <w:szCs w:val="24"/>
        </w:rPr>
      </w:pPr>
      <w:r w:rsidRPr="008F69A5">
        <w:rPr>
          <w:sz w:val="24"/>
          <w:szCs w:val="24"/>
        </w:rPr>
        <w:t>Y-axis (ssc_p): The percentage scores from secondary school.</w:t>
      </w:r>
    </w:p>
    <w:p w14:paraId="15FF37A4" w14:textId="77777777" w:rsidR="008F69A5" w:rsidRPr="008F69A5" w:rsidRDefault="008F69A5" w:rsidP="008F69A5">
      <w:pPr>
        <w:rPr>
          <w:sz w:val="24"/>
          <w:szCs w:val="24"/>
        </w:rPr>
      </w:pPr>
      <w:r w:rsidRPr="008F69A5">
        <w:rPr>
          <w:sz w:val="24"/>
          <w:szCs w:val="24"/>
        </w:rPr>
        <w:t>Observations:</w:t>
      </w:r>
    </w:p>
    <w:p w14:paraId="7B0640DA" w14:textId="77777777" w:rsidR="008F69A5" w:rsidRPr="008F69A5" w:rsidRDefault="008F69A5" w:rsidP="008F69A5">
      <w:pPr>
        <w:numPr>
          <w:ilvl w:val="0"/>
          <w:numId w:val="6"/>
        </w:numPr>
        <w:rPr>
          <w:sz w:val="24"/>
          <w:szCs w:val="24"/>
        </w:rPr>
      </w:pPr>
      <w:r w:rsidRPr="008F69A5">
        <w:rPr>
          <w:sz w:val="24"/>
          <w:szCs w:val="24"/>
        </w:rPr>
        <w:t>Distribution of ssc_p for males (M):</w:t>
      </w:r>
    </w:p>
    <w:p w14:paraId="39F2E6D4" w14:textId="77777777" w:rsidR="008F69A5" w:rsidRPr="008F69A5" w:rsidRDefault="008F69A5" w:rsidP="008F69A5">
      <w:pPr>
        <w:numPr>
          <w:ilvl w:val="1"/>
          <w:numId w:val="6"/>
        </w:numPr>
        <w:rPr>
          <w:sz w:val="24"/>
          <w:szCs w:val="24"/>
        </w:rPr>
      </w:pPr>
      <w:r w:rsidRPr="008F69A5">
        <w:rPr>
          <w:sz w:val="24"/>
          <w:szCs w:val="24"/>
        </w:rPr>
        <w:t>The scores range from 40% to 90%.</w:t>
      </w:r>
    </w:p>
    <w:p w14:paraId="368E21C4" w14:textId="77777777" w:rsidR="008F69A5" w:rsidRPr="008F69A5" w:rsidRDefault="008F69A5" w:rsidP="008F69A5">
      <w:pPr>
        <w:numPr>
          <w:ilvl w:val="1"/>
          <w:numId w:val="6"/>
        </w:numPr>
        <w:rPr>
          <w:sz w:val="24"/>
          <w:szCs w:val="24"/>
        </w:rPr>
      </w:pPr>
      <w:r w:rsidRPr="008F69A5">
        <w:rPr>
          <w:sz w:val="24"/>
          <w:szCs w:val="24"/>
        </w:rPr>
        <w:t>There is a concentration around 60-80%, meaning most males have ssc_p in this range.</w:t>
      </w:r>
    </w:p>
    <w:p w14:paraId="05B23260" w14:textId="77777777" w:rsidR="008F69A5" w:rsidRPr="008F69A5" w:rsidRDefault="008F69A5" w:rsidP="008F69A5">
      <w:pPr>
        <w:numPr>
          <w:ilvl w:val="0"/>
          <w:numId w:val="6"/>
        </w:numPr>
        <w:rPr>
          <w:sz w:val="24"/>
          <w:szCs w:val="24"/>
        </w:rPr>
      </w:pPr>
      <w:r w:rsidRPr="008F69A5">
        <w:rPr>
          <w:sz w:val="24"/>
          <w:szCs w:val="24"/>
        </w:rPr>
        <w:t>Distribution of ssc_p for females (F):</w:t>
      </w:r>
    </w:p>
    <w:p w14:paraId="20433C02" w14:textId="77777777" w:rsidR="008F69A5" w:rsidRPr="008F69A5" w:rsidRDefault="008F69A5" w:rsidP="008F69A5">
      <w:pPr>
        <w:numPr>
          <w:ilvl w:val="1"/>
          <w:numId w:val="6"/>
        </w:numPr>
        <w:rPr>
          <w:sz w:val="24"/>
          <w:szCs w:val="24"/>
        </w:rPr>
      </w:pPr>
      <w:r w:rsidRPr="008F69A5">
        <w:rPr>
          <w:sz w:val="24"/>
          <w:szCs w:val="24"/>
        </w:rPr>
        <w:t>Similarly, the scores for females also range from 40% to 90%.</w:t>
      </w:r>
    </w:p>
    <w:p w14:paraId="4E61D5DE" w14:textId="77777777" w:rsidR="008F69A5" w:rsidRPr="008F69A5" w:rsidRDefault="008F69A5" w:rsidP="008F69A5">
      <w:pPr>
        <w:numPr>
          <w:ilvl w:val="1"/>
          <w:numId w:val="6"/>
        </w:numPr>
        <w:rPr>
          <w:sz w:val="24"/>
          <w:szCs w:val="24"/>
        </w:rPr>
      </w:pPr>
      <w:r w:rsidRPr="008F69A5">
        <w:rPr>
          <w:sz w:val="24"/>
          <w:szCs w:val="24"/>
        </w:rPr>
        <w:lastRenderedPageBreak/>
        <w:t>There is a cluster around 60-80%, similar to the male distribution, but slightly more spread out across this range.</w:t>
      </w:r>
    </w:p>
    <w:p w14:paraId="1A5687E2" w14:textId="77777777" w:rsidR="008F69A5" w:rsidRPr="008F69A5" w:rsidRDefault="008F69A5" w:rsidP="008F69A5">
      <w:pPr>
        <w:rPr>
          <w:sz w:val="24"/>
          <w:szCs w:val="24"/>
        </w:rPr>
      </w:pPr>
      <w:r w:rsidRPr="008F69A5">
        <w:rPr>
          <w:sz w:val="24"/>
          <w:szCs w:val="24"/>
        </w:rPr>
        <w:t>Overall Insight:</w:t>
      </w:r>
    </w:p>
    <w:p w14:paraId="04A7A19A" w14:textId="77777777" w:rsidR="008F69A5" w:rsidRPr="008F69A5" w:rsidRDefault="008F69A5" w:rsidP="008F69A5">
      <w:pPr>
        <w:numPr>
          <w:ilvl w:val="0"/>
          <w:numId w:val="7"/>
        </w:numPr>
        <w:rPr>
          <w:sz w:val="24"/>
          <w:szCs w:val="24"/>
        </w:rPr>
      </w:pPr>
      <w:r w:rsidRPr="008F69A5">
        <w:rPr>
          <w:sz w:val="24"/>
          <w:szCs w:val="24"/>
        </w:rPr>
        <w:t>Both genders have similar secondary school percentages, primarily between 60-80%, with a few outliers on the lower (40-50%) and higher (80-90%) ends.</w:t>
      </w:r>
    </w:p>
    <w:p w14:paraId="0F21647D" w14:textId="77777777" w:rsidR="00EE146D" w:rsidRDefault="008F69A5" w:rsidP="00EE146D">
      <w:pPr>
        <w:numPr>
          <w:ilvl w:val="0"/>
          <w:numId w:val="7"/>
        </w:numPr>
        <w:rPr>
          <w:sz w:val="24"/>
          <w:szCs w:val="24"/>
        </w:rPr>
      </w:pPr>
      <w:r w:rsidRPr="008F69A5">
        <w:rPr>
          <w:sz w:val="24"/>
          <w:szCs w:val="24"/>
        </w:rPr>
        <w:t>There doesn't seem to be a significant difference in the overall distribution of ssc_p between males and females.</w:t>
      </w:r>
    </w:p>
    <w:p w14:paraId="64C26442" w14:textId="2A086529" w:rsidR="00EE146D" w:rsidRDefault="00EE146D" w:rsidP="00EE146D">
      <w:pPr>
        <w:ind w:left="720"/>
        <w:rPr>
          <w:rFonts w:ascii="Helvetica" w:eastAsia="Times New Roman" w:hAnsi="Helvetica" w:cs="Helvetica"/>
          <w:b/>
          <w:bCs/>
          <w:color w:val="000000"/>
          <w:kern w:val="36"/>
          <w:sz w:val="40"/>
          <w:szCs w:val="40"/>
          <w:lang w:eastAsia="en-IN"/>
          <w14:ligatures w14:val="none"/>
        </w:rPr>
      </w:pPr>
      <w:r w:rsidRPr="001936F8">
        <w:rPr>
          <w:rFonts w:ascii="Helvetica" w:eastAsia="Times New Roman" w:hAnsi="Helvetica" w:cs="Helvetica"/>
          <w:b/>
          <w:bCs/>
          <w:color w:val="000000"/>
          <w:kern w:val="36"/>
          <w:sz w:val="40"/>
          <w:szCs w:val="40"/>
          <w:lang w:eastAsia="en-IN"/>
          <w14:ligatures w14:val="none"/>
        </w:rPr>
        <w:t>Distribution Observation</w:t>
      </w:r>
      <w:r w:rsidR="001936F8" w:rsidRPr="001936F8">
        <w:rPr>
          <w:rFonts w:ascii="Helvetica" w:eastAsia="Times New Roman" w:hAnsi="Helvetica" w:cs="Helvetica"/>
          <w:b/>
          <w:bCs/>
          <w:color w:val="000000"/>
          <w:kern w:val="36"/>
          <w:sz w:val="40"/>
          <w:szCs w:val="40"/>
          <w:lang w:eastAsia="en-IN"/>
          <w14:ligatures w14:val="none"/>
        </w:rPr>
        <w:t>-Violin Plot</w:t>
      </w:r>
    </w:p>
    <w:p w14:paraId="5D29070D" w14:textId="65CFDAA4" w:rsidR="00591E59" w:rsidRDefault="00591E59" w:rsidP="00EE146D">
      <w:pPr>
        <w:ind w:left="720"/>
        <w:rPr>
          <w:sz w:val="40"/>
          <w:szCs w:val="40"/>
        </w:rPr>
      </w:pPr>
      <w:r>
        <w:rPr>
          <w:noProof/>
        </w:rPr>
        <w:drawing>
          <wp:inline distT="0" distB="0" distL="0" distR="0" wp14:anchorId="76E2282E" wp14:editId="66730691">
            <wp:extent cx="5540375" cy="3949065"/>
            <wp:effectExtent l="0" t="0" r="3175" b="0"/>
            <wp:docPr id="365105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0375" cy="3949065"/>
                    </a:xfrm>
                    <a:prstGeom prst="rect">
                      <a:avLst/>
                    </a:prstGeom>
                    <a:noFill/>
                    <a:ln>
                      <a:noFill/>
                    </a:ln>
                  </pic:spPr>
                </pic:pic>
              </a:graphicData>
            </a:graphic>
          </wp:inline>
        </w:drawing>
      </w:r>
    </w:p>
    <w:p w14:paraId="00AF3C90" w14:textId="77777777" w:rsidR="00DB499B" w:rsidRPr="00DB499B" w:rsidRDefault="00DB499B" w:rsidP="00DB499B">
      <w:pPr>
        <w:ind w:left="720"/>
      </w:pPr>
      <w:r w:rsidRPr="00DB499B">
        <w:t>The plot shows salary distribution by specialization and gender:</w:t>
      </w:r>
    </w:p>
    <w:p w14:paraId="5DB30613" w14:textId="77777777" w:rsidR="00DB499B" w:rsidRPr="00DB499B" w:rsidRDefault="00DB499B" w:rsidP="00DB499B">
      <w:pPr>
        <w:numPr>
          <w:ilvl w:val="0"/>
          <w:numId w:val="8"/>
        </w:numPr>
      </w:pPr>
      <w:proofErr w:type="spellStart"/>
      <w:r w:rsidRPr="00DB499B">
        <w:rPr>
          <w:b/>
          <w:bCs/>
        </w:rPr>
        <w:t>Mkt&amp;HR</w:t>
      </w:r>
      <w:proofErr w:type="spellEnd"/>
      <w:r w:rsidRPr="00DB499B">
        <w:t>:</w:t>
      </w:r>
    </w:p>
    <w:p w14:paraId="37FCF5B9" w14:textId="77777777" w:rsidR="00DB499B" w:rsidRPr="00DB499B" w:rsidRDefault="00DB499B" w:rsidP="00DB499B">
      <w:pPr>
        <w:numPr>
          <w:ilvl w:val="1"/>
          <w:numId w:val="8"/>
        </w:numPr>
      </w:pPr>
      <w:r w:rsidRPr="00DB499B">
        <w:t xml:space="preserve">Both males and females have similar salaries, mostly ranging between </w:t>
      </w:r>
      <w:r w:rsidRPr="00DB499B">
        <w:rPr>
          <w:b/>
          <w:bCs/>
        </w:rPr>
        <w:t>200,000 and 300,000</w:t>
      </w:r>
      <w:r w:rsidRPr="00DB499B">
        <w:t>.</w:t>
      </w:r>
    </w:p>
    <w:p w14:paraId="7E6B91F2" w14:textId="77777777" w:rsidR="00DB499B" w:rsidRPr="00DB499B" w:rsidRDefault="00DB499B" w:rsidP="00DB499B">
      <w:pPr>
        <w:numPr>
          <w:ilvl w:val="0"/>
          <w:numId w:val="8"/>
        </w:numPr>
      </w:pPr>
      <w:proofErr w:type="spellStart"/>
      <w:r w:rsidRPr="00DB499B">
        <w:rPr>
          <w:b/>
          <w:bCs/>
        </w:rPr>
        <w:t>Mkt&amp;Fin</w:t>
      </w:r>
      <w:proofErr w:type="spellEnd"/>
      <w:r w:rsidRPr="00DB499B">
        <w:t>:</w:t>
      </w:r>
    </w:p>
    <w:p w14:paraId="7FCAE5A6" w14:textId="77777777" w:rsidR="00DB499B" w:rsidRPr="00DB499B" w:rsidRDefault="00DB499B" w:rsidP="00DB499B">
      <w:pPr>
        <w:numPr>
          <w:ilvl w:val="1"/>
          <w:numId w:val="8"/>
        </w:numPr>
      </w:pPr>
      <w:r w:rsidRPr="00DB499B">
        <w:t xml:space="preserve">Males have a broader salary range, extending up to </w:t>
      </w:r>
      <w:r w:rsidRPr="00DB499B">
        <w:rPr>
          <w:b/>
          <w:bCs/>
        </w:rPr>
        <w:t>1,000,000</w:t>
      </w:r>
      <w:r w:rsidRPr="00DB499B">
        <w:t xml:space="preserve">, with most between </w:t>
      </w:r>
      <w:r w:rsidRPr="00DB499B">
        <w:rPr>
          <w:b/>
          <w:bCs/>
        </w:rPr>
        <w:t>300,000 and 500,000</w:t>
      </w:r>
      <w:r w:rsidRPr="00DB499B">
        <w:t>.</w:t>
      </w:r>
    </w:p>
    <w:p w14:paraId="25D91182" w14:textId="77777777" w:rsidR="00DB499B" w:rsidRPr="00DB499B" w:rsidRDefault="00DB499B" w:rsidP="00DB499B">
      <w:pPr>
        <w:numPr>
          <w:ilvl w:val="1"/>
          <w:numId w:val="8"/>
        </w:numPr>
      </w:pPr>
      <w:r w:rsidRPr="00DB499B">
        <w:t xml:space="preserve">Females have a narrower range, mostly between </w:t>
      </w:r>
      <w:r w:rsidRPr="00DB499B">
        <w:rPr>
          <w:b/>
          <w:bCs/>
        </w:rPr>
        <w:t>300,000 and 500,000</w:t>
      </w:r>
      <w:r w:rsidRPr="00DB499B">
        <w:t>, with fewer outliers.</w:t>
      </w:r>
    </w:p>
    <w:p w14:paraId="138179FA" w14:textId="77777777" w:rsidR="00DB499B" w:rsidRDefault="00DB499B" w:rsidP="00DB499B">
      <w:pPr>
        <w:ind w:left="720"/>
      </w:pPr>
      <w:r w:rsidRPr="00DB499B">
        <w:lastRenderedPageBreak/>
        <w:t xml:space="preserve">In summary, </w:t>
      </w:r>
      <w:proofErr w:type="spellStart"/>
      <w:r w:rsidRPr="00DB499B">
        <w:rPr>
          <w:b/>
          <w:bCs/>
        </w:rPr>
        <w:t>Mkt&amp;Fin</w:t>
      </w:r>
      <w:proofErr w:type="spellEnd"/>
      <w:r w:rsidRPr="00DB499B">
        <w:t xml:space="preserve"> has higher and more varied salaries, particularly for males, while </w:t>
      </w:r>
      <w:proofErr w:type="spellStart"/>
      <w:r w:rsidRPr="00DB499B">
        <w:rPr>
          <w:b/>
          <w:bCs/>
        </w:rPr>
        <w:t>Mkt&amp;HR</w:t>
      </w:r>
      <w:proofErr w:type="spellEnd"/>
      <w:r w:rsidRPr="00DB499B">
        <w:t xml:space="preserve"> has more clustered and lower salaries for both genders.</w:t>
      </w:r>
    </w:p>
    <w:p w14:paraId="468D061D" w14:textId="40A4B2EB" w:rsidR="000E0BA8" w:rsidRDefault="000E0BA8" w:rsidP="00DB499B">
      <w:pPr>
        <w:ind w:left="720"/>
        <w:rPr>
          <w:rFonts w:ascii="Helvetica" w:eastAsia="Times New Roman" w:hAnsi="Helvetica" w:cs="Helvetica"/>
          <w:b/>
          <w:bCs/>
          <w:color w:val="000000"/>
          <w:kern w:val="36"/>
          <w:sz w:val="40"/>
          <w:szCs w:val="40"/>
          <w:lang w:eastAsia="en-IN"/>
          <w14:ligatures w14:val="none"/>
        </w:rPr>
      </w:pPr>
      <w:r>
        <w:rPr>
          <w:rFonts w:ascii="Helvetica" w:eastAsia="Times New Roman" w:hAnsi="Helvetica" w:cs="Helvetica"/>
          <w:b/>
          <w:bCs/>
          <w:color w:val="000000"/>
          <w:kern w:val="36"/>
          <w:sz w:val="40"/>
          <w:szCs w:val="40"/>
          <w:lang w:eastAsia="en-IN"/>
          <w14:ligatures w14:val="none"/>
        </w:rPr>
        <w:t>Box</w:t>
      </w:r>
      <w:r w:rsidRPr="001936F8">
        <w:rPr>
          <w:rFonts w:ascii="Helvetica" w:eastAsia="Times New Roman" w:hAnsi="Helvetica" w:cs="Helvetica"/>
          <w:b/>
          <w:bCs/>
          <w:color w:val="000000"/>
          <w:kern w:val="36"/>
          <w:sz w:val="40"/>
          <w:szCs w:val="40"/>
          <w:lang w:eastAsia="en-IN"/>
          <w14:ligatures w14:val="none"/>
        </w:rPr>
        <w:t xml:space="preserve"> Plot</w:t>
      </w:r>
    </w:p>
    <w:p w14:paraId="4568F12D" w14:textId="3B14E479" w:rsidR="000E0BA8" w:rsidRDefault="008D1BA7" w:rsidP="00DB499B">
      <w:pPr>
        <w:ind w:left="720"/>
      </w:pPr>
      <w:r>
        <w:rPr>
          <w:noProof/>
        </w:rPr>
        <w:drawing>
          <wp:inline distT="0" distB="0" distL="0" distR="0" wp14:anchorId="136D953B" wp14:editId="1D21F731">
            <wp:extent cx="5140960" cy="3957955"/>
            <wp:effectExtent l="0" t="0" r="2540" b="4445"/>
            <wp:docPr id="874872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960" cy="3957955"/>
                    </a:xfrm>
                    <a:prstGeom prst="rect">
                      <a:avLst/>
                    </a:prstGeom>
                    <a:noFill/>
                    <a:ln>
                      <a:noFill/>
                    </a:ln>
                  </pic:spPr>
                </pic:pic>
              </a:graphicData>
            </a:graphic>
          </wp:inline>
        </w:drawing>
      </w:r>
    </w:p>
    <w:p w14:paraId="162F2002" w14:textId="77777777" w:rsidR="00EC3C3E" w:rsidRPr="00EC3C3E" w:rsidRDefault="00EC3C3E" w:rsidP="00EC3C3E">
      <w:pPr>
        <w:ind w:left="720"/>
      </w:pPr>
      <w:r w:rsidRPr="00EC3C3E">
        <w:t>This boxplot shows the distribution of "ssc_p" (possibly a score or percentage) based on two categories of "</w:t>
      </w:r>
      <w:proofErr w:type="spellStart"/>
      <w:r w:rsidRPr="00EC3C3E">
        <w:t>ssc_b</w:t>
      </w:r>
      <w:proofErr w:type="spellEnd"/>
      <w:r w:rsidRPr="00EC3C3E">
        <w:t>" (Others and Central) and separated by gender (M for Male, F for Female). Here's the breakdown:</w:t>
      </w:r>
    </w:p>
    <w:p w14:paraId="28EBB1E3" w14:textId="77777777" w:rsidR="00EC3C3E" w:rsidRPr="00EC3C3E" w:rsidRDefault="00EC3C3E" w:rsidP="00EC3C3E">
      <w:pPr>
        <w:numPr>
          <w:ilvl w:val="0"/>
          <w:numId w:val="9"/>
        </w:numPr>
      </w:pPr>
      <w:r w:rsidRPr="00EC3C3E">
        <w:rPr>
          <w:b/>
          <w:bCs/>
        </w:rPr>
        <w:t>Others</w:t>
      </w:r>
      <w:r w:rsidRPr="00EC3C3E">
        <w:t>:</w:t>
      </w:r>
    </w:p>
    <w:p w14:paraId="75141E0A" w14:textId="77777777" w:rsidR="00EC3C3E" w:rsidRPr="00EC3C3E" w:rsidRDefault="00EC3C3E" w:rsidP="00EC3C3E">
      <w:pPr>
        <w:numPr>
          <w:ilvl w:val="1"/>
          <w:numId w:val="9"/>
        </w:numPr>
      </w:pPr>
      <w:r w:rsidRPr="00EC3C3E">
        <w:t>Males: The median (middle line in the box) is slightly lower than females. The spread (interquartile range, or IQR) is wide, indicating variability in the data.</w:t>
      </w:r>
    </w:p>
    <w:p w14:paraId="1FD157E7" w14:textId="77777777" w:rsidR="00EC3C3E" w:rsidRPr="00EC3C3E" w:rsidRDefault="00EC3C3E" w:rsidP="00EC3C3E">
      <w:pPr>
        <w:numPr>
          <w:ilvl w:val="1"/>
          <w:numId w:val="9"/>
        </w:numPr>
      </w:pPr>
      <w:r w:rsidRPr="00EC3C3E">
        <w:t>Females: Median is slightly higher, with a more compact IQR, indicating more consistency in scores.</w:t>
      </w:r>
    </w:p>
    <w:p w14:paraId="3D25EC8B" w14:textId="77777777" w:rsidR="00EC3C3E" w:rsidRPr="00EC3C3E" w:rsidRDefault="00EC3C3E" w:rsidP="00EC3C3E">
      <w:pPr>
        <w:numPr>
          <w:ilvl w:val="0"/>
          <w:numId w:val="9"/>
        </w:numPr>
      </w:pPr>
      <w:r w:rsidRPr="00EC3C3E">
        <w:rPr>
          <w:b/>
          <w:bCs/>
        </w:rPr>
        <w:t>Central</w:t>
      </w:r>
      <w:r w:rsidRPr="00EC3C3E">
        <w:t>:</w:t>
      </w:r>
    </w:p>
    <w:p w14:paraId="72F0701A" w14:textId="77777777" w:rsidR="00EC3C3E" w:rsidRPr="00EC3C3E" w:rsidRDefault="00EC3C3E" w:rsidP="00EC3C3E">
      <w:pPr>
        <w:numPr>
          <w:ilvl w:val="1"/>
          <w:numId w:val="9"/>
        </w:numPr>
      </w:pPr>
      <w:r w:rsidRPr="00EC3C3E">
        <w:t>Males: Median is similar to females, with a similar IQR.</w:t>
      </w:r>
    </w:p>
    <w:p w14:paraId="0D098CF6" w14:textId="77777777" w:rsidR="00EC3C3E" w:rsidRPr="00EC3C3E" w:rsidRDefault="00EC3C3E" w:rsidP="00EC3C3E">
      <w:pPr>
        <w:numPr>
          <w:ilvl w:val="1"/>
          <w:numId w:val="9"/>
        </w:numPr>
      </w:pPr>
      <w:r w:rsidRPr="00EC3C3E">
        <w:t>Females: Median is close to males, but the distribution seems slightly more spread out.</w:t>
      </w:r>
    </w:p>
    <w:p w14:paraId="4271620E" w14:textId="77777777" w:rsidR="00EC3C3E" w:rsidRPr="00EC3C3E" w:rsidRDefault="00EC3C3E" w:rsidP="00EC3C3E">
      <w:pPr>
        <w:ind w:left="720"/>
      </w:pPr>
      <w:r w:rsidRPr="00EC3C3E">
        <w:t>There is one outlier in the "Others" group for males. Overall, the scores are fairly similar across gender and "</w:t>
      </w:r>
      <w:proofErr w:type="spellStart"/>
      <w:r w:rsidRPr="00EC3C3E">
        <w:t>ssc_b</w:t>
      </w:r>
      <w:proofErr w:type="spellEnd"/>
      <w:r w:rsidRPr="00EC3C3E">
        <w:t>" categories.</w:t>
      </w:r>
    </w:p>
    <w:p w14:paraId="7A58578E" w14:textId="3F52EBB6" w:rsidR="008D1BA7" w:rsidRDefault="00EB1A14" w:rsidP="00DB499B">
      <w:pPr>
        <w:ind w:left="720"/>
      </w:pPr>
      <w:r>
        <w:rPr>
          <w:noProof/>
        </w:rPr>
        <w:lastRenderedPageBreak/>
        <w:drawing>
          <wp:inline distT="0" distB="0" distL="0" distR="0" wp14:anchorId="14A39110" wp14:editId="2151F899">
            <wp:extent cx="5731510" cy="2567940"/>
            <wp:effectExtent l="0" t="0" r="2540" b="3810"/>
            <wp:docPr id="20942104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7940"/>
                    </a:xfrm>
                    <a:prstGeom prst="rect">
                      <a:avLst/>
                    </a:prstGeom>
                    <a:noFill/>
                    <a:ln>
                      <a:noFill/>
                    </a:ln>
                  </pic:spPr>
                </pic:pic>
              </a:graphicData>
            </a:graphic>
          </wp:inline>
        </w:drawing>
      </w:r>
    </w:p>
    <w:p w14:paraId="487297F6" w14:textId="77777777" w:rsidR="00A65854" w:rsidRPr="00A65854" w:rsidRDefault="00A65854" w:rsidP="00A65854">
      <w:pPr>
        <w:ind w:left="720"/>
      </w:pPr>
      <w:r w:rsidRPr="00A65854">
        <w:t>This is a violin plot showing the distribution of pulse rates over time (1 min, 15 min, 30 min) for two different diets (no fat and low fat). The activities are categorized into three types: rest, walking, and running.</w:t>
      </w:r>
    </w:p>
    <w:p w14:paraId="0303BE72" w14:textId="77777777" w:rsidR="00A65854" w:rsidRPr="00A65854" w:rsidRDefault="00A65854" w:rsidP="00A65854">
      <w:pPr>
        <w:numPr>
          <w:ilvl w:val="0"/>
          <w:numId w:val="10"/>
        </w:numPr>
      </w:pPr>
      <w:r w:rsidRPr="00A65854">
        <w:rPr>
          <w:b/>
          <w:bCs/>
        </w:rPr>
        <w:t>No Fat Diet (left plot)</w:t>
      </w:r>
      <w:r w:rsidRPr="00A65854">
        <w:t>:</w:t>
      </w:r>
    </w:p>
    <w:p w14:paraId="41ADCD64" w14:textId="77777777" w:rsidR="00A65854" w:rsidRPr="00A65854" w:rsidRDefault="00A65854" w:rsidP="00A65854">
      <w:pPr>
        <w:numPr>
          <w:ilvl w:val="1"/>
          <w:numId w:val="10"/>
        </w:numPr>
      </w:pPr>
      <w:r w:rsidRPr="00A65854">
        <w:rPr>
          <w:b/>
          <w:bCs/>
        </w:rPr>
        <w:t>Rest</w:t>
      </w:r>
      <w:r w:rsidRPr="00A65854">
        <w:t xml:space="preserve"> (blue): Pulse remains fairly stable with low variation.</w:t>
      </w:r>
    </w:p>
    <w:p w14:paraId="43AD5517" w14:textId="77777777" w:rsidR="00A65854" w:rsidRPr="00A65854" w:rsidRDefault="00A65854" w:rsidP="00A65854">
      <w:pPr>
        <w:numPr>
          <w:ilvl w:val="1"/>
          <w:numId w:val="10"/>
        </w:numPr>
      </w:pPr>
      <w:r w:rsidRPr="00A65854">
        <w:rPr>
          <w:b/>
          <w:bCs/>
        </w:rPr>
        <w:t>Walking</w:t>
      </w:r>
      <w:r w:rsidRPr="00A65854">
        <w:t xml:space="preserve"> (orange): Slight increase in pulse over time.</w:t>
      </w:r>
    </w:p>
    <w:p w14:paraId="6BA62314" w14:textId="77777777" w:rsidR="00A65854" w:rsidRPr="00A65854" w:rsidRDefault="00A65854" w:rsidP="00A65854">
      <w:pPr>
        <w:numPr>
          <w:ilvl w:val="1"/>
          <w:numId w:val="10"/>
        </w:numPr>
      </w:pPr>
      <w:r w:rsidRPr="00A65854">
        <w:rPr>
          <w:b/>
          <w:bCs/>
        </w:rPr>
        <w:t>Running</w:t>
      </w:r>
      <w:r w:rsidRPr="00A65854">
        <w:t xml:space="preserve"> (green): Significant rise in pulse, especially at 15 and 30 minutes, with wider distributions, indicating more variation in heart rates.</w:t>
      </w:r>
    </w:p>
    <w:p w14:paraId="5F9C9A4B" w14:textId="77777777" w:rsidR="00A65854" w:rsidRPr="00A65854" w:rsidRDefault="00A65854" w:rsidP="00A65854">
      <w:pPr>
        <w:numPr>
          <w:ilvl w:val="0"/>
          <w:numId w:val="10"/>
        </w:numPr>
      </w:pPr>
      <w:r w:rsidRPr="00A65854">
        <w:rPr>
          <w:b/>
          <w:bCs/>
        </w:rPr>
        <w:t>Low Fat Diet (right plot)</w:t>
      </w:r>
      <w:r w:rsidRPr="00A65854">
        <w:t>:</w:t>
      </w:r>
    </w:p>
    <w:p w14:paraId="15D81BF8" w14:textId="77777777" w:rsidR="00A65854" w:rsidRPr="00A65854" w:rsidRDefault="00A65854" w:rsidP="00A65854">
      <w:pPr>
        <w:numPr>
          <w:ilvl w:val="1"/>
          <w:numId w:val="10"/>
        </w:numPr>
      </w:pPr>
      <w:r w:rsidRPr="00A65854">
        <w:rPr>
          <w:b/>
          <w:bCs/>
        </w:rPr>
        <w:t>Rest</w:t>
      </w:r>
      <w:r w:rsidRPr="00A65854">
        <w:t xml:space="preserve"> (blue): Pulse remains stable and similar to the no-fat diet.</w:t>
      </w:r>
    </w:p>
    <w:p w14:paraId="1EB5C214" w14:textId="77777777" w:rsidR="00A65854" w:rsidRPr="00A65854" w:rsidRDefault="00A65854" w:rsidP="00A65854">
      <w:pPr>
        <w:numPr>
          <w:ilvl w:val="1"/>
          <w:numId w:val="10"/>
        </w:numPr>
      </w:pPr>
      <w:r w:rsidRPr="00A65854">
        <w:rPr>
          <w:b/>
          <w:bCs/>
        </w:rPr>
        <w:t>Walking</w:t>
      </w:r>
      <w:r w:rsidRPr="00A65854">
        <w:t xml:space="preserve"> (orange): Similar to the no-fat group, with a moderate pulse.</w:t>
      </w:r>
    </w:p>
    <w:p w14:paraId="3DE32998" w14:textId="77777777" w:rsidR="00A65854" w:rsidRPr="00A65854" w:rsidRDefault="00A65854" w:rsidP="00A65854">
      <w:pPr>
        <w:numPr>
          <w:ilvl w:val="1"/>
          <w:numId w:val="10"/>
        </w:numPr>
      </w:pPr>
      <w:r w:rsidRPr="00A65854">
        <w:rPr>
          <w:b/>
          <w:bCs/>
        </w:rPr>
        <w:t>Running</w:t>
      </w:r>
      <w:r w:rsidRPr="00A65854">
        <w:t xml:space="preserve"> (green): A noticeable increase in pulse, with peaks at 15 and 30 minutes, though the rise at 30 minutes is slightly more intense than in the no-fat diet.</w:t>
      </w:r>
    </w:p>
    <w:p w14:paraId="4EBF8C20" w14:textId="77777777" w:rsidR="00A65854" w:rsidRDefault="00A65854" w:rsidP="00A65854">
      <w:pPr>
        <w:ind w:left="720"/>
      </w:pPr>
      <w:r w:rsidRPr="00A65854">
        <w:t>The width of each shape represents the density of data points, showing how pulse values are distributed across time and activities.</w:t>
      </w:r>
    </w:p>
    <w:p w14:paraId="0B4CF5EE" w14:textId="77777777" w:rsidR="00A41D55" w:rsidRDefault="00A41D55" w:rsidP="00A65854">
      <w:pPr>
        <w:ind w:left="720"/>
        <w:rPr>
          <w:b/>
          <w:bCs/>
          <w:sz w:val="44"/>
          <w:szCs w:val="44"/>
        </w:rPr>
      </w:pPr>
    </w:p>
    <w:p w14:paraId="2705D608" w14:textId="77777777" w:rsidR="00A41D55" w:rsidRDefault="00A41D55" w:rsidP="00A65854">
      <w:pPr>
        <w:ind w:left="720"/>
        <w:rPr>
          <w:b/>
          <w:bCs/>
          <w:sz w:val="44"/>
          <w:szCs w:val="44"/>
        </w:rPr>
      </w:pPr>
    </w:p>
    <w:p w14:paraId="1DF5BD39" w14:textId="77777777" w:rsidR="00A41D55" w:rsidRDefault="00A41D55" w:rsidP="00A65854">
      <w:pPr>
        <w:ind w:left="720"/>
        <w:rPr>
          <w:b/>
          <w:bCs/>
          <w:sz w:val="44"/>
          <w:szCs w:val="44"/>
        </w:rPr>
      </w:pPr>
    </w:p>
    <w:p w14:paraId="0E85473B" w14:textId="77777777" w:rsidR="00A41D55" w:rsidRDefault="00A41D55" w:rsidP="00A65854">
      <w:pPr>
        <w:ind w:left="720"/>
        <w:rPr>
          <w:b/>
          <w:bCs/>
          <w:sz w:val="44"/>
          <w:szCs w:val="44"/>
        </w:rPr>
      </w:pPr>
    </w:p>
    <w:p w14:paraId="6CCA7811" w14:textId="77777777" w:rsidR="00A41D55" w:rsidRDefault="00A41D55" w:rsidP="00A65854">
      <w:pPr>
        <w:ind w:left="720"/>
        <w:rPr>
          <w:b/>
          <w:bCs/>
          <w:sz w:val="44"/>
          <w:szCs w:val="44"/>
        </w:rPr>
      </w:pPr>
    </w:p>
    <w:p w14:paraId="0FD2F2BA" w14:textId="2A0A6B7E" w:rsidR="00A41D55" w:rsidRPr="00A41D55" w:rsidRDefault="00A41D55" w:rsidP="00A65854">
      <w:pPr>
        <w:ind w:left="720"/>
        <w:rPr>
          <w:b/>
          <w:bCs/>
          <w:sz w:val="44"/>
          <w:szCs w:val="44"/>
        </w:rPr>
      </w:pPr>
      <w:r w:rsidRPr="00A41D55">
        <w:rPr>
          <w:b/>
          <w:bCs/>
          <w:sz w:val="44"/>
          <w:szCs w:val="44"/>
        </w:rPr>
        <w:lastRenderedPageBreak/>
        <w:t>Bar Plot</w:t>
      </w:r>
    </w:p>
    <w:p w14:paraId="0559D5EA" w14:textId="65B9B9D1" w:rsidR="00A72784" w:rsidRDefault="00A72784" w:rsidP="00A65854">
      <w:pPr>
        <w:ind w:left="720"/>
      </w:pPr>
      <w:r>
        <w:rPr>
          <w:noProof/>
        </w:rPr>
        <w:drawing>
          <wp:inline distT="0" distB="0" distL="0" distR="0" wp14:anchorId="514262AB" wp14:editId="3946A1CB">
            <wp:extent cx="5351780" cy="4123690"/>
            <wp:effectExtent l="0" t="0" r="1270" b="0"/>
            <wp:docPr id="912216393" name="Picture 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1780" cy="4123690"/>
                    </a:xfrm>
                    <a:prstGeom prst="rect">
                      <a:avLst/>
                    </a:prstGeom>
                    <a:noFill/>
                    <a:ln>
                      <a:noFill/>
                    </a:ln>
                  </pic:spPr>
                </pic:pic>
              </a:graphicData>
            </a:graphic>
          </wp:inline>
        </w:drawing>
      </w:r>
    </w:p>
    <w:p w14:paraId="2931389D" w14:textId="77777777" w:rsidR="00875A2A" w:rsidRPr="00875A2A" w:rsidRDefault="00875A2A" w:rsidP="00875A2A">
      <w:pPr>
        <w:ind w:left="720"/>
      </w:pPr>
      <w:r w:rsidRPr="00875A2A">
        <w:t>This bar plot shows the average "ssc_p" (possibly scores) based on "</w:t>
      </w:r>
      <w:proofErr w:type="spellStart"/>
      <w:r w:rsidRPr="00875A2A">
        <w:t>ssc_b</w:t>
      </w:r>
      <w:proofErr w:type="spellEnd"/>
      <w:r w:rsidRPr="00875A2A">
        <w:t>" (Others and Central) for males (blue) and females (orange).</w:t>
      </w:r>
    </w:p>
    <w:p w14:paraId="60559582" w14:textId="77777777" w:rsidR="00875A2A" w:rsidRPr="00875A2A" w:rsidRDefault="00875A2A" w:rsidP="00875A2A">
      <w:pPr>
        <w:numPr>
          <w:ilvl w:val="0"/>
          <w:numId w:val="11"/>
        </w:numPr>
      </w:pPr>
      <w:r w:rsidRPr="00875A2A">
        <w:rPr>
          <w:b/>
          <w:bCs/>
        </w:rPr>
        <w:t>Others</w:t>
      </w:r>
      <w:r w:rsidRPr="00875A2A">
        <w:t>: Females have slightly higher scores than males.</w:t>
      </w:r>
    </w:p>
    <w:p w14:paraId="4E557817" w14:textId="77777777" w:rsidR="00875A2A" w:rsidRPr="00875A2A" w:rsidRDefault="00875A2A" w:rsidP="00875A2A">
      <w:pPr>
        <w:numPr>
          <w:ilvl w:val="0"/>
          <w:numId w:val="11"/>
        </w:numPr>
      </w:pPr>
      <w:r w:rsidRPr="00875A2A">
        <w:rPr>
          <w:b/>
          <w:bCs/>
        </w:rPr>
        <w:t>Central</w:t>
      </w:r>
      <w:r w:rsidRPr="00875A2A">
        <w:t>: Males and females have nearly identical scores.</w:t>
      </w:r>
    </w:p>
    <w:p w14:paraId="3FECD85B" w14:textId="77777777" w:rsidR="00875A2A" w:rsidRPr="00875A2A" w:rsidRDefault="00875A2A" w:rsidP="00875A2A">
      <w:pPr>
        <w:ind w:left="720"/>
      </w:pPr>
      <w:r w:rsidRPr="00875A2A">
        <w:t>The bars include small error lines showing variation in the data.</w:t>
      </w:r>
    </w:p>
    <w:p w14:paraId="2C642BA0" w14:textId="77777777" w:rsidR="00A41D55" w:rsidRPr="00A65854" w:rsidRDefault="00A41D55" w:rsidP="00A65854">
      <w:pPr>
        <w:ind w:left="720"/>
      </w:pPr>
    </w:p>
    <w:p w14:paraId="0FD019F7" w14:textId="77777777" w:rsidR="00A65854" w:rsidRPr="00DB499B" w:rsidRDefault="00A65854" w:rsidP="00DB499B">
      <w:pPr>
        <w:ind w:left="720"/>
      </w:pPr>
    </w:p>
    <w:p w14:paraId="119CEB50" w14:textId="77777777" w:rsidR="00591E59" w:rsidRPr="00DB499B" w:rsidRDefault="00591E59" w:rsidP="00EE146D">
      <w:pPr>
        <w:ind w:left="720"/>
      </w:pPr>
    </w:p>
    <w:p w14:paraId="1FCD5042" w14:textId="77777777" w:rsidR="00EE146D" w:rsidRPr="008F69A5" w:rsidRDefault="00EE146D" w:rsidP="00EE146D">
      <w:pPr>
        <w:ind w:left="720"/>
      </w:pPr>
    </w:p>
    <w:p w14:paraId="4EE177C0" w14:textId="7AD30CD1" w:rsidR="008F69A5" w:rsidRPr="008F69A5" w:rsidRDefault="008F69A5" w:rsidP="008F69A5">
      <w:pPr>
        <w:rPr>
          <w:b/>
          <w:bCs/>
        </w:rPr>
      </w:pPr>
    </w:p>
    <w:p w14:paraId="5E49CF0F" w14:textId="3ABBE814" w:rsidR="008F69A5" w:rsidRPr="009C6D6B" w:rsidRDefault="008F69A5" w:rsidP="009C6D6B">
      <w:pPr>
        <w:rPr>
          <w:b/>
          <w:bCs/>
        </w:rPr>
      </w:pPr>
    </w:p>
    <w:p w14:paraId="27F16C4E" w14:textId="77777777" w:rsidR="001E1553" w:rsidRPr="00D91DE3" w:rsidRDefault="001E1553" w:rsidP="00D91DE3"/>
    <w:p w14:paraId="115993F2" w14:textId="77777777" w:rsidR="00D91DE3" w:rsidRPr="00DB499B" w:rsidRDefault="00D91DE3"/>
    <w:p w14:paraId="25CE33AC" w14:textId="1136F11F" w:rsidR="00E940AE" w:rsidRPr="00DB499B" w:rsidRDefault="007C5FA2">
      <w:r w:rsidRPr="00DB499B">
        <w:t xml:space="preserve"> </w:t>
      </w:r>
    </w:p>
    <w:p w14:paraId="27B9D781" w14:textId="77777777" w:rsidR="00E940AE" w:rsidRPr="00DB499B" w:rsidRDefault="00E940AE"/>
    <w:p w14:paraId="7231BCD6" w14:textId="77777777" w:rsidR="00E940AE" w:rsidRPr="00DB499B" w:rsidRDefault="00E940AE"/>
    <w:p w14:paraId="4B6E3298" w14:textId="77777777" w:rsidR="00E940AE" w:rsidRPr="00DB499B" w:rsidRDefault="00E940AE"/>
    <w:sectPr w:rsidR="00E940AE" w:rsidRPr="00DB499B" w:rsidSect="00870D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20C3"/>
    <w:multiLevelType w:val="multilevel"/>
    <w:tmpl w:val="1A2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2094"/>
    <w:multiLevelType w:val="multilevel"/>
    <w:tmpl w:val="129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7148"/>
    <w:multiLevelType w:val="multilevel"/>
    <w:tmpl w:val="295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60A4F"/>
    <w:multiLevelType w:val="multilevel"/>
    <w:tmpl w:val="718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0F58"/>
    <w:multiLevelType w:val="multilevel"/>
    <w:tmpl w:val="A862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663FF"/>
    <w:multiLevelType w:val="multilevel"/>
    <w:tmpl w:val="EE04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9295E"/>
    <w:multiLevelType w:val="multilevel"/>
    <w:tmpl w:val="6A64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2521"/>
    <w:multiLevelType w:val="multilevel"/>
    <w:tmpl w:val="44B06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774A4"/>
    <w:multiLevelType w:val="multilevel"/>
    <w:tmpl w:val="0D8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B1230"/>
    <w:multiLevelType w:val="multilevel"/>
    <w:tmpl w:val="C1A0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B6445"/>
    <w:multiLevelType w:val="multilevel"/>
    <w:tmpl w:val="D9B4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161372">
    <w:abstractNumId w:val="8"/>
  </w:num>
  <w:num w:numId="2" w16cid:durableId="1116602873">
    <w:abstractNumId w:val="5"/>
  </w:num>
  <w:num w:numId="3" w16cid:durableId="1543131166">
    <w:abstractNumId w:val="9"/>
  </w:num>
  <w:num w:numId="4" w16cid:durableId="1566796431">
    <w:abstractNumId w:val="3"/>
  </w:num>
  <w:num w:numId="5" w16cid:durableId="595938834">
    <w:abstractNumId w:val="0"/>
  </w:num>
  <w:num w:numId="6" w16cid:durableId="385957228">
    <w:abstractNumId w:val="7"/>
  </w:num>
  <w:num w:numId="7" w16cid:durableId="357850669">
    <w:abstractNumId w:val="2"/>
  </w:num>
  <w:num w:numId="8" w16cid:durableId="1390618133">
    <w:abstractNumId w:val="6"/>
  </w:num>
  <w:num w:numId="9" w16cid:durableId="1036005612">
    <w:abstractNumId w:val="10"/>
  </w:num>
  <w:num w:numId="10" w16cid:durableId="1876885605">
    <w:abstractNumId w:val="4"/>
  </w:num>
  <w:num w:numId="11" w16cid:durableId="1111240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28"/>
    <w:rsid w:val="000A24F9"/>
    <w:rsid w:val="000E0BA8"/>
    <w:rsid w:val="0013298C"/>
    <w:rsid w:val="001936F8"/>
    <w:rsid w:val="001E1553"/>
    <w:rsid w:val="001F72A2"/>
    <w:rsid w:val="00204F40"/>
    <w:rsid w:val="00315E66"/>
    <w:rsid w:val="00407CAE"/>
    <w:rsid w:val="00591E59"/>
    <w:rsid w:val="005C47BE"/>
    <w:rsid w:val="007C5FA2"/>
    <w:rsid w:val="00870D3D"/>
    <w:rsid w:val="00875A2A"/>
    <w:rsid w:val="008B159C"/>
    <w:rsid w:val="008D1BA7"/>
    <w:rsid w:val="008F69A5"/>
    <w:rsid w:val="009349F0"/>
    <w:rsid w:val="009C6D6B"/>
    <w:rsid w:val="00A16059"/>
    <w:rsid w:val="00A17828"/>
    <w:rsid w:val="00A41D55"/>
    <w:rsid w:val="00A65854"/>
    <w:rsid w:val="00A72784"/>
    <w:rsid w:val="00A8621B"/>
    <w:rsid w:val="00B66368"/>
    <w:rsid w:val="00B85071"/>
    <w:rsid w:val="00D027CD"/>
    <w:rsid w:val="00D071B0"/>
    <w:rsid w:val="00D555BE"/>
    <w:rsid w:val="00D91DE3"/>
    <w:rsid w:val="00DB499B"/>
    <w:rsid w:val="00E940AE"/>
    <w:rsid w:val="00EB1A14"/>
    <w:rsid w:val="00EB6096"/>
    <w:rsid w:val="00EC3C3E"/>
    <w:rsid w:val="00EE146D"/>
    <w:rsid w:val="00FC03FF"/>
    <w:rsid w:val="00FE5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93EF"/>
  <w15:chartTrackingRefBased/>
  <w15:docId w15:val="{10134CA1-7F16-4529-B0EC-98FBCBC0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65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658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368"/>
    <w:rPr>
      <w:color w:val="0563C1" w:themeColor="hyperlink"/>
      <w:u w:val="single"/>
    </w:rPr>
  </w:style>
  <w:style w:type="character" w:styleId="UnresolvedMention">
    <w:name w:val="Unresolved Mention"/>
    <w:basedOn w:val="DefaultParagraphFont"/>
    <w:uiPriority w:val="99"/>
    <w:semiHidden/>
    <w:unhideWhenUsed/>
    <w:rsid w:val="00B66368"/>
    <w:rPr>
      <w:color w:val="605E5C"/>
      <w:shd w:val="clear" w:color="auto" w:fill="E1DFDD"/>
    </w:rPr>
  </w:style>
  <w:style w:type="paragraph" w:styleId="NormalWeb">
    <w:name w:val="Normal (Web)"/>
    <w:basedOn w:val="Normal"/>
    <w:uiPriority w:val="99"/>
    <w:semiHidden/>
    <w:unhideWhenUsed/>
    <w:rsid w:val="008F69A5"/>
    <w:rPr>
      <w:rFonts w:ascii="Times New Roman" w:hAnsi="Times New Roman" w:cs="Times New Roman"/>
      <w:sz w:val="24"/>
      <w:szCs w:val="24"/>
    </w:rPr>
  </w:style>
  <w:style w:type="character" w:customStyle="1" w:styleId="Heading1Char">
    <w:name w:val="Heading 1 Char"/>
    <w:basedOn w:val="DefaultParagraphFont"/>
    <w:link w:val="Heading1"/>
    <w:uiPriority w:val="9"/>
    <w:rsid w:val="00EE146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EE146D"/>
    <w:pPr>
      <w:ind w:left="720"/>
      <w:contextualSpacing/>
    </w:pPr>
  </w:style>
  <w:style w:type="character" w:customStyle="1" w:styleId="Heading3Char">
    <w:name w:val="Heading 3 Char"/>
    <w:basedOn w:val="DefaultParagraphFont"/>
    <w:link w:val="Heading3"/>
    <w:uiPriority w:val="9"/>
    <w:semiHidden/>
    <w:rsid w:val="00A6585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658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4628">
      <w:bodyDiv w:val="1"/>
      <w:marLeft w:val="0"/>
      <w:marRight w:val="0"/>
      <w:marTop w:val="0"/>
      <w:marBottom w:val="0"/>
      <w:divBdr>
        <w:top w:val="none" w:sz="0" w:space="0" w:color="auto"/>
        <w:left w:val="none" w:sz="0" w:space="0" w:color="auto"/>
        <w:bottom w:val="none" w:sz="0" w:space="0" w:color="auto"/>
        <w:right w:val="none" w:sz="0" w:space="0" w:color="auto"/>
      </w:divBdr>
    </w:div>
    <w:div w:id="176431599">
      <w:bodyDiv w:val="1"/>
      <w:marLeft w:val="0"/>
      <w:marRight w:val="0"/>
      <w:marTop w:val="0"/>
      <w:marBottom w:val="0"/>
      <w:divBdr>
        <w:top w:val="none" w:sz="0" w:space="0" w:color="auto"/>
        <w:left w:val="none" w:sz="0" w:space="0" w:color="auto"/>
        <w:bottom w:val="none" w:sz="0" w:space="0" w:color="auto"/>
        <w:right w:val="none" w:sz="0" w:space="0" w:color="auto"/>
      </w:divBdr>
    </w:div>
    <w:div w:id="373163162">
      <w:bodyDiv w:val="1"/>
      <w:marLeft w:val="0"/>
      <w:marRight w:val="0"/>
      <w:marTop w:val="0"/>
      <w:marBottom w:val="0"/>
      <w:divBdr>
        <w:top w:val="none" w:sz="0" w:space="0" w:color="auto"/>
        <w:left w:val="none" w:sz="0" w:space="0" w:color="auto"/>
        <w:bottom w:val="none" w:sz="0" w:space="0" w:color="auto"/>
        <w:right w:val="none" w:sz="0" w:space="0" w:color="auto"/>
      </w:divBdr>
    </w:div>
    <w:div w:id="469975706">
      <w:bodyDiv w:val="1"/>
      <w:marLeft w:val="0"/>
      <w:marRight w:val="0"/>
      <w:marTop w:val="0"/>
      <w:marBottom w:val="0"/>
      <w:divBdr>
        <w:top w:val="none" w:sz="0" w:space="0" w:color="auto"/>
        <w:left w:val="none" w:sz="0" w:space="0" w:color="auto"/>
        <w:bottom w:val="none" w:sz="0" w:space="0" w:color="auto"/>
        <w:right w:val="none" w:sz="0" w:space="0" w:color="auto"/>
      </w:divBdr>
      <w:divsChild>
        <w:div w:id="922955229">
          <w:marLeft w:val="0"/>
          <w:marRight w:val="0"/>
          <w:marTop w:val="0"/>
          <w:marBottom w:val="0"/>
          <w:divBdr>
            <w:top w:val="none" w:sz="0" w:space="0" w:color="auto"/>
            <w:left w:val="none" w:sz="0" w:space="0" w:color="auto"/>
            <w:bottom w:val="none" w:sz="0" w:space="0" w:color="auto"/>
            <w:right w:val="none" w:sz="0" w:space="0" w:color="auto"/>
          </w:divBdr>
          <w:divsChild>
            <w:div w:id="1843549128">
              <w:marLeft w:val="0"/>
              <w:marRight w:val="0"/>
              <w:marTop w:val="0"/>
              <w:marBottom w:val="0"/>
              <w:divBdr>
                <w:top w:val="none" w:sz="0" w:space="0" w:color="auto"/>
                <w:left w:val="none" w:sz="0" w:space="0" w:color="auto"/>
                <w:bottom w:val="none" w:sz="0" w:space="0" w:color="auto"/>
                <w:right w:val="none" w:sz="0" w:space="0" w:color="auto"/>
              </w:divBdr>
              <w:divsChild>
                <w:div w:id="1971666194">
                  <w:marLeft w:val="0"/>
                  <w:marRight w:val="0"/>
                  <w:marTop w:val="0"/>
                  <w:marBottom w:val="0"/>
                  <w:divBdr>
                    <w:top w:val="none" w:sz="0" w:space="0" w:color="auto"/>
                    <w:left w:val="none" w:sz="0" w:space="0" w:color="auto"/>
                    <w:bottom w:val="none" w:sz="0" w:space="0" w:color="auto"/>
                    <w:right w:val="none" w:sz="0" w:space="0" w:color="auto"/>
                  </w:divBdr>
                  <w:divsChild>
                    <w:div w:id="1469398837">
                      <w:marLeft w:val="0"/>
                      <w:marRight w:val="0"/>
                      <w:marTop w:val="0"/>
                      <w:marBottom w:val="0"/>
                      <w:divBdr>
                        <w:top w:val="none" w:sz="0" w:space="0" w:color="auto"/>
                        <w:left w:val="none" w:sz="0" w:space="0" w:color="auto"/>
                        <w:bottom w:val="none" w:sz="0" w:space="0" w:color="auto"/>
                        <w:right w:val="none" w:sz="0" w:space="0" w:color="auto"/>
                      </w:divBdr>
                      <w:divsChild>
                        <w:div w:id="221019347">
                          <w:marLeft w:val="0"/>
                          <w:marRight w:val="0"/>
                          <w:marTop w:val="0"/>
                          <w:marBottom w:val="0"/>
                          <w:divBdr>
                            <w:top w:val="none" w:sz="0" w:space="0" w:color="auto"/>
                            <w:left w:val="none" w:sz="0" w:space="0" w:color="auto"/>
                            <w:bottom w:val="none" w:sz="0" w:space="0" w:color="auto"/>
                            <w:right w:val="none" w:sz="0" w:space="0" w:color="auto"/>
                          </w:divBdr>
                          <w:divsChild>
                            <w:div w:id="1429303601">
                              <w:marLeft w:val="0"/>
                              <w:marRight w:val="0"/>
                              <w:marTop w:val="0"/>
                              <w:marBottom w:val="0"/>
                              <w:divBdr>
                                <w:top w:val="none" w:sz="0" w:space="0" w:color="auto"/>
                                <w:left w:val="none" w:sz="0" w:space="0" w:color="auto"/>
                                <w:bottom w:val="none" w:sz="0" w:space="0" w:color="auto"/>
                                <w:right w:val="none" w:sz="0" w:space="0" w:color="auto"/>
                              </w:divBdr>
                              <w:divsChild>
                                <w:div w:id="1474251390">
                                  <w:marLeft w:val="0"/>
                                  <w:marRight w:val="0"/>
                                  <w:marTop w:val="0"/>
                                  <w:marBottom w:val="0"/>
                                  <w:divBdr>
                                    <w:top w:val="none" w:sz="0" w:space="0" w:color="auto"/>
                                    <w:left w:val="none" w:sz="0" w:space="0" w:color="auto"/>
                                    <w:bottom w:val="none" w:sz="0" w:space="0" w:color="auto"/>
                                    <w:right w:val="none" w:sz="0" w:space="0" w:color="auto"/>
                                  </w:divBdr>
                                  <w:divsChild>
                                    <w:div w:id="16310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7017">
                          <w:marLeft w:val="0"/>
                          <w:marRight w:val="0"/>
                          <w:marTop w:val="0"/>
                          <w:marBottom w:val="0"/>
                          <w:divBdr>
                            <w:top w:val="none" w:sz="0" w:space="0" w:color="auto"/>
                            <w:left w:val="none" w:sz="0" w:space="0" w:color="auto"/>
                            <w:bottom w:val="none" w:sz="0" w:space="0" w:color="auto"/>
                            <w:right w:val="none" w:sz="0" w:space="0" w:color="auto"/>
                          </w:divBdr>
                          <w:divsChild>
                            <w:div w:id="1930963252">
                              <w:marLeft w:val="0"/>
                              <w:marRight w:val="0"/>
                              <w:marTop w:val="0"/>
                              <w:marBottom w:val="0"/>
                              <w:divBdr>
                                <w:top w:val="none" w:sz="0" w:space="0" w:color="auto"/>
                                <w:left w:val="none" w:sz="0" w:space="0" w:color="auto"/>
                                <w:bottom w:val="none" w:sz="0" w:space="0" w:color="auto"/>
                                <w:right w:val="none" w:sz="0" w:space="0" w:color="auto"/>
                              </w:divBdr>
                              <w:divsChild>
                                <w:div w:id="1772580404">
                                  <w:marLeft w:val="0"/>
                                  <w:marRight w:val="0"/>
                                  <w:marTop w:val="0"/>
                                  <w:marBottom w:val="0"/>
                                  <w:divBdr>
                                    <w:top w:val="none" w:sz="0" w:space="0" w:color="auto"/>
                                    <w:left w:val="none" w:sz="0" w:space="0" w:color="auto"/>
                                    <w:bottom w:val="none" w:sz="0" w:space="0" w:color="auto"/>
                                    <w:right w:val="none" w:sz="0" w:space="0" w:color="auto"/>
                                  </w:divBdr>
                                  <w:divsChild>
                                    <w:div w:id="16287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160140">
      <w:bodyDiv w:val="1"/>
      <w:marLeft w:val="0"/>
      <w:marRight w:val="0"/>
      <w:marTop w:val="0"/>
      <w:marBottom w:val="0"/>
      <w:divBdr>
        <w:top w:val="none" w:sz="0" w:space="0" w:color="auto"/>
        <w:left w:val="none" w:sz="0" w:space="0" w:color="auto"/>
        <w:bottom w:val="none" w:sz="0" w:space="0" w:color="auto"/>
        <w:right w:val="none" w:sz="0" w:space="0" w:color="auto"/>
      </w:divBdr>
    </w:div>
    <w:div w:id="804128622">
      <w:bodyDiv w:val="1"/>
      <w:marLeft w:val="0"/>
      <w:marRight w:val="0"/>
      <w:marTop w:val="0"/>
      <w:marBottom w:val="0"/>
      <w:divBdr>
        <w:top w:val="none" w:sz="0" w:space="0" w:color="auto"/>
        <w:left w:val="none" w:sz="0" w:space="0" w:color="auto"/>
        <w:bottom w:val="none" w:sz="0" w:space="0" w:color="auto"/>
        <w:right w:val="none" w:sz="0" w:space="0" w:color="auto"/>
      </w:divBdr>
      <w:divsChild>
        <w:div w:id="688525854">
          <w:marLeft w:val="0"/>
          <w:marRight w:val="0"/>
          <w:marTop w:val="0"/>
          <w:marBottom w:val="0"/>
          <w:divBdr>
            <w:top w:val="none" w:sz="0" w:space="0" w:color="auto"/>
            <w:left w:val="none" w:sz="0" w:space="0" w:color="auto"/>
            <w:bottom w:val="none" w:sz="0" w:space="0" w:color="auto"/>
            <w:right w:val="none" w:sz="0" w:space="0" w:color="auto"/>
          </w:divBdr>
          <w:divsChild>
            <w:div w:id="590312237">
              <w:marLeft w:val="0"/>
              <w:marRight w:val="0"/>
              <w:marTop w:val="0"/>
              <w:marBottom w:val="0"/>
              <w:divBdr>
                <w:top w:val="none" w:sz="0" w:space="0" w:color="auto"/>
                <w:left w:val="none" w:sz="0" w:space="0" w:color="auto"/>
                <w:bottom w:val="none" w:sz="0" w:space="0" w:color="auto"/>
                <w:right w:val="none" w:sz="0" w:space="0" w:color="auto"/>
              </w:divBdr>
              <w:divsChild>
                <w:div w:id="467168975">
                  <w:marLeft w:val="0"/>
                  <w:marRight w:val="0"/>
                  <w:marTop w:val="0"/>
                  <w:marBottom w:val="0"/>
                  <w:divBdr>
                    <w:top w:val="none" w:sz="0" w:space="0" w:color="auto"/>
                    <w:left w:val="none" w:sz="0" w:space="0" w:color="auto"/>
                    <w:bottom w:val="none" w:sz="0" w:space="0" w:color="auto"/>
                    <w:right w:val="none" w:sz="0" w:space="0" w:color="auto"/>
                  </w:divBdr>
                  <w:divsChild>
                    <w:div w:id="1639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11247">
          <w:marLeft w:val="0"/>
          <w:marRight w:val="0"/>
          <w:marTop w:val="0"/>
          <w:marBottom w:val="0"/>
          <w:divBdr>
            <w:top w:val="none" w:sz="0" w:space="0" w:color="auto"/>
            <w:left w:val="none" w:sz="0" w:space="0" w:color="auto"/>
            <w:bottom w:val="none" w:sz="0" w:space="0" w:color="auto"/>
            <w:right w:val="none" w:sz="0" w:space="0" w:color="auto"/>
          </w:divBdr>
          <w:divsChild>
            <w:div w:id="1910001303">
              <w:marLeft w:val="0"/>
              <w:marRight w:val="0"/>
              <w:marTop w:val="0"/>
              <w:marBottom w:val="0"/>
              <w:divBdr>
                <w:top w:val="none" w:sz="0" w:space="0" w:color="auto"/>
                <w:left w:val="none" w:sz="0" w:space="0" w:color="auto"/>
                <w:bottom w:val="none" w:sz="0" w:space="0" w:color="auto"/>
                <w:right w:val="none" w:sz="0" w:space="0" w:color="auto"/>
              </w:divBdr>
              <w:divsChild>
                <w:div w:id="1922519599">
                  <w:marLeft w:val="0"/>
                  <w:marRight w:val="0"/>
                  <w:marTop w:val="0"/>
                  <w:marBottom w:val="0"/>
                  <w:divBdr>
                    <w:top w:val="none" w:sz="0" w:space="0" w:color="auto"/>
                    <w:left w:val="none" w:sz="0" w:space="0" w:color="auto"/>
                    <w:bottom w:val="none" w:sz="0" w:space="0" w:color="auto"/>
                    <w:right w:val="none" w:sz="0" w:space="0" w:color="auto"/>
                  </w:divBdr>
                  <w:divsChild>
                    <w:div w:id="6079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2917">
      <w:bodyDiv w:val="1"/>
      <w:marLeft w:val="0"/>
      <w:marRight w:val="0"/>
      <w:marTop w:val="0"/>
      <w:marBottom w:val="0"/>
      <w:divBdr>
        <w:top w:val="none" w:sz="0" w:space="0" w:color="auto"/>
        <w:left w:val="none" w:sz="0" w:space="0" w:color="auto"/>
        <w:bottom w:val="none" w:sz="0" w:space="0" w:color="auto"/>
        <w:right w:val="none" w:sz="0" w:space="0" w:color="auto"/>
      </w:divBdr>
      <w:divsChild>
        <w:div w:id="80180750">
          <w:marLeft w:val="0"/>
          <w:marRight w:val="0"/>
          <w:marTop w:val="0"/>
          <w:marBottom w:val="0"/>
          <w:divBdr>
            <w:top w:val="none" w:sz="0" w:space="0" w:color="auto"/>
            <w:left w:val="none" w:sz="0" w:space="0" w:color="auto"/>
            <w:bottom w:val="none" w:sz="0" w:space="0" w:color="auto"/>
            <w:right w:val="none" w:sz="0" w:space="0" w:color="auto"/>
          </w:divBdr>
          <w:divsChild>
            <w:div w:id="155001742">
              <w:marLeft w:val="0"/>
              <w:marRight w:val="0"/>
              <w:marTop w:val="0"/>
              <w:marBottom w:val="0"/>
              <w:divBdr>
                <w:top w:val="none" w:sz="0" w:space="0" w:color="auto"/>
                <w:left w:val="none" w:sz="0" w:space="0" w:color="auto"/>
                <w:bottom w:val="none" w:sz="0" w:space="0" w:color="auto"/>
                <w:right w:val="none" w:sz="0" w:space="0" w:color="auto"/>
              </w:divBdr>
              <w:divsChild>
                <w:div w:id="1981033292">
                  <w:marLeft w:val="0"/>
                  <w:marRight w:val="0"/>
                  <w:marTop w:val="0"/>
                  <w:marBottom w:val="0"/>
                  <w:divBdr>
                    <w:top w:val="none" w:sz="0" w:space="0" w:color="auto"/>
                    <w:left w:val="none" w:sz="0" w:space="0" w:color="auto"/>
                    <w:bottom w:val="none" w:sz="0" w:space="0" w:color="auto"/>
                    <w:right w:val="none" w:sz="0" w:space="0" w:color="auto"/>
                  </w:divBdr>
                  <w:divsChild>
                    <w:div w:id="1051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6336">
          <w:marLeft w:val="0"/>
          <w:marRight w:val="0"/>
          <w:marTop w:val="0"/>
          <w:marBottom w:val="0"/>
          <w:divBdr>
            <w:top w:val="none" w:sz="0" w:space="0" w:color="auto"/>
            <w:left w:val="none" w:sz="0" w:space="0" w:color="auto"/>
            <w:bottom w:val="none" w:sz="0" w:space="0" w:color="auto"/>
            <w:right w:val="none" w:sz="0" w:space="0" w:color="auto"/>
          </w:divBdr>
          <w:divsChild>
            <w:div w:id="997343307">
              <w:marLeft w:val="0"/>
              <w:marRight w:val="0"/>
              <w:marTop w:val="0"/>
              <w:marBottom w:val="0"/>
              <w:divBdr>
                <w:top w:val="none" w:sz="0" w:space="0" w:color="auto"/>
                <w:left w:val="none" w:sz="0" w:space="0" w:color="auto"/>
                <w:bottom w:val="none" w:sz="0" w:space="0" w:color="auto"/>
                <w:right w:val="none" w:sz="0" w:space="0" w:color="auto"/>
              </w:divBdr>
              <w:divsChild>
                <w:div w:id="615983495">
                  <w:marLeft w:val="0"/>
                  <w:marRight w:val="0"/>
                  <w:marTop w:val="0"/>
                  <w:marBottom w:val="0"/>
                  <w:divBdr>
                    <w:top w:val="none" w:sz="0" w:space="0" w:color="auto"/>
                    <w:left w:val="none" w:sz="0" w:space="0" w:color="auto"/>
                    <w:bottom w:val="none" w:sz="0" w:space="0" w:color="auto"/>
                    <w:right w:val="none" w:sz="0" w:space="0" w:color="auto"/>
                  </w:divBdr>
                  <w:divsChild>
                    <w:div w:id="3017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3550">
      <w:bodyDiv w:val="1"/>
      <w:marLeft w:val="0"/>
      <w:marRight w:val="0"/>
      <w:marTop w:val="0"/>
      <w:marBottom w:val="0"/>
      <w:divBdr>
        <w:top w:val="none" w:sz="0" w:space="0" w:color="auto"/>
        <w:left w:val="none" w:sz="0" w:space="0" w:color="auto"/>
        <w:bottom w:val="none" w:sz="0" w:space="0" w:color="auto"/>
        <w:right w:val="none" w:sz="0" w:space="0" w:color="auto"/>
      </w:divBdr>
      <w:divsChild>
        <w:div w:id="526020984">
          <w:marLeft w:val="0"/>
          <w:marRight w:val="0"/>
          <w:marTop w:val="0"/>
          <w:marBottom w:val="0"/>
          <w:divBdr>
            <w:top w:val="none" w:sz="0" w:space="0" w:color="auto"/>
            <w:left w:val="none" w:sz="0" w:space="0" w:color="auto"/>
            <w:bottom w:val="none" w:sz="0" w:space="0" w:color="auto"/>
            <w:right w:val="none" w:sz="0" w:space="0" w:color="auto"/>
          </w:divBdr>
          <w:divsChild>
            <w:div w:id="842627148">
              <w:marLeft w:val="0"/>
              <w:marRight w:val="0"/>
              <w:marTop w:val="0"/>
              <w:marBottom w:val="0"/>
              <w:divBdr>
                <w:top w:val="none" w:sz="0" w:space="0" w:color="auto"/>
                <w:left w:val="none" w:sz="0" w:space="0" w:color="auto"/>
                <w:bottom w:val="none" w:sz="0" w:space="0" w:color="auto"/>
                <w:right w:val="none" w:sz="0" w:space="0" w:color="auto"/>
              </w:divBdr>
              <w:divsChild>
                <w:div w:id="1045056355">
                  <w:marLeft w:val="0"/>
                  <w:marRight w:val="0"/>
                  <w:marTop w:val="0"/>
                  <w:marBottom w:val="0"/>
                  <w:divBdr>
                    <w:top w:val="none" w:sz="0" w:space="0" w:color="auto"/>
                    <w:left w:val="none" w:sz="0" w:space="0" w:color="auto"/>
                    <w:bottom w:val="none" w:sz="0" w:space="0" w:color="auto"/>
                    <w:right w:val="none" w:sz="0" w:space="0" w:color="auto"/>
                  </w:divBdr>
                  <w:divsChild>
                    <w:div w:id="946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4514">
      <w:bodyDiv w:val="1"/>
      <w:marLeft w:val="0"/>
      <w:marRight w:val="0"/>
      <w:marTop w:val="0"/>
      <w:marBottom w:val="0"/>
      <w:divBdr>
        <w:top w:val="none" w:sz="0" w:space="0" w:color="auto"/>
        <w:left w:val="none" w:sz="0" w:space="0" w:color="auto"/>
        <w:bottom w:val="none" w:sz="0" w:space="0" w:color="auto"/>
        <w:right w:val="none" w:sz="0" w:space="0" w:color="auto"/>
      </w:divBdr>
    </w:div>
    <w:div w:id="1168599787">
      <w:bodyDiv w:val="1"/>
      <w:marLeft w:val="0"/>
      <w:marRight w:val="0"/>
      <w:marTop w:val="0"/>
      <w:marBottom w:val="0"/>
      <w:divBdr>
        <w:top w:val="none" w:sz="0" w:space="0" w:color="auto"/>
        <w:left w:val="none" w:sz="0" w:space="0" w:color="auto"/>
        <w:bottom w:val="none" w:sz="0" w:space="0" w:color="auto"/>
        <w:right w:val="none" w:sz="0" w:space="0" w:color="auto"/>
      </w:divBdr>
    </w:div>
    <w:div w:id="1302808366">
      <w:bodyDiv w:val="1"/>
      <w:marLeft w:val="0"/>
      <w:marRight w:val="0"/>
      <w:marTop w:val="0"/>
      <w:marBottom w:val="0"/>
      <w:divBdr>
        <w:top w:val="none" w:sz="0" w:space="0" w:color="auto"/>
        <w:left w:val="none" w:sz="0" w:space="0" w:color="auto"/>
        <w:bottom w:val="none" w:sz="0" w:space="0" w:color="auto"/>
        <w:right w:val="none" w:sz="0" w:space="0" w:color="auto"/>
      </w:divBdr>
      <w:divsChild>
        <w:div w:id="1939211213">
          <w:marLeft w:val="0"/>
          <w:marRight w:val="0"/>
          <w:marTop w:val="0"/>
          <w:marBottom w:val="0"/>
          <w:divBdr>
            <w:top w:val="none" w:sz="0" w:space="0" w:color="auto"/>
            <w:left w:val="none" w:sz="0" w:space="0" w:color="auto"/>
            <w:bottom w:val="none" w:sz="0" w:space="0" w:color="auto"/>
            <w:right w:val="none" w:sz="0" w:space="0" w:color="auto"/>
          </w:divBdr>
          <w:divsChild>
            <w:div w:id="1762676271">
              <w:marLeft w:val="0"/>
              <w:marRight w:val="0"/>
              <w:marTop w:val="0"/>
              <w:marBottom w:val="0"/>
              <w:divBdr>
                <w:top w:val="none" w:sz="0" w:space="0" w:color="auto"/>
                <w:left w:val="none" w:sz="0" w:space="0" w:color="auto"/>
                <w:bottom w:val="none" w:sz="0" w:space="0" w:color="auto"/>
                <w:right w:val="none" w:sz="0" w:space="0" w:color="auto"/>
              </w:divBdr>
              <w:divsChild>
                <w:div w:id="1702515901">
                  <w:marLeft w:val="0"/>
                  <w:marRight w:val="0"/>
                  <w:marTop w:val="0"/>
                  <w:marBottom w:val="0"/>
                  <w:divBdr>
                    <w:top w:val="none" w:sz="0" w:space="0" w:color="auto"/>
                    <w:left w:val="none" w:sz="0" w:space="0" w:color="auto"/>
                    <w:bottom w:val="none" w:sz="0" w:space="0" w:color="auto"/>
                    <w:right w:val="none" w:sz="0" w:space="0" w:color="auto"/>
                  </w:divBdr>
                  <w:divsChild>
                    <w:div w:id="285309146">
                      <w:marLeft w:val="0"/>
                      <w:marRight w:val="0"/>
                      <w:marTop w:val="0"/>
                      <w:marBottom w:val="0"/>
                      <w:divBdr>
                        <w:top w:val="none" w:sz="0" w:space="0" w:color="auto"/>
                        <w:left w:val="none" w:sz="0" w:space="0" w:color="auto"/>
                        <w:bottom w:val="none" w:sz="0" w:space="0" w:color="auto"/>
                        <w:right w:val="none" w:sz="0" w:space="0" w:color="auto"/>
                      </w:divBdr>
                      <w:divsChild>
                        <w:div w:id="1332836580">
                          <w:marLeft w:val="0"/>
                          <w:marRight w:val="0"/>
                          <w:marTop w:val="0"/>
                          <w:marBottom w:val="0"/>
                          <w:divBdr>
                            <w:top w:val="none" w:sz="0" w:space="0" w:color="auto"/>
                            <w:left w:val="none" w:sz="0" w:space="0" w:color="auto"/>
                            <w:bottom w:val="none" w:sz="0" w:space="0" w:color="auto"/>
                            <w:right w:val="none" w:sz="0" w:space="0" w:color="auto"/>
                          </w:divBdr>
                          <w:divsChild>
                            <w:div w:id="1014265403">
                              <w:marLeft w:val="0"/>
                              <w:marRight w:val="0"/>
                              <w:marTop w:val="0"/>
                              <w:marBottom w:val="0"/>
                              <w:divBdr>
                                <w:top w:val="none" w:sz="0" w:space="0" w:color="auto"/>
                                <w:left w:val="none" w:sz="0" w:space="0" w:color="auto"/>
                                <w:bottom w:val="none" w:sz="0" w:space="0" w:color="auto"/>
                                <w:right w:val="none" w:sz="0" w:space="0" w:color="auto"/>
                              </w:divBdr>
                              <w:divsChild>
                                <w:div w:id="2068605564">
                                  <w:marLeft w:val="0"/>
                                  <w:marRight w:val="0"/>
                                  <w:marTop w:val="0"/>
                                  <w:marBottom w:val="0"/>
                                  <w:divBdr>
                                    <w:top w:val="none" w:sz="0" w:space="0" w:color="auto"/>
                                    <w:left w:val="none" w:sz="0" w:space="0" w:color="auto"/>
                                    <w:bottom w:val="none" w:sz="0" w:space="0" w:color="auto"/>
                                    <w:right w:val="none" w:sz="0" w:space="0" w:color="auto"/>
                                  </w:divBdr>
                                  <w:divsChild>
                                    <w:div w:id="4115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4568">
                          <w:marLeft w:val="0"/>
                          <w:marRight w:val="0"/>
                          <w:marTop w:val="0"/>
                          <w:marBottom w:val="0"/>
                          <w:divBdr>
                            <w:top w:val="none" w:sz="0" w:space="0" w:color="auto"/>
                            <w:left w:val="none" w:sz="0" w:space="0" w:color="auto"/>
                            <w:bottom w:val="none" w:sz="0" w:space="0" w:color="auto"/>
                            <w:right w:val="none" w:sz="0" w:space="0" w:color="auto"/>
                          </w:divBdr>
                          <w:divsChild>
                            <w:div w:id="2019187865">
                              <w:marLeft w:val="0"/>
                              <w:marRight w:val="0"/>
                              <w:marTop w:val="0"/>
                              <w:marBottom w:val="0"/>
                              <w:divBdr>
                                <w:top w:val="none" w:sz="0" w:space="0" w:color="auto"/>
                                <w:left w:val="none" w:sz="0" w:space="0" w:color="auto"/>
                                <w:bottom w:val="none" w:sz="0" w:space="0" w:color="auto"/>
                                <w:right w:val="none" w:sz="0" w:space="0" w:color="auto"/>
                              </w:divBdr>
                              <w:divsChild>
                                <w:div w:id="1113013622">
                                  <w:marLeft w:val="0"/>
                                  <w:marRight w:val="0"/>
                                  <w:marTop w:val="0"/>
                                  <w:marBottom w:val="0"/>
                                  <w:divBdr>
                                    <w:top w:val="none" w:sz="0" w:space="0" w:color="auto"/>
                                    <w:left w:val="none" w:sz="0" w:space="0" w:color="auto"/>
                                    <w:bottom w:val="none" w:sz="0" w:space="0" w:color="auto"/>
                                    <w:right w:val="none" w:sz="0" w:space="0" w:color="auto"/>
                                  </w:divBdr>
                                  <w:divsChild>
                                    <w:div w:id="19057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827436">
      <w:bodyDiv w:val="1"/>
      <w:marLeft w:val="0"/>
      <w:marRight w:val="0"/>
      <w:marTop w:val="0"/>
      <w:marBottom w:val="0"/>
      <w:divBdr>
        <w:top w:val="none" w:sz="0" w:space="0" w:color="auto"/>
        <w:left w:val="none" w:sz="0" w:space="0" w:color="auto"/>
        <w:bottom w:val="none" w:sz="0" w:space="0" w:color="auto"/>
        <w:right w:val="none" w:sz="0" w:space="0" w:color="auto"/>
      </w:divBdr>
      <w:divsChild>
        <w:div w:id="1857304671">
          <w:marLeft w:val="0"/>
          <w:marRight w:val="0"/>
          <w:marTop w:val="0"/>
          <w:marBottom w:val="0"/>
          <w:divBdr>
            <w:top w:val="none" w:sz="0" w:space="0" w:color="auto"/>
            <w:left w:val="none" w:sz="0" w:space="0" w:color="auto"/>
            <w:bottom w:val="none" w:sz="0" w:space="0" w:color="auto"/>
            <w:right w:val="none" w:sz="0" w:space="0" w:color="auto"/>
          </w:divBdr>
          <w:divsChild>
            <w:div w:id="1945454209">
              <w:marLeft w:val="0"/>
              <w:marRight w:val="0"/>
              <w:marTop w:val="0"/>
              <w:marBottom w:val="0"/>
              <w:divBdr>
                <w:top w:val="none" w:sz="0" w:space="0" w:color="auto"/>
                <w:left w:val="none" w:sz="0" w:space="0" w:color="auto"/>
                <w:bottom w:val="none" w:sz="0" w:space="0" w:color="auto"/>
                <w:right w:val="none" w:sz="0" w:space="0" w:color="auto"/>
              </w:divBdr>
              <w:divsChild>
                <w:div w:id="721027305">
                  <w:marLeft w:val="0"/>
                  <w:marRight w:val="0"/>
                  <w:marTop w:val="0"/>
                  <w:marBottom w:val="0"/>
                  <w:divBdr>
                    <w:top w:val="none" w:sz="0" w:space="0" w:color="auto"/>
                    <w:left w:val="none" w:sz="0" w:space="0" w:color="auto"/>
                    <w:bottom w:val="none" w:sz="0" w:space="0" w:color="auto"/>
                    <w:right w:val="none" w:sz="0" w:space="0" w:color="auto"/>
                  </w:divBdr>
                  <w:divsChild>
                    <w:div w:id="9653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7521">
          <w:marLeft w:val="0"/>
          <w:marRight w:val="0"/>
          <w:marTop w:val="0"/>
          <w:marBottom w:val="0"/>
          <w:divBdr>
            <w:top w:val="none" w:sz="0" w:space="0" w:color="auto"/>
            <w:left w:val="none" w:sz="0" w:space="0" w:color="auto"/>
            <w:bottom w:val="none" w:sz="0" w:space="0" w:color="auto"/>
            <w:right w:val="none" w:sz="0" w:space="0" w:color="auto"/>
          </w:divBdr>
          <w:divsChild>
            <w:div w:id="2106028711">
              <w:marLeft w:val="0"/>
              <w:marRight w:val="0"/>
              <w:marTop w:val="0"/>
              <w:marBottom w:val="0"/>
              <w:divBdr>
                <w:top w:val="none" w:sz="0" w:space="0" w:color="auto"/>
                <w:left w:val="none" w:sz="0" w:space="0" w:color="auto"/>
                <w:bottom w:val="none" w:sz="0" w:space="0" w:color="auto"/>
                <w:right w:val="none" w:sz="0" w:space="0" w:color="auto"/>
              </w:divBdr>
              <w:divsChild>
                <w:div w:id="869486664">
                  <w:marLeft w:val="0"/>
                  <w:marRight w:val="0"/>
                  <w:marTop w:val="0"/>
                  <w:marBottom w:val="0"/>
                  <w:divBdr>
                    <w:top w:val="none" w:sz="0" w:space="0" w:color="auto"/>
                    <w:left w:val="none" w:sz="0" w:space="0" w:color="auto"/>
                    <w:bottom w:val="none" w:sz="0" w:space="0" w:color="auto"/>
                    <w:right w:val="none" w:sz="0" w:space="0" w:color="auto"/>
                  </w:divBdr>
                  <w:divsChild>
                    <w:div w:id="6168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34849">
      <w:bodyDiv w:val="1"/>
      <w:marLeft w:val="0"/>
      <w:marRight w:val="0"/>
      <w:marTop w:val="0"/>
      <w:marBottom w:val="0"/>
      <w:divBdr>
        <w:top w:val="none" w:sz="0" w:space="0" w:color="auto"/>
        <w:left w:val="none" w:sz="0" w:space="0" w:color="auto"/>
        <w:bottom w:val="none" w:sz="0" w:space="0" w:color="auto"/>
        <w:right w:val="none" w:sz="0" w:space="0" w:color="auto"/>
      </w:divBdr>
    </w:div>
    <w:div w:id="1624656811">
      <w:bodyDiv w:val="1"/>
      <w:marLeft w:val="0"/>
      <w:marRight w:val="0"/>
      <w:marTop w:val="0"/>
      <w:marBottom w:val="0"/>
      <w:divBdr>
        <w:top w:val="none" w:sz="0" w:space="0" w:color="auto"/>
        <w:left w:val="none" w:sz="0" w:space="0" w:color="auto"/>
        <w:bottom w:val="none" w:sz="0" w:space="0" w:color="auto"/>
        <w:right w:val="none" w:sz="0" w:space="0" w:color="auto"/>
      </w:divBdr>
    </w:div>
    <w:div w:id="1652173657">
      <w:bodyDiv w:val="1"/>
      <w:marLeft w:val="0"/>
      <w:marRight w:val="0"/>
      <w:marTop w:val="0"/>
      <w:marBottom w:val="0"/>
      <w:divBdr>
        <w:top w:val="none" w:sz="0" w:space="0" w:color="auto"/>
        <w:left w:val="none" w:sz="0" w:space="0" w:color="auto"/>
        <w:bottom w:val="none" w:sz="0" w:space="0" w:color="auto"/>
        <w:right w:val="none" w:sz="0" w:space="0" w:color="auto"/>
      </w:divBdr>
    </w:div>
    <w:div w:id="1654411261">
      <w:bodyDiv w:val="1"/>
      <w:marLeft w:val="0"/>
      <w:marRight w:val="0"/>
      <w:marTop w:val="0"/>
      <w:marBottom w:val="0"/>
      <w:divBdr>
        <w:top w:val="none" w:sz="0" w:space="0" w:color="auto"/>
        <w:left w:val="none" w:sz="0" w:space="0" w:color="auto"/>
        <w:bottom w:val="none" w:sz="0" w:space="0" w:color="auto"/>
        <w:right w:val="none" w:sz="0" w:space="0" w:color="auto"/>
      </w:divBdr>
      <w:divsChild>
        <w:div w:id="1682854393">
          <w:marLeft w:val="0"/>
          <w:marRight w:val="0"/>
          <w:marTop w:val="0"/>
          <w:marBottom w:val="0"/>
          <w:divBdr>
            <w:top w:val="none" w:sz="0" w:space="0" w:color="auto"/>
            <w:left w:val="none" w:sz="0" w:space="0" w:color="auto"/>
            <w:bottom w:val="none" w:sz="0" w:space="0" w:color="auto"/>
            <w:right w:val="none" w:sz="0" w:space="0" w:color="auto"/>
          </w:divBdr>
          <w:divsChild>
            <w:div w:id="818962298">
              <w:marLeft w:val="0"/>
              <w:marRight w:val="0"/>
              <w:marTop w:val="0"/>
              <w:marBottom w:val="0"/>
              <w:divBdr>
                <w:top w:val="none" w:sz="0" w:space="0" w:color="auto"/>
                <w:left w:val="none" w:sz="0" w:space="0" w:color="auto"/>
                <w:bottom w:val="none" w:sz="0" w:space="0" w:color="auto"/>
                <w:right w:val="none" w:sz="0" w:space="0" w:color="auto"/>
              </w:divBdr>
              <w:divsChild>
                <w:div w:id="533036058">
                  <w:marLeft w:val="0"/>
                  <w:marRight w:val="0"/>
                  <w:marTop w:val="0"/>
                  <w:marBottom w:val="0"/>
                  <w:divBdr>
                    <w:top w:val="none" w:sz="0" w:space="0" w:color="auto"/>
                    <w:left w:val="none" w:sz="0" w:space="0" w:color="auto"/>
                    <w:bottom w:val="none" w:sz="0" w:space="0" w:color="auto"/>
                    <w:right w:val="none" w:sz="0" w:space="0" w:color="auto"/>
                  </w:divBdr>
                  <w:divsChild>
                    <w:div w:id="12576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7544">
      <w:bodyDiv w:val="1"/>
      <w:marLeft w:val="0"/>
      <w:marRight w:val="0"/>
      <w:marTop w:val="0"/>
      <w:marBottom w:val="0"/>
      <w:divBdr>
        <w:top w:val="none" w:sz="0" w:space="0" w:color="auto"/>
        <w:left w:val="none" w:sz="0" w:space="0" w:color="auto"/>
        <w:bottom w:val="none" w:sz="0" w:space="0" w:color="auto"/>
        <w:right w:val="none" w:sz="0" w:space="0" w:color="auto"/>
      </w:divBdr>
    </w:div>
    <w:div w:id="1794057012">
      <w:bodyDiv w:val="1"/>
      <w:marLeft w:val="0"/>
      <w:marRight w:val="0"/>
      <w:marTop w:val="0"/>
      <w:marBottom w:val="0"/>
      <w:divBdr>
        <w:top w:val="none" w:sz="0" w:space="0" w:color="auto"/>
        <w:left w:val="none" w:sz="0" w:space="0" w:color="auto"/>
        <w:bottom w:val="none" w:sz="0" w:space="0" w:color="auto"/>
        <w:right w:val="none" w:sz="0" w:space="0" w:color="auto"/>
      </w:divBdr>
    </w:div>
    <w:div w:id="1800028561">
      <w:bodyDiv w:val="1"/>
      <w:marLeft w:val="0"/>
      <w:marRight w:val="0"/>
      <w:marTop w:val="0"/>
      <w:marBottom w:val="0"/>
      <w:divBdr>
        <w:top w:val="none" w:sz="0" w:space="0" w:color="auto"/>
        <w:left w:val="none" w:sz="0" w:space="0" w:color="auto"/>
        <w:bottom w:val="none" w:sz="0" w:space="0" w:color="auto"/>
        <w:right w:val="none" w:sz="0" w:space="0" w:color="auto"/>
      </w:divBdr>
    </w:div>
    <w:div w:id="1972705567">
      <w:bodyDiv w:val="1"/>
      <w:marLeft w:val="0"/>
      <w:marRight w:val="0"/>
      <w:marTop w:val="0"/>
      <w:marBottom w:val="0"/>
      <w:divBdr>
        <w:top w:val="none" w:sz="0" w:space="0" w:color="auto"/>
        <w:left w:val="none" w:sz="0" w:space="0" w:color="auto"/>
        <w:bottom w:val="none" w:sz="0" w:space="0" w:color="auto"/>
        <w:right w:val="none" w:sz="0" w:space="0" w:color="auto"/>
      </w:divBdr>
    </w:div>
    <w:div w:id="1995645340">
      <w:bodyDiv w:val="1"/>
      <w:marLeft w:val="0"/>
      <w:marRight w:val="0"/>
      <w:marTop w:val="0"/>
      <w:marBottom w:val="0"/>
      <w:divBdr>
        <w:top w:val="none" w:sz="0" w:space="0" w:color="auto"/>
        <w:left w:val="none" w:sz="0" w:space="0" w:color="auto"/>
        <w:bottom w:val="none" w:sz="0" w:space="0" w:color="auto"/>
        <w:right w:val="none" w:sz="0" w:space="0" w:color="auto"/>
      </w:divBdr>
    </w:div>
    <w:div w:id="2039892102">
      <w:bodyDiv w:val="1"/>
      <w:marLeft w:val="0"/>
      <w:marRight w:val="0"/>
      <w:marTop w:val="0"/>
      <w:marBottom w:val="0"/>
      <w:divBdr>
        <w:top w:val="none" w:sz="0" w:space="0" w:color="auto"/>
        <w:left w:val="none" w:sz="0" w:space="0" w:color="auto"/>
        <w:bottom w:val="none" w:sz="0" w:space="0" w:color="auto"/>
        <w:right w:val="none" w:sz="0" w:space="0" w:color="auto"/>
      </w:divBdr>
    </w:div>
    <w:div w:id="2139061718">
      <w:bodyDiv w:val="1"/>
      <w:marLeft w:val="0"/>
      <w:marRight w:val="0"/>
      <w:marTop w:val="0"/>
      <w:marBottom w:val="0"/>
      <w:divBdr>
        <w:top w:val="none" w:sz="0" w:space="0" w:color="auto"/>
        <w:left w:val="none" w:sz="0" w:space="0" w:color="auto"/>
        <w:bottom w:val="none" w:sz="0" w:space="0" w:color="auto"/>
        <w:right w:val="none" w:sz="0" w:space="0" w:color="auto"/>
      </w:divBdr>
      <w:divsChild>
        <w:div w:id="516118899">
          <w:marLeft w:val="0"/>
          <w:marRight w:val="0"/>
          <w:marTop w:val="0"/>
          <w:marBottom w:val="0"/>
          <w:divBdr>
            <w:top w:val="none" w:sz="0" w:space="0" w:color="auto"/>
            <w:left w:val="none" w:sz="0" w:space="0" w:color="auto"/>
            <w:bottom w:val="none" w:sz="0" w:space="0" w:color="auto"/>
            <w:right w:val="none" w:sz="0" w:space="0" w:color="auto"/>
          </w:divBdr>
          <w:divsChild>
            <w:div w:id="622349959">
              <w:marLeft w:val="0"/>
              <w:marRight w:val="0"/>
              <w:marTop w:val="0"/>
              <w:marBottom w:val="0"/>
              <w:divBdr>
                <w:top w:val="none" w:sz="0" w:space="0" w:color="auto"/>
                <w:left w:val="none" w:sz="0" w:space="0" w:color="auto"/>
                <w:bottom w:val="none" w:sz="0" w:space="0" w:color="auto"/>
                <w:right w:val="none" w:sz="0" w:space="0" w:color="auto"/>
              </w:divBdr>
              <w:divsChild>
                <w:div w:id="438330533">
                  <w:marLeft w:val="0"/>
                  <w:marRight w:val="0"/>
                  <w:marTop w:val="0"/>
                  <w:marBottom w:val="0"/>
                  <w:divBdr>
                    <w:top w:val="none" w:sz="0" w:space="0" w:color="auto"/>
                    <w:left w:val="none" w:sz="0" w:space="0" w:color="auto"/>
                    <w:bottom w:val="none" w:sz="0" w:space="0" w:color="auto"/>
                    <w:right w:val="none" w:sz="0" w:space="0" w:color="auto"/>
                  </w:divBdr>
                  <w:divsChild>
                    <w:div w:id="1043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5821">
          <w:marLeft w:val="0"/>
          <w:marRight w:val="0"/>
          <w:marTop w:val="0"/>
          <w:marBottom w:val="0"/>
          <w:divBdr>
            <w:top w:val="none" w:sz="0" w:space="0" w:color="auto"/>
            <w:left w:val="none" w:sz="0" w:space="0" w:color="auto"/>
            <w:bottom w:val="none" w:sz="0" w:space="0" w:color="auto"/>
            <w:right w:val="none" w:sz="0" w:space="0" w:color="auto"/>
          </w:divBdr>
          <w:divsChild>
            <w:div w:id="56248644">
              <w:marLeft w:val="0"/>
              <w:marRight w:val="0"/>
              <w:marTop w:val="0"/>
              <w:marBottom w:val="0"/>
              <w:divBdr>
                <w:top w:val="none" w:sz="0" w:space="0" w:color="auto"/>
                <w:left w:val="none" w:sz="0" w:space="0" w:color="auto"/>
                <w:bottom w:val="none" w:sz="0" w:space="0" w:color="auto"/>
                <w:right w:val="none" w:sz="0" w:space="0" w:color="auto"/>
              </w:divBdr>
              <w:divsChild>
                <w:div w:id="308368727">
                  <w:marLeft w:val="0"/>
                  <w:marRight w:val="0"/>
                  <w:marTop w:val="0"/>
                  <w:marBottom w:val="0"/>
                  <w:divBdr>
                    <w:top w:val="none" w:sz="0" w:space="0" w:color="auto"/>
                    <w:left w:val="none" w:sz="0" w:space="0" w:color="auto"/>
                    <w:bottom w:val="none" w:sz="0" w:space="0" w:color="auto"/>
                    <w:right w:val="none" w:sz="0" w:space="0" w:color="auto"/>
                  </w:divBdr>
                  <w:divsChild>
                    <w:div w:id="8253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E00ED-A7A7-4A20-903B-49D8BA84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10</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 parthiban</dc:creator>
  <cp:keywords/>
  <dc:description/>
  <cp:lastModifiedBy>logeshwari parthiban</cp:lastModifiedBy>
  <cp:revision>36</cp:revision>
  <dcterms:created xsi:type="dcterms:W3CDTF">2024-10-19T15:12:00Z</dcterms:created>
  <dcterms:modified xsi:type="dcterms:W3CDTF">2024-10-21T05:37:00Z</dcterms:modified>
</cp:coreProperties>
</file>