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f11c14e37b8aadadf2bce2a052d17e2d3bca098"/>
    <w:p>
      <w:pPr>
        <w:pStyle w:val="Heading1"/>
      </w:pPr>
      <w:r>
        <w:t xml:space="preserve">CDA Migration – Agreed Workstreams and Next Steps</w:t>
      </w:r>
    </w:p>
    <w:bookmarkStart w:id="20" w:name="X6738bc923252b706c304063c85e76988251bb75"/>
    <w:p>
      <w:pPr>
        <w:pStyle w:val="Heading2"/>
      </w:pPr>
      <w:r>
        <w:t xml:space="preserve">1. Environment Readiness and Test Data Assessment</w:t>
      </w:r>
    </w:p>
    <w:p>
      <w:pPr>
        <w:pStyle w:val="Compact"/>
        <w:numPr>
          <w:ilvl w:val="0"/>
          <w:numId w:val="1001"/>
        </w:numPr>
      </w:pPr>
      <w:r>
        <w:t xml:space="preserve">STD001 will be used as the source environment for both the Read Replica benchmark data and the CDA file generation process.</w:t>
      </w:r>
    </w:p>
    <w:p>
      <w:pPr>
        <w:pStyle w:val="Compact"/>
        <w:numPr>
          <w:ilvl w:val="0"/>
          <w:numId w:val="1001"/>
        </w:numPr>
      </w:pPr>
      <w:r>
        <w:t xml:space="preserve">For parallel validation, both Read Replica and CDA data will be ingested into core_tst and maintained in separate catalogues to support reconciliation activities.</w:t>
      </w:r>
    </w:p>
    <w:p>
      <w:pPr>
        <w:pStyle w:val="Compact"/>
        <w:numPr>
          <w:ilvl w:val="0"/>
          <w:numId w:val="1001"/>
        </w:numPr>
      </w:pPr>
      <w:r>
        <w:t xml:space="preserve">QA has visibility of Read Replica data through direct access to the source environment via the jump server and can independently assess data availability and volume.</w:t>
      </w:r>
    </w:p>
    <w:p>
      <w:pPr>
        <w:pStyle w:val="Compact"/>
        <w:numPr>
          <w:ilvl w:val="0"/>
          <w:numId w:val="1001"/>
        </w:numPr>
      </w:pPr>
      <w:r>
        <w:t xml:space="preserve">QA does not currently have access to the CDA S3 landing area and therefore requires support from the Data Engineering team to verify that manifest files and source data files have been successfully generated and downloaded from STD001 prior to ingestion.</w:t>
      </w:r>
    </w:p>
    <w:p>
      <w:pPr>
        <w:pStyle w:val="Compact"/>
        <w:numPr>
          <w:ilvl w:val="0"/>
          <w:numId w:val="1001"/>
        </w:numPr>
      </w:pPr>
      <w:r>
        <w:t xml:space="preserve">Test data coverage assessment will be performed once visibility of both Read Replica and CDA data availability has been established.</w:t>
      </w:r>
    </w:p>
    <w:p>
      <w:pPr>
        <w:pStyle w:val="Compact"/>
        <w:numPr>
          <w:ilvl w:val="0"/>
          <w:numId w:val="1001"/>
        </w:numPr>
      </w:pPr>
      <w:r>
        <w:t xml:space="preserve">As core_tst is a shared environment, impacted teams will be notified prior to reconciliation and switch-over testing activities.</w:t>
      </w:r>
    </w:p>
    <w:p>
      <w:pPr>
        <w:pStyle w:val="Compact"/>
        <w:numPr>
          <w:ilvl w:val="0"/>
          <w:numId w:val="1001"/>
        </w:numPr>
      </w:pPr>
      <w:r>
        <w:t xml:space="preserve">Data Engineering team to refresh both Read Replica and CDA datasets in core_tst and confirm environment readiness.</w:t>
      </w:r>
    </w:p>
    <w:bookmarkEnd w:id="20"/>
    <w:bookmarkStart w:id="21" w:name="reconciliation-validation"/>
    <w:p>
      <w:pPr>
        <w:pStyle w:val="Heading2"/>
      </w:pPr>
      <w:r>
        <w:t xml:space="preserve">2. Reconciliation Validation</w:t>
      </w:r>
    </w:p>
    <w:p>
      <w:pPr>
        <w:pStyle w:val="Compact"/>
        <w:numPr>
          <w:ilvl w:val="0"/>
          <w:numId w:val="1002"/>
        </w:numPr>
      </w:pPr>
      <w:r>
        <w:t xml:space="preserve">QA will develop an automated test framework to compare Read Replica and CDA ODS Views across the BillingCenter, ClaimCenter, and PolicyCenter domains.</w:t>
      </w:r>
    </w:p>
    <w:p>
      <w:pPr>
        <w:pStyle w:val="Compact"/>
        <w:numPr>
          <w:ilvl w:val="0"/>
          <w:numId w:val="1002"/>
        </w:numPr>
      </w:pPr>
      <w:r>
        <w:t xml:space="preserve">Validation will include schema, count, DDL, data format, and row-level comparison using agreed watermark/cutoff points.</w:t>
      </w:r>
    </w:p>
    <w:p>
      <w:pPr>
        <w:pStyle w:val="Compact"/>
        <w:numPr>
          <w:ilvl w:val="0"/>
          <w:numId w:val="1002"/>
        </w:numPr>
      </w:pPr>
      <w:r>
        <w:t xml:space="preserve">The QA automation framework is intended for migration validation activities only and is separate from the production reconciliation monitoring solution being developed by the Data Engineering team.</w:t>
      </w:r>
    </w:p>
    <w:p>
      <w:pPr>
        <w:pStyle w:val="Compact"/>
        <w:numPr>
          <w:ilvl w:val="0"/>
          <w:numId w:val="1002"/>
        </w:numPr>
      </w:pPr>
      <w:r>
        <w:t xml:space="preserve">Detailed row-level reconciliation will be performed across the identified 691 Guidewire source tables during testing.</w:t>
      </w:r>
    </w:p>
    <w:p>
      <w:pPr>
        <w:pStyle w:val="Compact"/>
        <w:numPr>
          <w:ilvl w:val="0"/>
          <w:numId w:val="1002"/>
        </w:numPr>
      </w:pPr>
      <w:r>
        <w:t xml:space="preserve">Production row-level reconciliation will be limited to business-critical tables, with the final scope to be agreed by Graham and Glen.</w:t>
      </w:r>
    </w:p>
    <w:bookmarkEnd w:id="21"/>
    <w:bookmarkStart w:id="22" w:name="Xb18555f0ae923ee6822bbf23d744b88b11a07b2"/>
    <w:p>
      <w:pPr>
        <w:pStyle w:val="Heading2"/>
      </w:pPr>
      <w:r>
        <w:t xml:space="preserve">3. Reconciliation Monitoring, Reporting and Scheduling</w:t>
      </w:r>
    </w:p>
    <w:p>
      <w:pPr>
        <w:pStyle w:val="Compact"/>
        <w:numPr>
          <w:ilvl w:val="0"/>
          <w:numId w:val="1003"/>
        </w:numPr>
      </w:pPr>
      <w:r>
        <w:t xml:space="preserve">A separate productionised reconciliation monitoring solution will be implemented by the Development/Data Engineering team to perform daily point-in-time validation using the previous completed business day’s data.</w:t>
      </w:r>
    </w:p>
    <w:p>
      <w:pPr>
        <w:pStyle w:val="Compact"/>
        <w:numPr>
          <w:ilvl w:val="0"/>
          <w:numId w:val="1003"/>
        </w:numPr>
      </w:pPr>
      <w:r>
        <w:t xml:space="preserve">The monitoring solution will operate independently of the final CDA ingestion frequency.</w:t>
      </w:r>
    </w:p>
    <w:p>
      <w:pPr>
        <w:pStyle w:val="Compact"/>
        <w:numPr>
          <w:ilvl w:val="0"/>
          <w:numId w:val="1003"/>
        </w:numPr>
      </w:pPr>
      <w:r>
        <w:t xml:space="preserve">The final CDA ingestion frequency and operational schedule will be determined at a later stage based on ingestion architecture, compute utilisation, and cost considerations.</w:t>
      </w:r>
    </w:p>
    <w:p>
      <w:pPr>
        <w:pStyle w:val="Compact"/>
        <w:numPr>
          <w:ilvl w:val="0"/>
          <w:numId w:val="1003"/>
        </w:numPr>
      </w:pPr>
      <w:r>
        <w:t xml:space="preserve">Reconciliation monitoring will continue to use the previous completed business day’s data irrespective of the final ingestion frequency selected.</w:t>
      </w:r>
    </w:p>
    <w:p>
      <w:pPr>
        <w:pStyle w:val="Compact"/>
        <w:numPr>
          <w:ilvl w:val="0"/>
          <w:numId w:val="1003"/>
        </w:numPr>
      </w:pPr>
      <w:r>
        <w:t xml:space="preserve">Alignment between CDA ingestion completion times and reconciliation execution windows will be confirmed during implementation.</w:t>
      </w:r>
    </w:p>
    <w:p>
      <w:pPr>
        <w:pStyle w:val="Compact"/>
        <w:numPr>
          <w:ilvl w:val="0"/>
          <w:numId w:val="1003"/>
        </w:numPr>
      </w:pPr>
      <w:r>
        <w:t xml:space="preserve">Reporting and dashboard requirements will be aligned with the Service Excellence team’s centralised monitoring framework.</w:t>
      </w:r>
    </w:p>
    <w:p>
      <w:pPr>
        <w:pStyle w:val="Compact"/>
        <w:numPr>
          <w:ilvl w:val="0"/>
          <w:numId w:val="1003"/>
        </w:numPr>
      </w:pPr>
      <w:r>
        <w:t xml:space="preserve">Reconciliation monitoring results will provide ongoing visibility of data quality, anomalies, and behavioural differences during the parallel monitoring period.</w:t>
      </w:r>
    </w:p>
    <w:bookmarkEnd w:id="22"/>
    <w:bookmarkStart w:id="23" w:name="schema-drift-validation"/>
    <w:p>
      <w:pPr>
        <w:pStyle w:val="Heading2"/>
      </w:pPr>
      <w:r>
        <w:t xml:space="preserve">4. Schema Drift Validation</w:t>
      </w:r>
    </w:p>
    <w:p>
      <w:pPr>
        <w:pStyle w:val="Compact"/>
        <w:numPr>
          <w:ilvl w:val="0"/>
          <w:numId w:val="1004"/>
        </w:numPr>
      </w:pPr>
      <w:r>
        <w:t xml:space="preserve">Hazel is exploring opportunities to leverage planned Guidewire delivery activities, including LV Motors changes, to validate source-level DDL changes and schema drift detection as part of this migration initiative.</w:t>
      </w:r>
    </w:p>
    <w:p>
      <w:pPr>
        <w:pStyle w:val="Compact"/>
        <w:numPr>
          <w:ilvl w:val="0"/>
          <w:numId w:val="1004"/>
        </w:numPr>
      </w:pPr>
      <w:r>
        <w:t xml:space="preserve">Data Engineering and Guidewire teams will provide visibility of planned schema changes that may support validation activities.</w:t>
      </w:r>
    </w:p>
    <w:p>
      <w:pPr>
        <w:pStyle w:val="Compact"/>
        <w:numPr>
          <w:ilvl w:val="0"/>
          <w:numId w:val="1004"/>
        </w:numPr>
      </w:pPr>
      <w:r>
        <w:t xml:space="preserve">Based on the available change opportunities, QA will develop an automated schema drift validation framework to identify structural differences between Read Replica and CDA implementations.</w:t>
      </w:r>
    </w:p>
    <w:p>
      <w:pPr>
        <w:pStyle w:val="Compact"/>
        <w:numPr>
          <w:ilvl w:val="0"/>
          <w:numId w:val="1004"/>
        </w:numPr>
      </w:pPr>
      <w:r>
        <w:t xml:space="preserve">Validation will focus on additions, removals, datatype changes, nullability changes, and other schema-related changes that may impact downstream processing.</w:t>
      </w:r>
    </w:p>
    <w:bookmarkEnd w:id="23"/>
    <w:bookmarkStart w:id="24" w:name="X0f96a81109a622480b4fb3216494815b188678a"/>
    <w:p>
      <w:pPr>
        <w:pStyle w:val="Heading2"/>
      </w:pPr>
      <w:r>
        <w:t xml:space="preserve">5. Data Validation Scope and Performance Assessment</w:t>
      </w:r>
    </w:p>
    <w:p>
      <w:pPr>
        <w:pStyle w:val="Compact"/>
        <w:numPr>
          <w:ilvl w:val="0"/>
          <w:numId w:val="1005"/>
        </w:numPr>
      </w:pPr>
      <w:r>
        <w:t xml:space="preserve">Full row-level reconciliation across all downstream objects was considered impractical due to volume and execution time.</w:t>
      </w:r>
    </w:p>
    <w:p>
      <w:pPr>
        <w:pStyle w:val="Compact"/>
        <w:numPr>
          <w:ilvl w:val="0"/>
          <w:numId w:val="1005"/>
        </w:numPr>
      </w:pPr>
      <w:r>
        <w:t xml:space="preserve">Validation activities will focus on the identified 691 Guidewire source tables, with detailed production monitoring limited to agreed business-critical datasets.</w:t>
      </w:r>
    </w:p>
    <w:p>
      <w:pPr>
        <w:pStyle w:val="Compact"/>
        <w:numPr>
          <w:ilvl w:val="0"/>
          <w:numId w:val="1005"/>
        </w:numPr>
      </w:pPr>
      <w:r>
        <w:t xml:space="preserve">Subject to data availability, light-touch performance comparisons may be performed between Read Replica and CDA ingestion processing.</w:t>
      </w:r>
    </w:p>
    <w:p>
      <w:pPr>
        <w:pStyle w:val="Compact"/>
        <w:numPr>
          <w:ilvl w:val="0"/>
          <w:numId w:val="1005"/>
        </w:numPr>
      </w:pPr>
      <w:r>
        <w:t xml:space="preserve">Test environment performance results will be used for indicative comparison only and will not be treated as production-scale benchmarks.</w:t>
      </w:r>
    </w:p>
    <w:p>
      <w:pPr>
        <w:pStyle w:val="Compact"/>
        <w:numPr>
          <w:ilvl w:val="0"/>
          <w:numId w:val="1005"/>
        </w:numPr>
      </w:pPr>
      <w:r>
        <w:t xml:space="preserve">Similar high-level performance and processing trend observations will be monitored during the production parallel run period.</w:t>
      </w:r>
    </w:p>
    <w:bookmarkEnd w:id="24"/>
    <w:bookmarkStart w:id="25" w:name="X9bf6ecea8e725ab6fb45a07dc77e26276c78e52"/>
    <w:p>
      <w:pPr>
        <w:pStyle w:val="Heading2"/>
      </w:pPr>
      <w:r>
        <w:t xml:space="preserve">6. Switch-over Testing and Rollback Validation</w:t>
      </w:r>
    </w:p>
    <w:p>
      <w:pPr>
        <w:pStyle w:val="Compact"/>
        <w:numPr>
          <w:ilvl w:val="0"/>
          <w:numId w:val="1006"/>
        </w:numPr>
      </w:pPr>
      <w:r>
        <w:t xml:space="preserve">Switch-over testing will commence following successful completion of reconciliation and schema drift validation activities.</w:t>
      </w:r>
    </w:p>
    <w:p>
      <w:pPr>
        <w:pStyle w:val="Compact"/>
        <w:numPr>
          <w:ilvl w:val="0"/>
          <w:numId w:val="1006"/>
        </w:numPr>
      </w:pPr>
      <w:r>
        <w:t xml:space="preserve">Data Engineering team will provide downstream impact analysis covering impacted jobs, pipelines, tables, notebooks, and consuming teams.</w:t>
      </w:r>
    </w:p>
    <w:p>
      <w:pPr>
        <w:pStyle w:val="Compact"/>
        <w:numPr>
          <w:ilvl w:val="0"/>
          <w:numId w:val="1006"/>
        </w:numPr>
      </w:pPr>
      <w:r>
        <w:t xml:space="preserve">Based on the impact assessment, Graham will define the switch-over testing approach and manual validation effort.</w:t>
      </w:r>
    </w:p>
    <w:p>
      <w:pPr>
        <w:pStyle w:val="Compact"/>
        <w:numPr>
          <w:ilvl w:val="0"/>
          <w:numId w:val="1006"/>
        </w:numPr>
      </w:pPr>
      <w:r>
        <w:t xml:space="preserve">Testing activities will include validation of downstream jobs, pipelines, and business processes using CDA as the source.</w:t>
      </w:r>
    </w:p>
    <w:p>
      <w:pPr>
        <w:pStyle w:val="Compact"/>
        <w:numPr>
          <w:ilvl w:val="0"/>
          <w:numId w:val="1006"/>
        </w:numPr>
      </w:pPr>
      <w:r>
        <w:t xml:space="preserve">Existing rollback mechanisms based on the current truncate-and-reload processing approach were confirmed as the recovery path should issues be identified during switch-over testing.</w:t>
      </w:r>
    </w:p>
    <w:bookmarkEnd w:id="25"/>
    <w:bookmarkStart w:id="26" w:name="production-cutover-planning"/>
    <w:p>
      <w:pPr>
        <w:pStyle w:val="Heading2"/>
      </w:pPr>
      <w:r>
        <w:t xml:space="preserve">7. Production Cutover Planning</w:t>
      </w:r>
    </w:p>
    <w:p>
      <w:pPr>
        <w:pStyle w:val="Compact"/>
        <w:numPr>
          <w:ilvl w:val="0"/>
          <w:numId w:val="1007"/>
        </w:numPr>
      </w:pPr>
      <w:r>
        <w:t xml:space="preserve">Production cutover planning will be undertaken following successful completion of reconciliation monitoring, schema drift validation, and switch-over testing.</w:t>
      </w:r>
    </w:p>
    <w:p>
      <w:pPr>
        <w:pStyle w:val="Compact"/>
        <w:numPr>
          <w:ilvl w:val="0"/>
          <w:numId w:val="1007"/>
        </w:numPr>
      </w:pPr>
      <w:r>
        <w:t xml:space="preserve">A controlled watermark/cutoff approach is expected to be used to minimise the risk of duplicate or missing data processing during transition from Read Replica to CDA.</w:t>
      </w:r>
    </w:p>
    <w:p>
      <w:pPr>
        <w:pStyle w:val="Compact"/>
        <w:numPr>
          <w:ilvl w:val="0"/>
          <w:numId w:val="1007"/>
        </w:numPr>
      </w:pPr>
      <w:r>
        <w:t xml:space="preserve">Following an agreed period of successful parallel monitoring, downstream processing will transition from Read Replica to CDA using the agreed cutoff point.</w:t>
      </w:r>
    </w:p>
    <w:p>
      <w:pPr>
        <w:pStyle w:val="Compact"/>
        <w:numPr>
          <w:ilvl w:val="0"/>
          <w:numId w:val="1007"/>
        </w:numPr>
      </w:pPr>
      <w:r>
        <w:t xml:space="preserve">Existing rollback procedures will remain available should any post-cutover issues be identified.</w:t>
      </w:r>
    </w:p>
    <w:p>
      <w:pPr>
        <w:pStyle w:val="Compact"/>
        <w:numPr>
          <w:ilvl w:val="0"/>
          <w:numId w:val="1007"/>
        </w:numPr>
      </w:pPr>
      <w:r>
        <w:t xml:space="preserve">Project, Operations, and Data Engineering teams will define the final cutover strategy, implementation timeline, operational runbook, and rollback procedures as part of the production readiness phase.</w:t>
      </w:r>
    </w:p>
    <w:bookmarkEnd w:id="26"/>
    <w:bookmarkStart w:id="27" w:name="validation-success-criteria"/>
    <w:p>
      <w:pPr>
        <w:pStyle w:val="Heading2"/>
      </w:pPr>
      <w:r>
        <w:t xml:space="preserve">Validation Success Criteria</w:t>
      </w:r>
    </w:p>
    <w:p>
      <w:pPr>
        <w:pStyle w:val="Compact"/>
        <w:numPr>
          <w:ilvl w:val="0"/>
          <w:numId w:val="1008"/>
        </w:numPr>
      </w:pPr>
      <w:r>
        <w:t xml:space="preserve">CDA ODS Views produce equivalent business outcomes to the Read Replica benchmark for the agreed test scope.</w:t>
      </w:r>
    </w:p>
    <w:p>
      <w:pPr>
        <w:pStyle w:val="Compact"/>
        <w:numPr>
          <w:ilvl w:val="0"/>
          <w:numId w:val="1008"/>
        </w:numPr>
      </w:pPr>
      <w:r>
        <w:t xml:space="preserve">No critical schema drift issues remain unresolved.</w:t>
      </w:r>
    </w:p>
    <w:p>
      <w:pPr>
        <w:pStyle w:val="Compact"/>
        <w:numPr>
          <w:ilvl w:val="0"/>
          <w:numId w:val="1008"/>
        </w:numPr>
      </w:pPr>
      <w:r>
        <w:t xml:space="preserve">Business-critical tables identified for detailed validation meet agreed reconciliation thresholds.</w:t>
      </w:r>
    </w:p>
    <w:p>
      <w:pPr>
        <w:pStyle w:val="Compact"/>
        <w:numPr>
          <w:ilvl w:val="0"/>
          <w:numId w:val="1008"/>
        </w:numPr>
      </w:pPr>
      <w:r>
        <w:t xml:space="preserve">Switch-over testing demonstrates that downstream jobs and pipelines continue to operate successfully using CDA as the source.</w:t>
      </w:r>
    </w:p>
    <w:p>
      <w:pPr>
        <w:pStyle w:val="Compact"/>
        <w:numPr>
          <w:ilvl w:val="0"/>
          <w:numId w:val="1008"/>
        </w:numPr>
      </w:pPr>
      <w:r>
        <w:t xml:space="preserve">Any identified defects are resolved or formally accepted by project stakeholders.</w:t>
      </w:r>
    </w:p>
    <w:p>
      <w:pPr>
        <w:pStyle w:val="Compact"/>
        <w:numPr>
          <w:ilvl w:val="0"/>
          <w:numId w:val="1008"/>
        </w:numPr>
      </w:pPr>
      <w:r>
        <w:t xml:space="preserve">QA, Data Engineering, and business stakeholders agree that sufficient confidence has been established to support production cutover planning.</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2026-06-04T14:44:58Z</dcterms:created>
  <dcterms:modified xsi:type="dcterms:W3CDTF">2026-06-04T14:44:58Z</dcterms:modified>
</cp:coreProperties>
</file>

<file path=docProps/custom.xml><?xml version="1.0" encoding="utf-8"?>
<Properties xmlns="http://schemas.openxmlformats.org/officeDocument/2006/custom-properties" xmlns:vt="http://schemas.openxmlformats.org/officeDocument/2006/docPropsVTypes"/>
</file>