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3b78815afc9514fbc1d8e70d3c63881acbb3a1"/>
    <w:p>
      <w:pPr>
        <w:pStyle w:val="Heading1"/>
      </w:pPr>
      <w:r>
        <w:t xml:space="preserve">Guidewire CDA Migration – QA Validation Approach and Meeting Summary</w:t>
      </w:r>
    </w:p>
    <w:bookmarkStart w:id="23" w:name="qa-scope-and-validation-approach"/>
    <w:p>
      <w:pPr>
        <w:pStyle w:val="Heading2"/>
      </w:pPr>
      <w:r>
        <w:t xml:space="preserve">QA Scope and Validation Approach</w:t>
      </w:r>
    </w:p>
    <w:p>
      <w:pPr>
        <w:pStyle w:val="FirstParagraph"/>
      </w:pPr>
      <w:r>
        <w:t xml:space="preserve">The primary objective from a QA perspective is to provide confidence that the CDA-based ingestion solution produces equivalent business outcomes to the existing Read Replica implementation before any production cutover decision is made.</w:t>
      </w:r>
    </w:p>
    <w:p>
      <w:pPr>
        <w:pStyle w:val="BodyText"/>
      </w:pPr>
      <w:r>
        <w:t xml:space="preserve">The QA validation approach will focus on three key areas:</w:t>
      </w:r>
    </w:p>
    <w:bookmarkStart w:id="20" w:name="X596261752eaf699db80059078e9973b45786989"/>
    <w:p>
      <w:pPr>
        <w:pStyle w:val="Heading3"/>
      </w:pPr>
      <w:r>
        <w:t xml:space="preserve">1. Reconciliation Testing (QA Test Automation Framework)</w:t>
      </w:r>
    </w:p>
    <w:p>
      <w:pPr>
        <w:pStyle w:val="FirstParagraph"/>
      </w:pPr>
      <w:r>
        <w:t xml:space="preserve">An automated test framework will be developed to compare Read Replica and CDA datasets during testing.</w:t>
      </w:r>
    </w:p>
    <w:p>
      <w:pPr>
        <w:pStyle w:val="BodyText"/>
      </w:pPr>
      <w:r>
        <w:t xml:space="preserve">Validation will include:</w:t>
      </w:r>
    </w:p>
    <w:p>
      <w:pPr>
        <w:pStyle w:val="Compact"/>
        <w:numPr>
          <w:ilvl w:val="0"/>
          <w:numId w:val="1001"/>
        </w:numPr>
      </w:pPr>
      <w:r>
        <w:t xml:space="preserve">Schema comparison</w:t>
      </w:r>
    </w:p>
    <w:p>
      <w:pPr>
        <w:pStyle w:val="Compact"/>
        <w:numPr>
          <w:ilvl w:val="0"/>
          <w:numId w:val="1001"/>
        </w:numPr>
      </w:pPr>
      <w:r>
        <w:t xml:space="preserve">Row count comparison</w:t>
      </w:r>
    </w:p>
    <w:p>
      <w:pPr>
        <w:pStyle w:val="Compact"/>
        <w:numPr>
          <w:ilvl w:val="0"/>
          <w:numId w:val="1001"/>
        </w:numPr>
      </w:pPr>
      <w:r>
        <w:t xml:space="preserve">DDL validation</w:t>
      </w:r>
    </w:p>
    <w:p>
      <w:pPr>
        <w:pStyle w:val="Compact"/>
        <w:numPr>
          <w:ilvl w:val="0"/>
          <w:numId w:val="1001"/>
        </w:numPr>
      </w:pPr>
      <w:r>
        <w:t xml:space="preserve">Data format validation</w:t>
      </w:r>
    </w:p>
    <w:p>
      <w:pPr>
        <w:pStyle w:val="Compact"/>
        <w:numPr>
          <w:ilvl w:val="0"/>
          <w:numId w:val="1001"/>
        </w:numPr>
      </w:pPr>
      <w:r>
        <w:t xml:space="preserve">Row-level data comparison using agreed watermark/cutoff points</w:t>
      </w:r>
    </w:p>
    <w:p>
      <w:pPr>
        <w:pStyle w:val="FirstParagraph"/>
      </w:pPr>
      <w:r>
        <w:t xml:space="preserve">This framework is intended for</w:t>
      </w:r>
      <w:r>
        <w:t xml:space="preserve"> </w:t>
      </w:r>
      <w:r>
        <w:rPr>
          <w:b/>
          <w:bCs/>
        </w:rPr>
        <w:t xml:space="preserve">test validation purposes only</w:t>
      </w:r>
      <w:r>
        <w:t xml:space="preserve"> </w:t>
      </w:r>
      <w:r>
        <w:t xml:space="preserve">and is separate from the productionised reconciliation monitoring solution being developed by the Data Engineering team.</w:t>
      </w:r>
    </w:p>
    <w:bookmarkEnd w:id="20"/>
    <w:bookmarkStart w:id="21" w:name="X13dfca148d5af9b18305d46be89ff550745ce78"/>
    <w:p>
      <w:pPr>
        <w:pStyle w:val="Heading3"/>
      </w:pPr>
      <w:r>
        <w:t xml:space="preserve">2. Schema Drift Validation (QA Test Automation Framework)</w:t>
      </w:r>
    </w:p>
    <w:p>
      <w:pPr>
        <w:pStyle w:val="FirstParagraph"/>
      </w:pPr>
      <w:r>
        <w:t xml:space="preserve">An automated approach will be implemented to identify schema changes between the Read Replica and CDA implementations.</w:t>
      </w:r>
    </w:p>
    <w:p>
      <w:pPr>
        <w:pStyle w:val="BodyText"/>
      </w:pPr>
      <w:r>
        <w:t xml:space="preserve">Validation will focus on:</w:t>
      </w:r>
    </w:p>
    <w:p>
      <w:pPr>
        <w:pStyle w:val="Compact"/>
        <w:numPr>
          <w:ilvl w:val="0"/>
          <w:numId w:val="1002"/>
        </w:numPr>
      </w:pPr>
      <w:r>
        <w:t xml:space="preserve">New columns</w:t>
      </w:r>
    </w:p>
    <w:p>
      <w:pPr>
        <w:pStyle w:val="Compact"/>
        <w:numPr>
          <w:ilvl w:val="0"/>
          <w:numId w:val="1002"/>
        </w:numPr>
      </w:pPr>
      <w:r>
        <w:t xml:space="preserve">Removed columns</w:t>
      </w:r>
    </w:p>
    <w:p>
      <w:pPr>
        <w:pStyle w:val="Compact"/>
        <w:numPr>
          <w:ilvl w:val="0"/>
          <w:numId w:val="1002"/>
        </w:numPr>
      </w:pPr>
      <w:r>
        <w:t xml:space="preserve">Datatype changes</w:t>
      </w:r>
    </w:p>
    <w:p>
      <w:pPr>
        <w:pStyle w:val="Compact"/>
        <w:numPr>
          <w:ilvl w:val="0"/>
          <w:numId w:val="1002"/>
        </w:numPr>
      </w:pPr>
      <w:r>
        <w:t xml:space="preserve">Nullability changes</w:t>
      </w:r>
    </w:p>
    <w:p>
      <w:pPr>
        <w:pStyle w:val="Compact"/>
        <w:numPr>
          <w:ilvl w:val="0"/>
          <w:numId w:val="1002"/>
        </w:numPr>
      </w:pPr>
      <w:r>
        <w:t xml:space="preserve">Other structural changes that may impact downstream processing</w:t>
      </w:r>
    </w:p>
    <w:p>
      <w:pPr>
        <w:pStyle w:val="FirstParagraph"/>
      </w:pPr>
      <w:r>
        <w:t xml:space="preserve">This capability is intended to support migration testing and readiness assessment activities.</w:t>
      </w:r>
    </w:p>
    <w:bookmarkEnd w:id="21"/>
    <w:bookmarkStart w:id="22" w:name="switch-over-validation-manual-testing"/>
    <w:p>
      <w:pPr>
        <w:pStyle w:val="Heading3"/>
      </w:pPr>
      <w:r>
        <w:t xml:space="preserve">3. Switch-over Validation (Manual Testing)</w:t>
      </w:r>
    </w:p>
    <w:p>
      <w:pPr>
        <w:pStyle w:val="FirstParagraph"/>
      </w:pPr>
      <w:r>
        <w:t xml:space="preserve">Following successful reconciliation and schema drift validation, switch-over testing will be performed to validate downstream jobs, pipelines, and business processes using CDA as the source.</w:t>
      </w:r>
    </w:p>
    <w:p>
      <w:pPr>
        <w:pStyle w:val="BodyText"/>
      </w:pPr>
      <w:r>
        <w:t xml:space="preserve">This activity will primarily be a manual validation exercise based on the downstream impact assessment provided by the Data Engineering team.</w:t>
      </w:r>
    </w:p>
    <w:p>
      <w:r>
        <w:pict>
          <v:rect style="width:0;height:1.5pt" o:hralign="center" o:hrstd="t" o:hr="t"/>
        </w:pict>
      </w:r>
    </w:p>
    <w:bookmarkEnd w:id="22"/>
    <w:bookmarkEnd w:id="23"/>
    <w:bookmarkStart w:id="24" w:name="validation-success-criteria"/>
    <w:p>
      <w:pPr>
        <w:pStyle w:val="Heading2"/>
      </w:pPr>
      <w:r>
        <w:t xml:space="preserve">Validation Success Criteria</w:t>
      </w:r>
    </w:p>
    <w:p>
      <w:pPr>
        <w:pStyle w:val="FirstParagraph"/>
      </w:pPr>
      <w:r>
        <w:t xml:space="preserve">The CDA migration validation activities will be considered successful when:</w:t>
      </w:r>
    </w:p>
    <w:p>
      <w:pPr>
        <w:pStyle w:val="Compact"/>
        <w:numPr>
          <w:ilvl w:val="0"/>
          <w:numId w:val="1003"/>
        </w:numPr>
      </w:pPr>
      <w:r>
        <w:t xml:space="preserve">CDA ODS Views produce equivalent business outcomes to the Read Replica benchmark for the agreed test scope.</w:t>
      </w:r>
    </w:p>
    <w:p>
      <w:pPr>
        <w:pStyle w:val="Compact"/>
        <w:numPr>
          <w:ilvl w:val="0"/>
          <w:numId w:val="1003"/>
        </w:numPr>
      </w:pPr>
      <w:r>
        <w:t xml:space="preserve">No critical schema drift issues remain unresolved.</w:t>
      </w:r>
    </w:p>
    <w:p>
      <w:pPr>
        <w:pStyle w:val="Compact"/>
        <w:numPr>
          <w:ilvl w:val="0"/>
          <w:numId w:val="1003"/>
        </w:numPr>
      </w:pPr>
      <w:r>
        <w:t xml:space="preserve">Business-critical tables identified for detailed validation meet agreed reconciliation thresholds.</w:t>
      </w:r>
    </w:p>
    <w:p>
      <w:pPr>
        <w:pStyle w:val="Compact"/>
        <w:numPr>
          <w:ilvl w:val="0"/>
          <w:numId w:val="1003"/>
        </w:numPr>
      </w:pPr>
      <w:r>
        <w:t xml:space="preserve">Switch-over testing demonstrates that downstream jobs and pipelines continue to operate successfully using CDA as the source.</w:t>
      </w:r>
    </w:p>
    <w:p>
      <w:pPr>
        <w:pStyle w:val="Compact"/>
        <w:numPr>
          <w:ilvl w:val="0"/>
          <w:numId w:val="1003"/>
        </w:numPr>
      </w:pPr>
      <w:r>
        <w:t xml:space="preserve">Any identified defects are resolved or formally accepted by project stakeholders.</w:t>
      </w:r>
    </w:p>
    <w:p>
      <w:pPr>
        <w:pStyle w:val="Compact"/>
        <w:numPr>
          <w:ilvl w:val="0"/>
          <w:numId w:val="1003"/>
        </w:numPr>
      </w:pPr>
      <w:r>
        <w:t xml:space="preserve">QA, Data Engineering, and business stakeholders agree that sufficient confidence has been established to support production cutover planning.</w:t>
      </w:r>
    </w:p>
    <w:p>
      <w:r>
        <w:pict>
          <v:rect style="width:0;height:1.5pt" o:hralign="center" o:hrstd="t" o:hr="t"/>
        </w:pict>
      </w:r>
    </w:p>
    <w:bookmarkEnd w:id="24"/>
    <w:bookmarkEnd w:id="25"/>
    <w:bookmarkStart w:id="26" w:name="meeting-summary"/>
    <w:p>
      <w:pPr>
        <w:pStyle w:val="Heading1"/>
      </w:pPr>
      <w:r>
        <w:t xml:space="preserve">Meeting Summary</w:t>
      </w:r>
    </w:p>
    <w:tbl>
      <w:tblPr>
        <w:tblStyle w:val="Table"/>
        <w:tblW w:type="pct" w:w="5000"/>
        <w:tblLayout w:type="fixed"/>
        <w:tblLook w:firstRow="1" w:lastRow="0" w:firstColumn="0" w:lastColumn="0" w:noHBand="0" w:noVBand="0" w:val="0020"/>
      </w:tblPr>
      <w:tblGrid>
        <w:gridCol w:w="304"/>
        <w:gridCol w:w="1827"/>
        <w:gridCol w:w="1929"/>
        <w:gridCol w:w="1320"/>
        <w:gridCol w:w="1320"/>
        <w:gridCol w:w="1218"/>
      </w:tblGrid>
      <w:tr>
        <w:trPr>
          <w:tblHeader w:val="on"/>
        </w:trPr>
        <w:tc>
          <w:tcPr/>
          <w:p>
            <w:pPr>
              <w:pStyle w:val="Compact"/>
            </w:pPr>
            <w:r>
              <w:t xml:space="preserve">#</w:t>
            </w:r>
          </w:p>
        </w:tc>
        <w:tc>
          <w:tcPr/>
          <w:p>
            <w:pPr>
              <w:pStyle w:val="Compact"/>
            </w:pPr>
            <w:r>
              <w:t xml:space="preserve">Topic Discussed</w:t>
            </w:r>
          </w:p>
        </w:tc>
        <w:tc>
          <w:tcPr/>
          <w:p>
            <w:pPr>
              <w:pStyle w:val="Compact"/>
            </w:pPr>
            <w:r>
              <w:t xml:space="preserve">Outcome / Decision</w:t>
            </w:r>
          </w:p>
        </w:tc>
        <w:tc>
          <w:tcPr/>
          <w:p>
            <w:pPr>
              <w:pStyle w:val="Compact"/>
            </w:pPr>
            <w:r>
              <w:t xml:space="preserve">Assumptions</w:t>
            </w:r>
          </w:p>
        </w:tc>
        <w:tc>
          <w:tcPr/>
          <w:p>
            <w:pPr>
              <w:pStyle w:val="Compact"/>
            </w:pPr>
            <w:r>
              <w:t xml:space="preserve">Dependencies</w:t>
            </w:r>
          </w:p>
        </w:tc>
        <w:tc>
          <w:tcPr/>
          <w:p>
            <w:pPr>
              <w:pStyle w:val="Compact"/>
            </w:pPr>
            <w:r>
              <w:t xml:space="preserve">Action Item</w:t>
            </w:r>
          </w:p>
        </w:tc>
      </w:tr>
      <w:tr>
        <w:tc>
          <w:tcPr/>
          <w:p>
            <w:pPr>
              <w:pStyle w:val="Compact"/>
            </w:pPr>
            <w:r>
              <w:t xml:space="preserve">1</w:t>
            </w:r>
          </w:p>
        </w:tc>
        <w:tc>
          <w:tcPr/>
          <w:p>
            <w:pPr>
              <w:pStyle w:val="Compact"/>
            </w:pPr>
            <w:r>
              <w:t xml:space="preserve">Parallel Monitoring Test Environment</w:t>
            </w:r>
          </w:p>
        </w:tc>
        <w:tc>
          <w:tcPr/>
          <w:p>
            <w:pPr>
              <w:pStyle w:val="Compact"/>
            </w:pPr>
            <w:r>
              <w:t xml:space="preserve">STD001 was confirmed as the Read Replica benchmark environment and core_tst was confirmed as the CDA validation environment. Previous CDA trial loads and validation activities have already been performed in core_tst, resulting in established catalogues, views, jobs, pipelines, and supporting structures that can be reused for reconciliation and switch-over testing.</w:t>
            </w:r>
          </w:p>
        </w:tc>
        <w:tc>
          <w:tcPr/>
          <w:p>
            <w:pPr>
              <w:pStyle w:val="Compact"/>
            </w:pPr>
            <w:r>
              <w:t xml:space="preserve">Existing downstream Silver jobs, pipelines, and associated processing logic in core_tst are aligned with the current production code base and are representative of production processing behaviour.</w:t>
            </w:r>
          </w:p>
        </w:tc>
        <w:tc>
          <w:tcPr/>
          <w:p>
            <w:pPr>
              <w:pStyle w:val="Compact"/>
            </w:pPr>
            <w:r>
              <w:t xml:space="preserve">Data Engineering team to refresh both Read Replica and CDA datasets in core_tst and provide support for controlled execution of existing jobs and pipelines. Coordination required with teams utilising the shared core_tst environment.</w:t>
            </w:r>
          </w:p>
        </w:tc>
        <w:tc>
          <w:tcPr/>
          <w:p>
            <w:pPr>
              <w:pStyle w:val="Compact"/>
            </w:pPr>
            <w:r>
              <w:t xml:space="preserve">Refresh CDA datasets in core_tst and notify impacted teams of planned testing activities.</w:t>
            </w:r>
          </w:p>
        </w:tc>
      </w:tr>
      <w:tr>
        <w:tc>
          <w:tcPr/>
          <w:p>
            <w:pPr>
              <w:pStyle w:val="Compact"/>
            </w:pPr>
            <w:r>
              <w:t xml:space="preserve">2</w:t>
            </w:r>
          </w:p>
        </w:tc>
        <w:tc>
          <w:tcPr/>
          <w:p>
            <w:pPr>
              <w:pStyle w:val="Compact"/>
            </w:pPr>
            <w:r>
              <w:t xml:space="preserve">Reconciliation Monitoring and Dashboard</w:t>
            </w:r>
          </w:p>
        </w:tc>
        <w:tc>
          <w:tcPr/>
          <w:p>
            <w:pPr>
              <w:pStyle w:val="Compact"/>
            </w:pPr>
            <w:r>
              <w:t xml:space="preserve">Reconciliation monitoring will be productionised through an automated data pipeline executing daily against the previous business day’s data. Results will be surfaced through a centralised dashboard.</w:t>
            </w:r>
          </w:p>
        </w:tc>
        <w:tc>
          <w:tcPr/>
          <w:p>
            <w:pPr>
              <w:pStyle w:val="Compact"/>
            </w:pPr>
            <w:r>
              <w:t xml:space="preserve">Daily reconciliation is sufficient for monitoring purposes. Detailed row-level reconciliation will be limited to business-critical tables.</w:t>
            </w:r>
          </w:p>
        </w:tc>
        <w:tc>
          <w:tcPr/>
          <w:p>
            <w:pPr>
              <w:pStyle w:val="Compact"/>
            </w:pPr>
            <w:r>
              <w:t xml:space="preserve">Reconciliation monitoring developer and Service Excellence dashboard framework.</w:t>
            </w:r>
          </w:p>
        </w:tc>
        <w:tc>
          <w:tcPr/>
          <w:p>
            <w:pPr>
              <w:pStyle w:val="Compact"/>
            </w:pPr>
            <w:r>
              <w:t xml:space="preserve">Implement daily reconciliation pipeline and dashboard integration.</w:t>
            </w:r>
          </w:p>
        </w:tc>
      </w:tr>
      <w:tr>
        <w:tc>
          <w:tcPr/>
          <w:p>
            <w:pPr>
              <w:pStyle w:val="Compact"/>
            </w:pPr>
            <w:r>
              <w:t xml:space="preserve">3</w:t>
            </w:r>
          </w:p>
        </w:tc>
        <w:tc>
          <w:tcPr/>
          <w:p>
            <w:pPr>
              <w:pStyle w:val="Compact"/>
            </w:pPr>
            <w:r>
              <w:t xml:space="preserve">Switch-over Testing Approach, Dependencies and Rollback Mechanism</w:t>
            </w:r>
          </w:p>
        </w:tc>
        <w:tc>
          <w:tcPr/>
          <w:p>
            <w:pPr>
              <w:pStyle w:val="Compact"/>
            </w:pPr>
            <w:r>
              <w:t xml:space="preserve">Switch-over testing will be executed following successful reconciliation and schema drift validation. Glen will provide downstream impact analysis and Graham will define the testing approach and effort. Existing rollback mechanisms based on truncate-and-reload processing remain available.</w:t>
            </w:r>
          </w:p>
        </w:tc>
        <w:tc>
          <w:tcPr/>
          <w:p>
            <w:pPr>
              <w:pStyle w:val="Compact"/>
            </w:pPr>
            <w:r>
              <w:t xml:space="preserve">Existing rollback procedures remain valid and current Silver layer processing provides a proven recovery mechanism.</w:t>
            </w:r>
          </w:p>
        </w:tc>
        <w:tc>
          <w:tcPr/>
          <w:p>
            <w:pPr>
              <w:pStyle w:val="Compact"/>
            </w:pPr>
            <w:r>
              <w:t xml:space="preserve">Downstream impact analysis and successful completion of reconciliation and schema drift validation.</w:t>
            </w:r>
          </w:p>
        </w:tc>
        <w:tc>
          <w:tcPr/>
          <w:p>
            <w:pPr>
              <w:pStyle w:val="Compact"/>
            </w:pPr>
            <w:r>
              <w:t xml:space="preserve">Glen to provide impact analysis. Graham to define switch-over testing approach and effort estimates.</w:t>
            </w:r>
          </w:p>
        </w:tc>
      </w:tr>
      <w:tr>
        <w:tc>
          <w:tcPr/>
          <w:p>
            <w:pPr>
              <w:pStyle w:val="Compact"/>
            </w:pPr>
            <w:r>
              <w:t xml:space="preserve">4</w:t>
            </w:r>
          </w:p>
        </w:tc>
        <w:tc>
          <w:tcPr/>
          <w:p>
            <w:pPr>
              <w:pStyle w:val="Compact"/>
            </w:pPr>
            <w:r>
              <w:t xml:space="preserve">CDA Data Load Frequency and Reconciliation Timing</w:t>
            </w:r>
          </w:p>
        </w:tc>
        <w:tc>
          <w:tcPr/>
          <w:p>
            <w:pPr>
              <w:pStyle w:val="Compact"/>
            </w:pPr>
            <w:r>
              <w:t xml:space="preserve">Final CDA load frequency will be determined later based on compute and cost considerations. Reconciliation monitoring will remain independent of load frequency and use previous completed business day data.</w:t>
            </w:r>
          </w:p>
        </w:tc>
        <w:tc>
          <w:tcPr/>
          <w:p>
            <w:pPr>
              <w:pStyle w:val="Compact"/>
            </w:pPr>
            <w:r>
              <w:t xml:space="preserve">Previous business day data provides sufficient monitoring coverage.</w:t>
            </w:r>
          </w:p>
        </w:tc>
        <w:tc>
          <w:tcPr/>
          <w:p>
            <w:pPr>
              <w:pStyle w:val="Compact"/>
            </w:pPr>
            <w:r>
              <w:t xml:space="preserve">Final ingestion schedule to be confirmed by Data Engineering.</w:t>
            </w:r>
          </w:p>
        </w:tc>
        <w:tc>
          <w:tcPr/>
          <w:p>
            <w:pPr>
              <w:pStyle w:val="Compact"/>
            </w:pPr>
            <w:r>
              <w:t xml:space="preserve">Data Engineering team to define target ingestion frequency and operational schedule.</w:t>
            </w:r>
          </w:p>
        </w:tc>
      </w:tr>
      <w:tr>
        <w:tc>
          <w:tcPr/>
          <w:p>
            <w:pPr>
              <w:pStyle w:val="Compact"/>
            </w:pPr>
            <w:r>
              <w:t xml:space="preserve">5</w:t>
            </w:r>
          </w:p>
        </w:tc>
        <w:tc>
          <w:tcPr/>
          <w:p>
            <w:pPr>
              <w:pStyle w:val="Compact"/>
            </w:pPr>
            <w:r>
              <w:t xml:space="preserve">Production Cutover Plan</w:t>
            </w:r>
          </w:p>
        </w:tc>
        <w:tc>
          <w:tcPr/>
          <w:p>
            <w:pPr>
              <w:pStyle w:val="Compact"/>
            </w:pPr>
            <w:r>
              <w:t xml:space="preserve">Production cutover planning will be defined at a later stage. Following a successful parallel monitoring period, cutover is expected to occur using a controlled watermark/cutoff point to ensure a complete and consistent transition from Read Replica to CDA processing.</w:t>
            </w:r>
          </w:p>
        </w:tc>
        <w:tc>
          <w:tcPr/>
          <w:p>
            <w:pPr>
              <w:pStyle w:val="Compact"/>
            </w:pPr>
            <w:r>
              <w:t xml:space="preserve">Reconciliation monitoring, schema drift validation, and switch-over testing will be completed prior to cutover. A controlled watermark approach will minimise duplicate or missing data processing risks. Existing rollback procedures remain available.</w:t>
            </w:r>
          </w:p>
        </w:tc>
        <w:tc>
          <w:tcPr/>
          <w:p>
            <w:pPr>
              <w:pStyle w:val="Compact"/>
            </w:pPr>
            <w:r>
              <w:t xml:space="preserve">Completion of reconciliation monitoring, schema drift validation, switch-over testing, impact assessment, and operational readiness activities.</w:t>
            </w:r>
          </w:p>
        </w:tc>
        <w:tc>
          <w:tcPr/>
          <w:p>
            <w:pPr>
              <w:pStyle w:val="Compact"/>
            </w:pPr>
            <w:r>
              <w:t xml:space="preserve">Project and Data Engineering teams to define cutover strategy, operational runbook, timeline, and rollback procedures.</w:t>
            </w:r>
          </w:p>
        </w:tc>
      </w:tr>
      <w:tr>
        <w:tc>
          <w:tcPr/>
          <w:p>
            <w:pPr>
              <w:pStyle w:val="Compact"/>
            </w:pPr>
            <w:r>
              <w:t xml:space="preserve">6</w:t>
            </w:r>
          </w:p>
        </w:tc>
        <w:tc>
          <w:tcPr/>
          <w:p>
            <w:pPr>
              <w:pStyle w:val="Compact"/>
            </w:pPr>
            <w:r>
              <w:t xml:space="preserve">Schema Drift Validation</w:t>
            </w:r>
          </w:p>
        </w:tc>
        <w:tc>
          <w:tcPr/>
          <w:p>
            <w:pPr>
              <w:pStyle w:val="Compact"/>
            </w:pPr>
            <w:r>
              <w:t xml:space="preserve">Direct access to a dedicated source environment for DDL changes has not yet been confirmed. The upcoming LV Motors Guidewire changes may provide an opportunity to validate schema drift monitoring through source-level schema modifications.</w:t>
            </w:r>
          </w:p>
        </w:tc>
        <w:tc>
          <w:tcPr/>
          <w:p>
            <w:pPr>
              <w:pStyle w:val="Compact"/>
            </w:pPr>
            <w:r>
              <w:t xml:space="preserve">Future LV Motors changes will include source-level DDL changes that can be leveraged for schema drift validation.</w:t>
            </w:r>
          </w:p>
        </w:tc>
        <w:tc>
          <w:tcPr/>
          <w:p>
            <w:pPr>
              <w:pStyle w:val="Compact"/>
            </w:pPr>
            <w:r>
              <w:t xml:space="preserve">Confirmation of source-level schema changes and coordination with Guidewire teams.</w:t>
            </w:r>
          </w:p>
        </w:tc>
        <w:tc>
          <w:tcPr/>
          <w:p>
            <w:pPr>
              <w:pStyle w:val="Compact"/>
            </w:pPr>
            <w:r>
              <w:t xml:space="preserve">Hazel to provide updates and confirm the schema drift validation approach.</w:t>
            </w:r>
          </w:p>
        </w:tc>
      </w:tr>
      <w:tr>
        <w:tc>
          <w:tcPr/>
          <w:p>
            <w:pPr>
              <w:pStyle w:val="Compact"/>
            </w:pPr>
            <w:r>
              <w:t xml:space="preserve">7</w:t>
            </w:r>
          </w:p>
        </w:tc>
        <w:tc>
          <w:tcPr/>
          <w:p>
            <w:pPr>
              <w:pStyle w:val="Compact"/>
            </w:pPr>
            <w:r>
              <w:t xml:space="preserve">Data Validation Scope, Volume and Execution Approach</w:t>
            </w:r>
          </w:p>
        </w:tc>
        <w:tc>
          <w:tcPr/>
          <w:p>
            <w:pPr>
              <w:pStyle w:val="Compact"/>
            </w:pPr>
            <w:r>
              <w:t xml:space="preserve">Full row-level reconciliation across ~2,000 downstream tables was considered impractical. Testing will focus on the identified 691 Guidewire source tables across BC, CC, and PC domains. Validation will include schema, count, DDL, data format, and row-level comparisons between Read Replica and CDA ODS Views. Production row-level reconciliation will be limited to business-critical tables.</w:t>
            </w:r>
          </w:p>
        </w:tc>
        <w:tc>
          <w:tcPr/>
          <w:p>
            <w:pPr>
              <w:pStyle w:val="Compact"/>
            </w:pPr>
            <w:r>
              <w:t xml:space="preserve">Validation of the 691 Guidewire source tables provides sufficient migration confidence. Detailed production reconciliation should focus on business-critical datasets.</w:t>
            </w:r>
          </w:p>
        </w:tc>
        <w:tc>
          <w:tcPr/>
          <w:p>
            <w:pPr>
              <w:pStyle w:val="Compact"/>
            </w:pPr>
            <w:r>
              <w:t xml:space="preserve">Agreement on business-critical tables, table mappings, reconciliation thresholds, and watermark logic.</w:t>
            </w:r>
          </w:p>
        </w:tc>
        <w:tc>
          <w:tcPr/>
          <w:p>
            <w:pPr>
              <w:pStyle w:val="Compact"/>
            </w:pPr>
            <w:r>
              <w:t xml:space="preserve">Graham and Glen to agree the list of business-critical tables for production monitoring.</w:t>
            </w:r>
          </w:p>
        </w:tc>
      </w:tr>
      <w:tr>
        <w:tc>
          <w:tcPr/>
          <w:p>
            <w:pPr>
              <w:pStyle w:val="Compact"/>
            </w:pPr>
            <w:r>
              <w:t xml:space="preserve">8</w:t>
            </w:r>
          </w:p>
        </w:tc>
        <w:tc>
          <w:tcPr/>
          <w:p>
            <w:pPr>
              <w:pStyle w:val="Compact"/>
            </w:pPr>
            <w:r>
              <w:t xml:space="preserve">Test Data Volume, Availability and Performance Validation</w:t>
            </w:r>
          </w:p>
        </w:tc>
        <w:tc>
          <w:tcPr/>
          <w:p>
            <w:pPr>
              <w:pStyle w:val="Compact"/>
            </w:pPr>
            <w:r>
              <w:t xml:space="preserve">Test data availability assessment will be performed using Read Replica data in STD001. Access to CDA source data in S3 is not currently available to QA and requires Development/Data Engineering support. Light-touch performance comparisons may be performed where sufficient data volume exists.</w:t>
            </w:r>
          </w:p>
        </w:tc>
        <w:tc>
          <w:tcPr/>
          <w:p>
            <w:pPr>
              <w:pStyle w:val="Compact"/>
            </w:pPr>
            <w:r>
              <w:t xml:space="preserve">STD001 data is representative of typical business processing volumes. Test environment performance results provide directional insights only.</w:t>
            </w:r>
          </w:p>
        </w:tc>
        <w:tc>
          <w:tcPr/>
          <w:p>
            <w:pPr>
              <w:pStyle w:val="Compact"/>
            </w:pPr>
            <w:r>
              <w:t xml:space="preserve">Development/Data Engineering support required for CDA source data visibility, ingestion statistics, and volume analysis.</w:t>
            </w:r>
          </w:p>
        </w:tc>
        <w:tc>
          <w:tcPr/>
          <w:p>
            <w:pPr>
              <w:pStyle w:val="Compact"/>
            </w:pPr>
            <w:r>
              <w:t xml:space="preserve">QA team to perform data availability assessment. Development/Data Engineering team to support CDA volume and ingestion analysis.</w:t>
            </w:r>
          </w:p>
        </w:tc>
      </w:tr>
    </w:tbl>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2026-06-04T13:55:10Z</dcterms:created>
  <dcterms:modified xsi:type="dcterms:W3CDTF">2026-06-04T13:55:10Z</dcterms:modified>
</cp:coreProperties>
</file>

<file path=docProps/custom.xml><?xml version="1.0" encoding="utf-8"?>
<Properties xmlns="http://schemas.openxmlformats.org/officeDocument/2006/custom-properties" xmlns:vt="http://schemas.openxmlformats.org/officeDocument/2006/docPropsVTypes"/>
</file>