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ext-actions"/>
    <w:p>
      <w:pPr>
        <w:pStyle w:val="Heading1"/>
      </w:pPr>
      <w:r>
        <w:t xml:space="preserve">Next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2022"/>
        <w:gridCol w:w="1685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Action Item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 Team</w:t>
            </w:r>
          </w:p>
        </w:tc>
        <w:tc>
          <w:tcPr/>
          <w:p>
            <w:pPr>
              <w:pStyle w:val="Compact"/>
            </w:pPr>
            <w:r>
              <w:t xml:space="preserve">Refresh Read Replica and CDA datasets in core_tst and confirm environment readiness.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 environment ready for reconciliation activities.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 Team</w:t>
            </w:r>
          </w:p>
        </w:tc>
        <w:tc>
          <w:tcPr/>
          <w:p>
            <w:pPr>
              <w:pStyle w:val="Compact"/>
            </w:pPr>
            <w:r>
              <w:t xml:space="preserve">Provide downstream impact analysis including impacted jobs, pipelines, notebooks, downstream tables, and consuming teams for switch-over testing.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Enable switch-over test planning and effort estimation.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 Team</w:t>
            </w:r>
          </w:p>
        </w:tc>
        <w:tc>
          <w:tcPr/>
          <w:p>
            <w:pPr>
              <w:pStyle w:val="Compact"/>
            </w:pPr>
            <w:r>
              <w:t xml:space="preserve">Define and confirm CDA ingestion frequency, scheduling approach, and operational processing windows.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Support reconciliation scheduling and future operational planning.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 Team</w:t>
            </w:r>
          </w:p>
        </w:tc>
        <w:tc>
          <w:tcPr/>
          <w:p>
            <w:pPr>
              <w:pStyle w:val="Compact"/>
            </w:pPr>
            <w:r>
              <w:t xml:space="preserve">Provide visibility into CDA source data availability, ingestion volumes, processing statistics, and S3 landing data where required.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Support test data assessment and validation planning.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 Team</w:t>
            </w:r>
          </w:p>
        </w:tc>
        <w:tc>
          <w:tcPr/>
          <w:p>
            <w:pPr>
              <w:pStyle w:val="Compact"/>
            </w:pPr>
            <w:r>
              <w:t xml:space="preserve">Confirm watermark usage, cutoff logic, and reconciliation timing approach for point-in-time comparisons.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Ensure consistent reconciliation methodology.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Monitoring Developer</w:t>
            </w:r>
          </w:p>
        </w:tc>
        <w:tc>
          <w:tcPr/>
          <w:p>
            <w:pPr>
              <w:pStyle w:val="Compact"/>
            </w:pPr>
            <w:r>
              <w:t xml:space="preserve">Design and implement the productionised reconciliation monitoring pipeline for daily execution.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reconciliation monitoring capability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Excellence Team</w:t>
            </w:r>
          </w:p>
        </w:tc>
        <w:tc>
          <w:tcPr/>
          <w:p>
            <w:pPr>
              <w:pStyle w:val="Compact"/>
            </w:pPr>
            <w:r>
              <w:t xml:space="preserve">Integrate reconciliation reporting into the centralised monitoring and dashboard framework.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Centralised visibility of reconciliation outcomes.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Graham / QA Team</w:t>
            </w:r>
          </w:p>
        </w:tc>
        <w:tc>
          <w:tcPr/>
          <w:p>
            <w:pPr>
              <w:pStyle w:val="Compact"/>
            </w:pPr>
            <w:r>
              <w:t xml:space="preserve">Perform test data availability and volume assessment across the identified 691 Guidewire tables.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Validate sufficient test coverage and identify gaps.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Graham / QA Team</w:t>
            </w:r>
          </w:p>
        </w:tc>
        <w:tc>
          <w:tcPr/>
          <w:p>
            <w:pPr>
              <w:pStyle w:val="Compact"/>
            </w:pPr>
            <w:r>
              <w:t xml:space="preserve">Define reconciliation automation framework for schema, count, DDL, data format, and row-level validation during testing.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QA validation capability established.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Graham / QA Team</w:t>
            </w:r>
          </w:p>
        </w:tc>
        <w:tc>
          <w:tcPr/>
          <w:p>
            <w:pPr>
              <w:pStyle w:val="Compact"/>
            </w:pPr>
            <w:r>
              <w:t xml:space="preserve">Define schema drift automation approach and validation criteria.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schema drift validation capability established.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Graham &amp; Glen</w:t>
            </w:r>
          </w:p>
        </w:tc>
        <w:tc>
          <w:tcPr/>
          <w:p>
            <w:pPr>
              <w:pStyle w:val="Compact"/>
            </w:pPr>
            <w:r>
              <w:t xml:space="preserve">Identify and agree the list of business-critical tables to be included in production row-level reconciliation monitoring.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Production reconciliation scope agreed.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Graham</w:t>
            </w:r>
          </w:p>
        </w:tc>
        <w:tc>
          <w:tcPr/>
          <w:p>
            <w:pPr>
              <w:pStyle w:val="Compact"/>
            </w:pPr>
            <w:r>
              <w:t xml:space="preserve">Define switch-over testing approach, validation scope, and manual testing effort based on the downstream impact analysis.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Switch-over testing plan prepared.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Hazel</w:t>
            </w:r>
          </w:p>
        </w:tc>
        <w:tc>
          <w:tcPr/>
          <w:p>
            <w:pPr>
              <w:pStyle w:val="Compact"/>
            </w:pPr>
            <w:r>
              <w:t xml:space="preserve">Confirm availability of source-level DDL change opportunities and provide guidance on the schema drift validation approach.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Schema drift testing approach finalised.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Team / Data Engineering Team</w:t>
            </w:r>
          </w:p>
        </w:tc>
        <w:tc>
          <w:tcPr/>
          <w:p>
            <w:pPr>
              <w:pStyle w:val="Compact"/>
            </w:pPr>
            <w:r>
              <w:t xml:space="preserve">Define production cutover strategy, implementation timeline, operational runbook, rollback approach, and readiness criteria.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Production deployment approach agreed.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Communicate planned reconciliation and switch-over testing activities to teams utilising the shared core_tst environment.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Avoid testing conflicts and ensure stakeholder awareness.</w:t>
            </w:r>
          </w:p>
        </w:tc>
      </w:tr>
    </w:tbl>
    <w:bookmarkStart w:id="20" w:name="immediate-priorities-next-12-weeks"/>
    <w:p>
      <w:pPr>
        <w:pStyle w:val="Heading2"/>
      </w:pPr>
      <w:r>
        <w:t xml:space="preserve">Immediate Priorities (Next 1–2 Weeks)</w:t>
      </w:r>
    </w:p>
    <w:p>
      <w:pPr>
        <w:pStyle w:val="Compact"/>
        <w:numPr>
          <w:ilvl w:val="0"/>
          <w:numId w:val="1001"/>
        </w:numPr>
      </w:pPr>
      <w:r>
        <w:t xml:space="preserve">Confirm environment readiness and refresh CDA datasets in core_tst.</w:t>
      </w:r>
    </w:p>
    <w:p>
      <w:pPr>
        <w:pStyle w:val="Compact"/>
        <w:numPr>
          <w:ilvl w:val="0"/>
          <w:numId w:val="1001"/>
        </w:numPr>
      </w:pPr>
      <w:r>
        <w:t xml:space="preserve">Complete test data availability assessment across the 691 Guidewire tables.</w:t>
      </w:r>
    </w:p>
    <w:p>
      <w:pPr>
        <w:pStyle w:val="Compact"/>
        <w:numPr>
          <w:ilvl w:val="0"/>
          <w:numId w:val="1001"/>
        </w:numPr>
      </w:pPr>
      <w:r>
        <w:t xml:space="preserve">Obtain downstream impact analysis from Data Engineering.</w:t>
      </w:r>
    </w:p>
    <w:p>
      <w:pPr>
        <w:pStyle w:val="Compact"/>
        <w:numPr>
          <w:ilvl w:val="0"/>
          <w:numId w:val="1001"/>
        </w:numPr>
      </w:pPr>
      <w:r>
        <w:t xml:space="preserve">Finalise reconciliation automation design.</w:t>
      </w:r>
    </w:p>
    <w:p>
      <w:pPr>
        <w:pStyle w:val="Compact"/>
        <w:numPr>
          <w:ilvl w:val="0"/>
          <w:numId w:val="1001"/>
        </w:numPr>
      </w:pPr>
      <w:r>
        <w:t xml:space="preserve">Finalise schema drift validation approach.</w:t>
      </w:r>
    </w:p>
    <w:p>
      <w:pPr>
        <w:pStyle w:val="Compact"/>
        <w:numPr>
          <w:ilvl w:val="0"/>
          <w:numId w:val="1001"/>
        </w:numPr>
      </w:pPr>
      <w:r>
        <w:t xml:space="preserve">Identify business-critical tables for production monitoring.</w:t>
      </w:r>
    </w:p>
    <w:p>
      <w:pPr>
        <w:pStyle w:val="Compact"/>
        <w:numPr>
          <w:ilvl w:val="0"/>
          <w:numId w:val="1001"/>
        </w:numPr>
      </w:pPr>
      <w:r>
        <w:t xml:space="preserve">Confirm watermark and reconciliation timing approach.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2026-06-04T13:57:04Z</dcterms:created>
  <dcterms:modified xsi:type="dcterms:W3CDTF">2026-06-04T13:57:04Z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