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ehubstream — Landing Table Definition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Table: core.mqs_athn_mtr.ehubstream</w:t>
      </w:r>
    </w:p>
    <w:p>
      <w:pPr>
        <w:spacing w:after="240"/>
      </w:pPr>
      <w:r>
        <w:rPr>
          <w:i/>
          <w:iCs/>
          <w:color w:val="444444"/>
          <w:sz w:val="20"/>
          <w:szCs w:val="20"/>
        </w:rPr>
        <w:t xml:space="preserve">Landing table for Event Hub-sourced streaming data, including Athena MQS quote messages (production topic: mqs-bicoe-prd).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900"/>
        <w:gridCol w:w="556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3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56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binary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 message body as delivered by Event Hub. Currently NULL for Athena MQS records — payload instead lands in value and Payload.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binary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 value payload from Event Hub. Populated for Athena MQS records with base64-encoded/serialized quote content (encoding/schema to be confirmed).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topic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Event Hub topic/stream identifier. For Athena MQS production traffic, this is mqs-bicoe-prd.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partition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 Hub partition number the message was read from.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offset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Sequential offset of the message within its partition; used to track read position in the stream.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enqueuedTime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Source-side timestamp indicating when the message was enqueued into Event Hub.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timestampType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timestamp type indicator inherited from Event Hub. Currently always 0 (CreateTime) for Athena MQS records.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headers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map&lt;string,string&gt;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Message-level metadata headers from Event Hub. For Athena MQS, observed keys include: channel, externalID, MQSQuoteId, quoteStep, brand, messageType, quoteDate, sourceSystem, product.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TimeEnqueued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Enqueue time as captured by the ingestion pipeline on landing (downstream of enqueuedTime).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eHubQueuedDatestamp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</w:t>
            </w:r>
          </w:p>
        </w:tc>
        <w:tc>
          <w:tcPr>
            <w:tcW w:type="dxa" w:w="5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 the record was queued in Event Hub. Used as the key/partitioning column for this table.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Payload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 content field. For Athena MQS quotes, this is where the quote data lands.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writeTimestamp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 at which the record was written into the ehubstream Delta table by the ingestion pipeline.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binary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 key from Event Hub (Kafka-style). Currently NULL for all Athena MQS records.</w:t>
            </w:r>
          </w:p>
        </w:tc>
      </w:tr>
    </w:tbl>
    <w:p>
      <w:pPr>
        <w:spacing w:after="80" w:before="320"/>
      </w:pPr>
      <w:r>
        <w:rPr>
          <w:b/>
          <w:bCs/>
          <w:sz w:val="22"/>
          <w:szCs w:val="22"/>
        </w:rPr>
        <w:t xml:space="preserve">Fields by Category</w:t>
      </w:r>
    </w:p>
    <w:p>
      <w:pPr>
        <w:spacing w:after="80" w:before="200"/>
      </w:pPr>
      <w:r>
        <w:rPr>
          <w:b/>
          <w:bCs/>
          <w:sz w:val="21"/>
          <w:szCs w:val="21"/>
        </w:rPr>
        <w:t xml:space="preserve">Event Hub metadata fields (standard Kafka/Event Hub envelope fields):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topic</w:t>
      </w:r>
      <w:r>
        <w:rPr>
          <w:sz w:val="20"/>
          <w:szCs w:val="20"/>
        </w:rPr>
        <w:t xml:space="preserve"> (string)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partition</w:t>
      </w:r>
      <w:r>
        <w:rPr>
          <w:sz w:val="20"/>
          <w:szCs w:val="20"/>
        </w:rPr>
        <w:t xml:space="preserve"> (int)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offset</w:t>
      </w:r>
      <w:r>
        <w:rPr>
          <w:sz w:val="20"/>
          <w:szCs w:val="20"/>
        </w:rPr>
        <w:t xml:space="preserve"> (bigint)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enqueuedTime</w:t>
      </w:r>
      <w:r>
        <w:rPr>
          <w:sz w:val="20"/>
          <w:szCs w:val="20"/>
        </w:rPr>
        <w:t xml:space="preserve"> (timestamp)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timestampType</w:t>
      </w:r>
      <w:r>
        <w:rPr>
          <w:sz w:val="20"/>
          <w:szCs w:val="20"/>
        </w:rPr>
        <w:t xml:space="preserve"> (int)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headers</w:t>
      </w:r>
      <w:r>
        <w:rPr>
          <w:sz w:val="20"/>
          <w:szCs w:val="20"/>
        </w:rPr>
        <w:t xml:space="preserve"> (map: {"keys": "string", "values": "string"})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key</w:t>
      </w:r>
      <w:r>
        <w:rPr>
          <w:sz w:val="20"/>
          <w:szCs w:val="20"/>
        </w:rPr>
        <w:t xml:space="preserve"> (binary)</w:t>
      </w:r>
    </w:p>
    <w:p>
      <w:pPr>
        <w:spacing w:after="80" w:before="200"/>
      </w:pPr>
      <w:r>
        <w:rPr>
          <w:b/>
          <w:bCs/>
          <w:sz w:val="21"/>
          <w:szCs w:val="21"/>
        </w:rPr>
        <w:t xml:space="preserve">Payload/content fields: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body</w:t>
      </w:r>
      <w:r>
        <w:rPr>
          <w:sz w:val="20"/>
          <w:szCs w:val="20"/>
        </w:rPr>
        <w:t xml:space="preserve"> (binary)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value</w:t>
      </w:r>
      <w:r>
        <w:rPr>
          <w:sz w:val="20"/>
          <w:szCs w:val="20"/>
        </w:rPr>
        <w:t xml:space="preserve"> (binary)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Payload</w:t>
      </w:r>
      <w:r>
        <w:rPr>
          <w:sz w:val="20"/>
          <w:szCs w:val="20"/>
        </w:rPr>
        <w:t xml:space="preserve"> (string)</w:t>
      </w:r>
    </w:p>
    <w:p>
      <w:pPr>
        <w:spacing w:after="80" w:before="200"/>
      </w:pPr>
      <w:r>
        <w:rPr>
          <w:b/>
          <w:bCs/>
          <w:sz w:val="21"/>
          <w:szCs w:val="21"/>
        </w:rPr>
        <w:t xml:space="preserve">Pipeline/ingestion metadata fields (added when landing in the table, not from Event Hub itself):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TimeEnqueued</w:t>
      </w:r>
      <w:r>
        <w:rPr>
          <w:sz w:val="20"/>
          <w:szCs w:val="20"/>
        </w:rPr>
        <w:t xml:space="preserve"> (timestamp)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eHubQueuedDatestamp</w:t>
      </w:r>
      <w:r>
        <w:rPr>
          <w:sz w:val="20"/>
          <w:szCs w:val="20"/>
        </w:rPr>
        <w:t xml:space="preserve"> (date)</w:t>
      </w:r>
      <w:r>
        <w:rPr>
          <w:sz w:val="20"/>
          <w:szCs w:val="20"/>
        </w:rPr>
        <w:t xml:space="preserve"> — flagged as a key column (🔑 icon)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writeTimestamp</w:t>
      </w:r>
      <w:r>
        <w:rPr>
          <w:sz w:val="20"/>
          <w:szCs w:val="20"/>
        </w:rPr>
        <w:t xml:space="preserve"> (timestamp)</w:t>
      </w:r>
    </w:p>
    <w:p>
      <w:pPr>
        <w:spacing w:after="120" w:before="280"/>
      </w:pPr>
      <w:r>
        <w:rPr>
          <w:b/>
          <w:bCs/>
          <w:sz w:val="22"/>
          <w:szCs w:val="22"/>
        </w:rPr>
        <w:t xml:space="preserve">Notes for the data source contract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body and key are consistently NULL and timestampType is consistently 0 for the Athena MQS source — worth documenting as “not populated by this producer” rather than carrying the generic Event Hub definition forward.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value and Payload both appear to carry quote content; recommend confirming with the source team whether these duplicate the same data in different formats, or serve distinct purposes, before finalizing the contract.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headers sub-fields are specific to the Athena MQS producer and may differ for other sources landing in the same table — worth noting this table is shared/multi-source if that's the case.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2026-10-26T10:44:49.693Z</dcterms:created>
  <dcterms:modified xsi:type="dcterms:W3CDTF">2026-10-26T10:44:49.694Z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