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A1B" w:rsidRPr="00546A1B" w:rsidRDefault="00546A1B" w:rsidP="00546A1B">
      <w:pPr>
        <w:pBdr>
          <w:top w:val="single" w:sz="2" w:space="0" w:color="D9D9E3"/>
          <w:left w:val="single" w:sz="2" w:space="0" w:color="D9D9E3"/>
          <w:bottom w:val="single" w:sz="2" w:space="0" w:color="D9D9E3"/>
          <w:right w:val="single" w:sz="2" w:space="0" w:color="D9D9E3"/>
        </w:pBdr>
        <w:shd w:val="clear" w:color="auto" w:fill="343541"/>
        <w:spacing w:after="300"/>
        <w:rPr>
          <w:rFonts w:ascii="Noto Sans" w:eastAsia="Times New Roman" w:hAnsi="Noto Sans" w:cs="Times New Roman"/>
        </w:rPr>
      </w:pPr>
      <w:r w:rsidRPr="00546A1B">
        <w:rPr>
          <w:rFonts w:ascii="Noto Sans" w:eastAsia="Times New Roman" w:hAnsi="Noto Sans" w:cs="Times New Roman"/>
        </w:rPr>
        <w:br/>
        <w:t>It appears that we are implementing two changes. Here is the information in a tabular format:</w:t>
      </w:r>
    </w:p>
    <w:p w:rsidR="00546A1B" w:rsidRPr="00546A1B" w:rsidRDefault="00546A1B" w:rsidP="00546A1B">
      <w:pPr>
        <w:pBdr>
          <w:top w:val="single" w:sz="2" w:space="0" w:color="D9D9E3"/>
          <w:left w:val="single" w:sz="2" w:space="0" w:color="D9D9E3"/>
          <w:bottom w:val="single" w:sz="2" w:space="0" w:color="D9D9E3"/>
          <w:right w:val="single" w:sz="2" w:space="0" w:color="D9D9E3"/>
        </w:pBdr>
        <w:shd w:val="clear" w:color="auto" w:fill="343541"/>
        <w:spacing w:before="300" w:after="300"/>
        <w:rPr>
          <w:rFonts w:ascii="Noto Sans" w:eastAsia="Times New Roman" w:hAnsi="Noto Sans" w:cs="Times New Roman"/>
        </w:rPr>
      </w:pPr>
      <w:r w:rsidRPr="00546A1B">
        <w:rPr>
          <w:rFonts w:ascii="Noto Sans" w:eastAsia="Times New Roman" w:hAnsi="Noto Sans" w:cs="Times New Roman"/>
          <w:b/>
          <w:bCs/>
          <w:bdr w:val="single" w:sz="2" w:space="0" w:color="D9D9E3" w:frame="1"/>
        </w:rPr>
        <w:t>Issue 1:</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686"/>
        <w:gridCol w:w="8694"/>
      </w:tblGrid>
      <w:tr w:rsidR="00546A1B" w:rsidRPr="00546A1B" w:rsidTr="00546A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jc w:val="center"/>
              <w:rPr>
                <w:rFonts w:ascii="Noto Sans" w:eastAsia="Times New Roman" w:hAnsi="Noto Sans" w:cs="Times New Roman"/>
                <w:b/>
                <w:bCs/>
                <w:sz w:val="21"/>
                <w:szCs w:val="21"/>
              </w:rPr>
            </w:pPr>
            <w:r w:rsidRPr="00546A1B">
              <w:rPr>
                <w:rFonts w:ascii="Noto Sans" w:eastAsia="Times New Roman" w:hAnsi="Noto Sans" w:cs="Times New Roman"/>
                <w:b/>
                <w:bCs/>
                <w:sz w:val="21"/>
                <w:szCs w:val="21"/>
              </w:rPr>
              <w:t>Aspect</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jc w:val="center"/>
              <w:rPr>
                <w:rFonts w:ascii="Noto Sans" w:eastAsia="Times New Roman" w:hAnsi="Noto Sans" w:cs="Times New Roman"/>
                <w:b/>
                <w:bCs/>
                <w:sz w:val="21"/>
                <w:szCs w:val="21"/>
              </w:rPr>
            </w:pPr>
            <w:r w:rsidRPr="00546A1B">
              <w:rPr>
                <w:rFonts w:ascii="Noto Sans" w:eastAsia="Times New Roman" w:hAnsi="Noto Sans" w:cs="Times New Roman"/>
                <w:b/>
                <w:bCs/>
                <w:sz w:val="21"/>
                <w:szCs w:val="21"/>
              </w:rPr>
              <w:t>Description</w:t>
            </w:r>
          </w:p>
        </w:tc>
      </w:tr>
      <w:tr w:rsidR="00546A1B" w:rsidRPr="00546A1B" w:rsidTr="00546A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Issue</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Previously, for DIM_PRODUCT_TIER, as per design, it generated fresh keys for each product tier with every run. This did not impact the merge at the fact level between insurer scheme and broker policy if both were run on the same day. However, any delay in the run caused the merge link to break, leading to a sales count of 0 in production. This scenario is not observed in the lower environment due to low volume.</w:t>
            </w:r>
          </w:p>
        </w:tc>
      </w:tr>
      <w:tr w:rsidR="00546A1B" w:rsidRPr="00546A1B" w:rsidTr="00546A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Solution</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Adjust the loading logic at the dimension layer to only append new product tiers, avoiding updates to existing ones. This ensures that the product key remains static instead of generating a fresh key with every run.</w:t>
            </w:r>
          </w:p>
        </w:tc>
      </w:tr>
      <w:tr w:rsidR="00546A1B" w:rsidRPr="00546A1B" w:rsidTr="00546A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Mitigation of Test Environment (MTE)</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Two runs are required to demonstrate that the initial and incremental processes do not create a fresh key in the DIM_PRODUCT_TIER table. Since this is a hotfix, replicating the issue in the lower test environment would be time-consuming, and we can accept it as a medium risk.</w:t>
            </w:r>
          </w:p>
        </w:tc>
      </w:tr>
    </w:tbl>
    <w:p w:rsidR="00546A1B" w:rsidRPr="00546A1B" w:rsidRDefault="00546A1B" w:rsidP="00546A1B">
      <w:pPr>
        <w:pBdr>
          <w:top w:val="single" w:sz="2" w:space="0" w:color="D9D9E3"/>
          <w:left w:val="single" w:sz="2" w:space="0" w:color="D9D9E3"/>
          <w:bottom w:val="single" w:sz="2" w:space="0" w:color="D9D9E3"/>
          <w:right w:val="single" w:sz="2" w:space="0" w:color="D9D9E3"/>
        </w:pBdr>
        <w:shd w:val="clear" w:color="auto" w:fill="343541"/>
        <w:spacing w:before="300" w:after="300"/>
        <w:rPr>
          <w:rFonts w:ascii="Noto Sans" w:eastAsia="Times New Roman" w:hAnsi="Noto Sans" w:cs="Times New Roman"/>
        </w:rPr>
      </w:pPr>
      <w:r w:rsidRPr="00546A1B">
        <w:rPr>
          <w:rFonts w:ascii="Noto Sans" w:eastAsia="Times New Roman" w:hAnsi="Noto Sans" w:cs="Times New Roman"/>
          <w:b/>
          <w:bCs/>
          <w:bdr w:val="single" w:sz="2" w:space="0" w:color="D9D9E3" w:frame="1"/>
        </w:rPr>
        <w:t>Issue 2:</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873"/>
        <w:gridCol w:w="8507"/>
      </w:tblGrid>
      <w:tr w:rsidR="00546A1B" w:rsidRPr="00546A1B" w:rsidTr="00546A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jc w:val="center"/>
              <w:rPr>
                <w:rFonts w:ascii="Noto Sans" w:eastAsia="Times New Roman" w:hAnsi="Noto Sans" w:cs="Times New Roman"/>
                <w:b/>
                <w:bCs/>
                <w:sz w:val="21"/>
                <w:szCs w:val="21"/>
              </w:rPr>
            </w:pPr>
            <w:r w:rsidRPr="00546A1B">
              <w:rPr>
                <w:rFonts w:ascii="Noto Sans" w:eastAsia="Times New Roman" w:hAnsi="Noto Sans" w:cs="Times New Roman"/>
                <w:b/>
                <w:bCs/>
                <w:sz w:val="21"/>
                <w:szCs w:val="21"/>
              </w:rPr>
              <w:t>Aspect</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jc w:val="center"/>
              <w:rPr>
                <w:rFonts w:ascii="Noto Sans" w:eastAsia="Times New Roman" w:hAnsi="Noto Sans" w:cs="Times New Roman"/>
                <w:b/>
                <w:bCs/>
                <w:sz w:val="21"/>
                <w:szCs w:val="21"/>
              </w:rPr>
            </w:pPr>
            <w:r w:rsidRPr="00546A1B">
              <w:rPr>
                <w:rFonts w:ascii="Noto Sans" w:eastAsia="Times New Roman" w:hAnsi="Noto Sans" w:cs="Times New Roman"/>
                <w:b/>
                <w:bCs/>
                <w:sz w:val="21"/>
                <w:szCs w:val="21"/>
              </w:rPr>
              <w:t>Description</w:t>
            </w:r>
          </w:p>
        </w:tc>
      </w:tr>
      <w:tr w:rsidR="00546A1B" w:rsidRPr="00546A1B" w:rsidTr="00546A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Issue</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Performance enhancement for the quote flow. Previously, there were 2 DLT pipelines to process SCD for quote data, causing a performance bottleneck and workflow failures in production due to resource overload.</w:t>
            </w:r>
          </w:p>
        </w:tc>
      </w:tr>
      <w:tr w:rsidR="00546A1B" w:rsidRPr="00546A1B" w:rsidTr="00546A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Solution</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Introduce another DLT pipeline, making it a total of 3, to expedite data processing.</w:t>
            </w:r>
          </w:p>
        </w:tc>
      </w:tr>
      <w:tr w:rsidR="00546A1B" w:rsidRPr="00546A1B" w:rsidTr="00546A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Mitigation of Test Environment (MTE)</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546A1B" w:rsidRPr="00546A1B" w:rsidRDefault="00546A1B" w:rsidP="00546A1B">
            <w:pPr>
              <w:rPr>
                <w:rFonts w:ascii="Noto Sans" w:eastAsia="Times New Roman" w:hAnsi="Noto Sans" w:cs="Times New Roman"/>
                <w:sz w:val="21"/>
                <w:szCs w:val="21"/>
              </w:rPr>
            </w:pPr>
            <w:r w:rsidRPr="00546A1B">
              <w:rPr>
                <w:rFonts w:ascii="Noto Sans" w:eastAsia="Times New Roman" w:hAnsi="Noto Sans" w:cs="Times New Roman"/>
                <w:sz w:val="21"/>
                <w:szCs w:val="21"/>
              </w:rPr>
              <w:t>As this is a performance-based change, we ensure that the workflow produces the same output before and after the change. However, assessing the performance improvement after the change is not feasible in the lower environment, and we need to accept this as a medium risk.</w:t>
            </w:r>
          </w:p>
        </w:tc>
      </w:tr>
    </w:tbl>
    <w:p w:rsidR="00546A1B" w:rsidRPr="00546A1B" w:rsidRDefault="00546A1B" w:rsidP="00546A1B">
      <w:pPr>
        <w:pBdr>
          <w:top w:val="single" w:sz="2" w:space="0" w:color="D9D9E3"/>
          <w:left w:val="single" w:sz="2" w:space="0" w:color="D9D9E3"/>
          <w:bottom w:val="single" w:sz="2" w:space="0" w:color="D9D9E3"/>
          <w:right w:val="single" w:sz="2" w:space="0" w:color="D9D9E3"/>
        </w:pBdr>
        <w:shd w:val="clear" w:color="auto" w:fill="343541"/>
        <w:spacing w:before="300"/>
        <w:rPr>
          <w:rFonts w:ascii="Noto Sans" w:eastAsia="Times New Roman" w:hAnsi="Noto Sans" w:cs="Times New Roman"/>
        </w:rPr>
      </w:pPr>
      <w:r w:rsidRPr="00546A1B">
        <w:rPr>
          <w:rFonts w:ascii="Noto Sans" w:eastAsia="Times New Roman" w:hAnsi="Noto Sans" w:cs="Times New Roman"/>
        </w:rPr>
        <w:t>Additionally, I understand that this is a hotfix, and there might be a need for an exemption from preprod testing and cost analysis due to the urgency of the situation. Please confirm if my understanding aligns with yours. Also, Mitul, it seems that there may not be a need for testing and cost analysis in preprod again considering this is a hotfix and not a change request (CR). Given the timescale, could we possibly be exempt from preprod testing and cost analysis?</w:t>
      </w:r>
    </w:p>
    <w:p w:rsidR="00497E89" w:rsidRPr="00546A1B" w:rsidRDefault="00497E89" w:rsidP="00546A1B">
      <w:bookmarkStart w:id="0" w:name="_GoBack"/>
      <w:bookmarkEnd w:id="0"/>
    </w:p>
    <w:sectPr w:rsidR="00497E89" w:rsidRPr="00546A1B" w:rsidSect="00AD48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41"/>
    <w:rsid w:val="00223332"/>
    <w:rsid w:val="00226B2C"/>
    <w:rsid w:val="00497E89"/>
    <w:rsid w:val="00546A1B"/>
    <w:rsid w:val="00AD481C"/>
    <w:rsid w:val="00B64D41"/>
    <w:rsid w:val="00BF74B7"/>
    <w:rsid w:val="00C36546"/>
    <w:rsid w:val="00D5549D"/>
    <w:rsid w:val="00DD4C1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568FAE80"/>
  <w15:chartTrackingRefBased/>
  <w15:docId w15:val="{91EC3B27-7E1E-6946-B705-ADB0A93F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D41"/>
    <w:rPr>
      <w:b/>
      <w:bCs/>
    </w:rPr>
  </w:style>
  <w:style w:type="paragraph" w:styleId="NormalWeb">
    <w:name w:val="Normal (Web)"/>
    <w:basedOn w:val="Normal"/>
    <w:uiPriority w:val="99"/>
    <w:semiHidden/>
    <w:unhideWhenUsed/>
    <w:rsid w:val="00B64D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4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3204">
      <w:bodyDiv w:val="1"/>
      <w:marLeft w:val="0"/>
      <w:marRight w:val="0"/>
      <w:marTop w:val="0"/>
      <w:marBottom w:val="0"/>
      <w:divBdr>
        <w:top w:val="none" w:sz="0" w:space="0" w:color="auto"/>
        <w:left w:val="none" w:sz="0" w:space="0" w:color="auto"/>
        <w:bottom w:val="none" w:sz="0" w:space="0" w:color="auto"/>
        <w:right w:val="none" w:sz="0" w:space="0" w:color="auto"/>
      </w:divBdr>
    </w:div>
    <w:div w:id="1090008708">
      <w:bodyDiv w:val="1"/>
      <w:marLeft w:val="0"/>
      <w:marRight w:val="0"/>
      <w:marTop w:val="0"/>
      <w:marBottom w:val="0"/>
      <w:divBdr>
        <w:top w:val="none" w:sz="0" w:space="0" w:color="auto"/>
        <w:left w:val="none" w:sz="0" w:space="0" w:color="auto"/>
        <w:bottom w:val="none" w:sz="0" w:space="0" w:color="auto"/>
        <w:right w:val="none" w:sz="0" w:space="0" w:color="auto"/>
      </w:divBdr>
    </w:div>
    <w:div w:id="1266843325">
      <w:bodyDiv w:val="1"/>
      <w:marLeft w:val="0"/>
      <w:marRight w:val="0"/>
      <w:marTop w:val="0"/>
      <w:marBottom w:val="0"/>
      <w:divBdr>
        <w:top w:val="none" w:sz="0" w:space="0" w:color="auto"/>
        <w:left w:val="none" w:sz="0" w:space="0" w:color="auto"/>
        <w:bottom w:val="none" w:sz="0" w:space="0" w:color="auto"/>
        <w:right w:val="none" w:sz="0" w:space="0" w:color="auto"/>
      </w:divBdr>
    </w:div>
    <w:div w:id="1356693248">
      <w:bodyDiv w:val="1"/>
      <w:marLeft w:val="0"/>
      <w:marRight w:val="0"/>
      <w:marTop w:val="0"/>
      <w:marBottom w:val="0"/>
      <w:divBdr>
        <w:top w:val="none" w:sz="0" w:space="0" w:color="auto"/>
        <w:left w:val="none" w:sz="0" w:space="0" w:color="auto"/>
        <w:bottom w:val="none" w:sz="0" w:space="0" w:color="auto"/>
        <w:right w:val="none" w:sz="0" w:space="0" w:color="auto"/>
      </w:divBdr>
    </w:div>
    <w:div w:id="197043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2023-11-23T14:34:00Z</dcterms:created>
  <dcterms:modified xsi:type="dcterms:W3CDTF">2023-11-27T16:02:00Z</dcterms:modified>
</cp:coreProperties>
</file>