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131653e279b8819f5988ec5169178e8fdb00514"/>
    <w:p>
      <w:pPr>
        <w:pStyle w:val="Heading1"/>
      </w:pPr>
      <w:r>
        <w:t xml:space="preserve">RAID Register – CDA Migration Automation (Read Replica → CDA via S3)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1.0 (Standalone)</w:t>
      </w:r>
      <w:r>
        <w:br/>
      </w:r>
      <w:r>
        <w:rPr>
          <w:b/>
          <w:bCs/>
        </w:rPr>
        <w:t xml:space="preserve">Scope:</w:t>
      </w:r>
      <w:r>
        <w:t xml:space="preserve"> </w:t>
      </w:r>
      <w:r>
        <w:t xml:space="preserve">Risks, Assumptions, Issues, and Dependencies for the</w:t>
      </w:r>
      <w:r>
        <w:t xml:space="preserve"> </w:t>
      </w:r>
      <w:r>
        <w:rPr>
          <w:i/>
          <w:iCs/>
        </w:rPr>
        <w:t xml:space="preserve">automation test strategy and execution</w:t>
      </w:r>
      <w:r>
        <w:t xml:space="preserve"> </w:t>
      </w:r>
      <w:r>
        <w:t xml:space="preserve">supporting the switch from Read Replica (ADF) to CDA (S3 via Databricks).</w:t>
      </w:r>
      <w:r>
        <w:br/>
      </w:r>
      <w:r>
        <w:rPr>
          <w:b/>
          <w:bCs/>
        </w:rPr>
        <w:t xml:space="preserve">Owners:</w:t>
      </w:r>
      <w:r>
        <w:t xml:space="preserve"> </w:t>
      </w:r>
      <w:r>
        <w:t xml:space="preserve">Data Eng, QA, Platform/DevOps, Product/SME</w:t>
      </w:r>
    </w:p>
    <w:p>
      <w:r>
        <w:pict>
          <v:rect style="width:0;height:1.5pt" o:hralign="center" o:hrstd="t" o:hr="t"/>
        </w:pict>
      </w:r>
    </w:p>
    <w:bookmarkStart w:id="20" w:name="risks"/>
    <w:p>
      <w:pPr>
        <w:pStyle w:val="Heading2"/>
      </w:pPr>
      <w:r>
        <w:t xml:space="preserve">1) Risks</w:t>
      </w:r>
    </w:p>
    <w:p>
      <w:pPr>
        <w:pStyle w:val="FirstParagraph"/>
      </w:pPr>
      <w:r>
        <w:rPr>
          <w:b/>
          <w:bCs/>
        </w:rPr>
        <w:t xml:space="preserve">Risk Log – Tracking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Risk Title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Mitigation / Controls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Target 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R‑01</w:t>
            </w:r>
          </w:p>
        </w:tc>
        <w:tc>
          <w:tcPr/>
          <w:p>
            <w:pPr>
              <w:pStyle w:val="Compact"/>
            </w:pPr>
            <w:r>
              <w:t xml:space="preserve">Snapshot Misalignment</w:t>
            </w:r>
          </w:p>
        </w:tc>
        <w:tc>
          <w:tcPr/>
          <w:p>
            <w:pPr>
              <w:pStyle w:val="Compact"/>
            </w:pPr>
            <w:r>
              <w:t xml:space="preserve">CDA and RR loads do not align in time, creating false diffs.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Enforce run order; align schedules; use run boundary capture; compare by partition/date.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+ 1w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R‑02</w:t>
            </w:r>
          </w:p>
        </w:tc>
        <w:tc>
          <w:tcPr/>
          <w:p>
            <w:pPr>
              <w:pStyle w:val="Compact"/>
            </w:pPr>
            <w:r>
              <w:t xml:space="preserve">Hidden Schema Drift</w:t>
            </w:r>
          </w:p>
        </w:tc>
        <w:tc>
          <w:tcPr/>
          <w:p>
            <w:pPr>
              <w:pStyle w:val="Compact"/>
            </w:pPr>
            <w:r>
              <w:t xml:space="preserve">Unapproved column/type changes in CDA ODS Views break parity.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DDL baseline; drift detector; change‑control approvals before deploy.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R‑03</w:t>
            </w:r>
          </w:p>
        </w:tc>
        <w:tc>
          <w:tcPr/>
          <w:p>
            <w:pPr>
              <w:pStyle w:val="Compact"/>
            </w:pPr>
            <w:r>
              <w:t xml:space="preserve">Large Table Cost</w:t>
            </w:r>
          </w:p>
        </w:tc>
        <w:tc>
          <w:tcPr/>
          <w:p>
            <w:pPr>
              <w:pStyle w:val="Compact"/>
            </w:pPr>
            <w:r>
              <w:t xml:space="preserve">Full value compares on very large tables exceed SLA/cost.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Partitioned hashing; progressive deep‑dive only on mismatch; sampling with auto‑promotion.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+ 2w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R‑04</w:t>
            </w:r>
          </w:p>
        </w:tc>
        <w:tc>
          <w:tcPr/>
          <w:p>
            <w:pPr>
              <w:pStyle w:val="Compact"/>
            </w:pPr>
            <w:r>
              <w:t xml:space="preserve">SCD2 Window Errors</w:t>
            </w:r>
          </w:p>
        </w:tc>
        <w:tc>
          <w:tcPr/>
          <w:p>
            <w:pPr>
              <w:pStyle w:val="Compact"/>
            </w:pPr>
            <w:r>
              <w:t xml:space="preserve">Overlaps/multi‑current due to CDC logic defects.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SCD integrity checks (overlap/current/continuity); idempotency tests; guardrail recompute.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+ 2w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R‑05</w:t>
            </w:r>
          </w:p>
        </w:tc>
        <w:tc>
          <w:tcPr/>
          <w:p>
            <w:pPr>
              <w:pStyle w:val="Compact"/>
            </w:pPr>
            <w:r>
              <w:t xml:space="preserve">Late Arrivals</w:t>
            </w:r>
          </w:p>
        </w:tc>
        <w:tc>
          <w:tcPr/>
          <w:p>
            <w:pPr>
              <w:pStyle w:val="Compact"/>
            </w:pPr>
            <w:r>
              <w:t xml:space="preserve">Events landing after the compare window cause anomalies.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Record run boundaries; detect sequence/timestamp gaps; verify correction next run.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R‑06</w:t>
            </w:r>
          </w:p>
        </w:tc>
        <w:tc>
          <w:tcPr/>
          <w:p>
            <w:pPr>
              <w:pStyle w:val="Compact"/>
            </w:pPr>
            <w:r>
              <w:t xml:space="preserve">Soft Delete Semantics</w:t>
            </w:r>
          </w:p>
        </w:tc>
        <w:tc>
          <w:tcPr/>
          <w:p>
            <w:pPr>
              <w:pStyle w:val="Compact"/>
            </w:pPr>
            <w:r>
              <w:t xml:space="preserve">Inconsistent tombstone handling across paths.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Standardize delete filters; contract tests on ODS Views; explicit rules in config.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+ 3w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R‑07</w:t>
            </w:r>
          </w:p>
        </w:tc>
        <w:tc>
          <w:tcPr/>
          <w:p>
            <w:pPr>
              <w:pStyle w:val="Compact"/>
            </w:pPr>
            <w:r>
              <w:t xml:space="preserve">Access/Permissions</w:t>
            </w:r>
          </w:p>
        </w:tc>
        <w:tc>
          <w:tcPr/>
          <w:p>
            <w:pPr>
              <w:pStyle w:val="Compact"/>
            </w:pPr>
            <w:r>
              <w:t xml:space="preserve">QA cannot read one or both catalogs/INFO_SCHEMA.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Pre‑prod access review; service principal with least privilege; secrets rotation.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T‑0 − 1w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R‑08</w:t>
            </w:r>
          </w:p>
        </w:tc>
        <w:tc>
          <w:tcPr/>
          <w:p>
            <w:pPr>
              <w:pStyle w:val="Compact"/>
            </w:pPr>
            <w:r>
              <w:t xml:space="preserve">Control Table Drift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gw_cda.gw_stream_batches</w:t>
            </w:r>
            <w:r>
              <w:t xml:space="preserve"> </w:t>
            </w:r>
            <w:r>
              <w:t xml:space="preserve">not in sync with reality.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Daily reconcile; automation flags disabled tables as pending; change alerts on updates.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R‑09</w:t>
            </w:r>
          </w:p>
        </w:tc>
        <w:tc>
          <w:tcPr/>
          <w:p>
            <w:pPr>
              <w:pStyle w:val="Compact"/>
            </w:pPr>
            <w:r>
              <w:t xml:space="preserve">Tooling Instability</w:t>
            </w:r>
          </w:p>
        </w:tc>
        <w:tc>
          <w:tcPr/>
          <w:p>
            <w:pPr>
              <w:pStyle w:val="Compact"/>
            </w:pPr>
            <w:r>
              <w:t xml:space="preserve">Workflow failures block scheduled runs and dashboards.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DevOps</w:t>
            </w:r>
          </w:p>
        </w:tc>
        <w:tc>
          <w:tcPr/>
          <w:p>
            <w:pPr>
              <w:pStyle w:val="Compact"/>
            </w:pPr>
            <w:r>
              <w:t xml:space="preserve">Retry policy; health checks; on‑demand re‑run; pager alerts; IaC for recovery.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R‑10</w:t>
            </w:r>
          </w:p>
        </w:tc>
        <w:tc>
          <w:tcPr/>
          <w:p>
            <w:pPr>
              <w:pStyle w:val="Compact"/>
            </w:pPr>
            <w:r>
              <w:t xml:space="preserve">Contract Gaps</w:t>
            </w:r>
          </w:p>
        </w:tc>
        <w:tc>
          <w:tcPr/>
          <w:p>
            <w:pPr>
              <w:pStyle w:val="Compact"/>
            </w:pPr>
            <w:r>
              <w:t xml:space="preserve">ODS View projection diverges from RR behavior.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Data Eng/SME</w:t>
            </w:r>
          </w:p>
        </w:tc>
        <w:tc>
          <w:tcPr/>
          <w:p>
            <w:pPr>
              <w:pStyle w:val="Compact"/>
            </w:pPr>
            <w:r>
              <w:t xml:space="preserve">Contract tests; SME sign‑off; golden query regression.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T‑0 + 2w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R‑11</w:t>
            </w:r>
          </w:p>
        </w:tc>
        <w:tc>
          <w:tcPr/>
          <w:p>
            <w:pPr>
              <w:pStyle w:val="Compact"/>
            </w:pPr>
            <w:r>
              <w:t xml:space="preserve">No Watermarks</w:t>
            </w:r>
          </w:p>
        </w:tc>
        <w:tc>
          <w:tcPr/>
          <w:p>
            <w:pPr>
              <w:pStyle w:val="Compact"/>
            </w:pPr>
            <w:r>
              <w:t xml:space="preserve">Incremental validation unreliable without source watermarks.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Baseline + delta replay; op reconciliation; periodic full recompute guardrails.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Continuous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R‑12</w:t>
            </w:r>
          </w:p>
        </w:tc>
        <w:tc>
          <w:tcPr/>
          <w:p>
            <w:pPr>
              <w:pStyle w:val="Compact"/>
            </w:pPr>
            <w:r>
              <w:t xml:space="preserve">Cutover Regressions</w:t>
            </w:r>
          </w:p>
        </w:tc>
        <w:tc>
          <w:tcPr/>
          <w:p>
            <w:pPr>
              <w:pStyle w:val="Compact"/>
            </w:pPr>
            <w:r>
              <w:t xml:space="preserve">Post‑switch issues impact Silver/Gold.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Keep Framework‑A in guardrail mode 2 weeks post‑cutover; rollback plan.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Cutover + 2w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Impact/Likelihood scale:</w:t>
      </w:r>
      <w:r>
        <w:t xml:space="preserve"> </w:t>
      </w:r>
      <w:r>
        <w:t xml:space="preserve">Low / Medium / High.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Open / Mitigated / Closed.</w:t>
      </w:r>
    </w:p>
    <w:p>
      <w:r>
        <w:pict>
          <v:rect style="width:0;height:1.5pt" o:hralign="center" o:hrstd="t" o:hr="t"/>
        </w:pict>
      </w:r>
    </w:p>
    <w:bookmarkEnd w:id="20"/>
    <w:bookmarkStart w:id="21" w:name="assumptions"/>
    <w:p>
      <w:pPr>
        <w:pStyle w:val="Heading2"/>
      </w:pPr>
      <w:r>
        <w:t xml:space="preserve">2) 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Assumption</w:t>
            </w:r>
          </w:p>
        </w:tc>
        <w:tc>
          <w:tcPr/>
          <w:p>
            <w:pPr>
              <w:pStyle w:val="Compact"/>
            </w:pPr>
            <w:r>
              <w:t xml:space="preserve">Rationale</w:t>
            </w:r>
          </w:p>
        </w:tc>
        <w:tc>
          <w:tcPr/>
          <w:p>
            <w:pPr>
              <w:pStyle w:val="Compact"/>
            </w:pPr>
            <w:r>
              <w:t xml:space="preserve">Validation / Action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A‑01</w:t>
            </w:r>
          </w:p>
        </w:tc>
        <w:tc>
          <w:tcPr/>
          <w:p>
            <w:pPr>
              <w:pStyle w:val="Compact"/>
            </w:pPr>
            <w:r>
              <w:t xml:space="preserve">Both paths publish to Databricks catalogs (no direct DB/S3 access needed).</w:t>
            </w:r>
          </w:p>
        </w:tc>
        <w:tc>
          <w:tcPr/>
          <w:p>
            <w:pPr>
              <w:pStyle w:val="Compact"/>
            </w:pPr>
            <w:r>
              <w:t xml:space="preserve">Test architecture constraint.</w:t>
            </w:r>
          </w:p>
        </w:tc>
        <w:tc>
          <w:tcPr/>
          <w:p>
            <w:pPr>
              <w:pStyle w:val="Compact"/>
            </w:pPr>
            <w:r>
              <w:t xml:space="preserve">Confirm catalogs and naming conventions exist; smoke check.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A‑02</w:t>
            </w:r>
          </w:p>
        </w:tc>
        <w:tc>
          <w:tcPr/>
          <w:p>
            <w:pPr>
              <w:pStyle w:val="Compact"/>
            </w:pPr>
            <w:r>
              <w:t xml:space="preserve">RR (std001) is the sign‑off benchmark until cutover.</w:t>
            </w:r>
          </w:p>
        </w:tc>
        <w:tc>
          <w:tcPr/>
          <w:p>
            <w:pPr>
              <w:pStyle w:val="Compact"/>
            </w:pPr>
            <w:r>
              <w:t xml:space="preserve">Business directive.</w:t>
            </w:r>
          </w:p>
        </w:tc>
        <w:tc>
          <w:tcPr/>
          <w:p>
            <w:pPr>
              <w:pStyle w:val="Compact"/>
            </w:pPr>
            <w:r>
              <w:t xml:space="preserve">Lock RR schemas; freeze breaking changes.</w:t>
            </w:r>
          </w:p>
        </w:tc>
        <w:tc>
          <w:tcPr/>
          <w:p>
            <w:pPr>
              <w:pStyle w:val="Compact"/>
            </w:pPr>
            <w:r>
              <w:t xml:space="preserve">Product/Data Eng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A‑03</w:t>
            </w:r>
          </w:p>
        </w:tc>
        <w:tc>
          <w:tcPr/>
          <w:p>
            <w:pPr>
              <w:pStyle w:val="Compact"/>
            </w:pPr>
            <w:r>
              <w:t xml:space="preserve">CDA prod target is perf001 with Clone/SCD/ODS Views.</w:t>
            </w:r>
          </w:p>
        </w:tc>
        <w:tc>
          <w:tcPr/>
          <w:p>
            <w:pPr>
              <w:pStyle w:val="Compact"/>
            </w:pPr>
            <w:r>
              <w:t xml:space="preserve">Environment definition.</w:t>
            </w:r>
          </w:p>
        </w:tc>
        <w:tc>
          <w:tcPr/>
          <w:p>
            <w:pPr>
              <w:pStyle w:val="Compact"/>
            </w:pPr>
            <w:r>
              <w:t xml:space="preserve">Environment readiness checklist; INFO_SCHEMA access.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A‑04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gw_stream_batches</w:t>
            </w:r>
            <w:r>
              <w:t xml:space="preserve"> </w:t>
            </w:r>
            <w:r>
              <w:t xml:space="preserve">governs CDA table enablement.</w:t>
            </w:r>
          </w:p>
        </w:tc>
        <w:tc>
          <w:tcPr/>
          <w:p>
            <w:pPr>
              <w:pStyle w:val="Compact"/>
            </w:pPr>
            <w:r>
              <w:t xml:space="preserve">Dev design.</w:t>
            </w:r>
          </w:p>
        </w:tc>
        <w:tc>
          <w:tcPr/>
          <w:p>
            <w:pPr>
              <w:pStyle w:val="Compact"/>
            </w:pPr>
            <w:r>
              <w:t xml:space="preserve">Automation queries it each run; disabled = pending.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A‑05</w:t>
            </w:r>
          </w:p>
        </w:tc>
        <w:tc>
          <w:tcPr/>
          <w:p>
            <w:pPr>
              <w:pStyle w:val="Compact"/>
            </w:pPr>
            <w:r>
              <w:t xml:space="preserve">Silver/Gold logic remains unchanged.</w:t>
            </w:r>
          </w:p>
        </w:tc>
        <w:tc>
          <w:tcPr/>
          <w:p>
            <w:pPr>
              <w:pStyle w:val="Compact"/>
            </w:pPr>
            <w:r>
              <w:t xml:space="preserve">Plug‑compatible swap.</w:t>
            </w:r>
          </w:p>
        </w:tc>
        <w:tc>
          <w:tcPr/>
          <w:p>
            <w:pPr>
              <w:pStyle w:val="Compact"/>
            </w:pPr>
            <w:r>
              <w:t xml:space="preserve">Contract tests with golden queries before switch.</w:t>
            </w:r>
          </w:p>
        </w:tc>
        <w:tc>
          <w:tcPr/>
          <w:p>
            <w:pPr>
              <w:pStyle w:val="Compact"/>
            </w:pPr>
            <w:r>
              <w:t xml:space="preserve">QA/SME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A‑06</w:t>
            </w:r>
          </w:p>
        </w:tc>
        <w:tc>
          <w:tcPr/>
          <w:p>
            <w:pPr>
              <w:pStyle w:val="Compact"/>
            </w:pPr>
            <w:r>
              <w:t xml:space="preserve">Change feed contains op type, timestamp, and sequence/offset.</w:t>
            </w:r>
          </w:p>
        </w:tc>
        <w:tc>
          <w:tcPr/>
          <w:p>
            <w:pPr>
              <w:pStyle w:val="Compact"/>
            </w:pPr>
            <w:r>
              <w:t xml:space="preserve">Needed for delta replay.</w:t>
            </w:r>
          </w:p>
        </w:tc>
        <w:tc>
          <w:tcPr/>
          <w:p>
            <w:pPr>
              <w:pStyle w:val="Compact"/>
            </w:pPr>
            <w:r>
              <w:t xml:space="preserve">Validate columns present for each table domain.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A‑07</w:t>
            </w:r>
          </w:p>
        </w:tc>
        <w:tc>
          <w:tcPr/>
          <w:p>
            <w:pPr>
              <w:pStyle w:val="Compact"/>
            </w:pPr>
            <w:r>
              <w:t xml:space="preserve">Tolerances are documented and approved by SMEs.</w:t>
            </w:r>
          </w:p>
        </w:tc>
        <w:tc>
          <w:tcPr/>
          <w:p>
            <w:pPr>
              <w:pStyle w:val="Compact"/>
            </w:pPr>
            <w:r>
              <w:t xml:space="preserve">Prevent false positives.</w:t>
            </w:r>
          </w:p>
        </w:tc>
        <w:tc>
          <w:tcPr/>
          <w:p>
            <w:pPr>
              <w:pStyle w:val="Compact"/>
            </w:pPr>
            <w:r>
              <w:t xml:space="preserve">Store in</w:t>
            </w:r>
            <w:r>
              <w:t xml:space="preserve"> </w:t>
            </w:r>
            <w:r>
              <w:rPr>
                <w:rStyle w:val="VerbatimChar"/>
              </w:rPr>
              <w:t xml:space="preserve">qa.rules</w:t>
            </w:r>
            <w:r>
              <w:t xml:space="preserve">; review board for updates.</w:t>
            </w:r>
          </w:p>
        </w:tc>
        <w:tc>
          <w:tcPr/>
          <w:p>
            <w:pPr>
              <w:pStyle w:val="Compact"/>
            </w:pPr>
            <w:r>
              <w:t xml:space="preserve">Product/SME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issues-currentopen"/>
    <w:p>
      <w:pPr>
        <w:pStyle w:val="Heading2"/>
      </w:pPr>
      <w:r>
        <w:t xml:space="preserve">3) Issues (Current/Open)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Workaround / Resolution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I‑01</w:t>
            </w:r>
          </w:p>
        </w:tc>
        <w:tc>
          <w:tcPr/>
          <w:p>
            <w:pPr>
              <w:pStyle w:val="Compact"/>
            </w:pPr>
            <w:r>
              <w:t xml:space="preserve">Precision mismatch on</w:t>
            </w:r>
            <w:r>
              <w:t xml:space="preserve"> </w:t>
            </w:r>
            <w:r>
              <w:rPr>
                <w:rStyle w:val="VerbatimChar"/>
              </w:rPr>
              <w:t xml:space="preserve">coverage_detail.amount</w:t>
            </w:r>
            <w:r>
              <w:t xml:space="preserve"> </w:t>
            </w:r>
            <w:r>
              <w:t xml:space="preserve">(RR 18,2 vs CDA 19,2).</w:t>
            </w:r>
          </w:p>
        </w:tc>
        <w:tc>
          <w:tcPr/>
          <w:p>
            <w:pPr>
              <w:pStyle w:val="Compact"/>
            </w:pPr>
            <w:r>
              <w:t xml:space="preserve">Blocks parity; downstream aggregations differ.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Align schema; backfill or cast in ODS View with approval.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2025‑08‑28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I‑02</w:t>
            </w:r>
          </w:p>
        </w:tc>
        <w:tc>
          <w:tcPr/>
          <w:p>
            <w:pPr>
              <w:pStyle w:val="Compact"/>
            </w:pPr>
            <w:r>
              <w:t xml:space="preserve">Late arrivals observed on</w:t>
            </w:r>
            <w:r>
              <w:t xml:space="preserve"> </w:t>
            </w:r>
            <w:r>
              <w:rPr>
                <w:rStyle w:val="VerbatimChar"/>
              </w:rPr>
              <w:t xml:space="preserve">policy_header</w:t>
            </w:r>
            <w:r>
              <w:t xml:space="preserve"> </w:t>
            </w:r>
            <w:r>
              <w:t xml:space="preserve">batch‑3.</w:t>
            </w:r>
          </w:p>
        </w:tc>
        <w:tc>
          <w:tcPr/>
          <w:p>
            <w:pPr>
              <w:pStyle w:val="Compact"/>
            </w:pPr>
            <w:r>
              <w:t xml:space="preserve">Causes daily variance spike.</w:t>
            </w:r>
          </w:p>
        </w:tc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Track sequence gaps; confirm catch‑up next run; adjust windowing rule.</w:t>
            </w:r>
          </w:p>
        </w:tc>
        <w:tc>
          <w:tcPr/>
          <w:p>
            <w:pPr>
              <w:pStyle w:val="Compact"/>
            </w:pPr>
            <w:r>
              <w:t xml:space="preserve">Open</w:t>
            </w:r>
          </w:p>
        </w:tc>
        <w:tc>
          <w:tcPr/>
          <w:p>
            <w:pPr>
              <w:pStyle w:val="Compact"/>
            </w:pPr>
            <w:r>
              <w:t xml:space="preserve">2025‑08‑23</w:t>
            </w:r>
          </w:p>
        </w:tc>
      </w:tr>
    </w:tbl>
    <w:p>
      <w:pPr>
        <w:pStyle w:val="BodyText"/>
      </w:pPr>
      <w:r>
        <w:rPr>
          <w:i/>
          <w:iCs/>
        </w:rPr>
        <w:t xml:space="preserve">(Replace with live items as they arise.)</w:t>
      </w:r>
    </w:p>
    <w:p>
      <w:r>
        <w:pict>
          <v:rect style="width:0;height:1.5pt" o:hralign="center" o:hrstd="t" o:hr="t"/>
        </w:pict>
      </w:r>
    </w:p>
    <w:bookmarkEnd w:id="22"/>
    <w:bookmarkStart w:id="23" w:name="dependencies"/>
    <w:p>
      <w:pPr>
        <w:pStyle w:val="Heading2"/>
      </w:pPr>
      <w:r>
        <w:t xml:space="preserve">4) Dependencies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Dependency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Needed By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Risk if Delayed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D‑01</w:t>
            </w:r>
          </w:p>
        </w:tc>
        <w:tc>
          <w:tcPr/>
          <w:p>
            <w:pPr>
              <w:pStyle w:val="Compact"/>
            </w:pPr>
            <w:r>
              <w:t xml:space="preserve">Dual Catalog Publish</w:t>
            </w:r>
          </w:p>
        </w:tc>
        <w:tc>
          <w:tcPr/>
          <w:p>
            <w:pPr>
              <w:pStyle w:val="Compact"/>
            </w:pPr>
            <w:r>
              <w:t xml:space="preserve">RR and CDA tables available in</w:t>
            </w:r>
            <w:r>
              <w:t xml:space="preserve"> </w:t>
            </w:r>
            <w:r>
              <w:rPr>
                <w:rStyle w:val="VerbatimChar"/>
              </w:rPr>
              <w:t xml:space="preserve">std001</w:t>
            </w:r>
            <w:r>
              <w:t xml:space="preserve">/</w:t>
            </w:r>
            <w:r>
              <w:rPr>
                <w:rStyle w:val="VerbatimChar"/>
              </w:rPr>
              <w:t xml:space="preserve">perf001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Testing start</w:t>
            </w:r>
          </w:p>
        </w:tc>
        <w:tc>
          <w:tcPr/>
          <w:p>
            <w:pPr>
              <w:pStyle w:val="Compact"/>
            </w:pPr>
            <w:r>
              <w:t xml:space="preserve">Data Eng</w:t>
            </w:r>
          </w:p>
        </w:tc>
        <w:tc>
          <w:tcPr/>
          <w:p>
            <w:pPr>
              <w:pStyle w:val="Compact"/>
            </w:pPr>
            <w:r>
              <w:t xml:space="preserve">Slip of testing window; incomplete coverage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D‑02</w:t>
            </w:r>
          </w:p>
        </w:tc>
        <w:tc>
          <w:tcPr/>
          <w:p>
            <w:pPr>
              <w:pStyle w:val="Compact"/>
            </w:pPr>
            <w:r>
              <w:t xml:space="preserve">Access Provisioning</w:t>
            </w:r>
          </w:p>
        </w:tc>
        <w:tc>
          <w:tcPr/>
          <w:p>
            <w:pPr>
              <w:pStyle w:val="Compact"/>
            </w:pPr>
            <w:r>
              <w:t xml:space="preserve">QA SPN read to catalogs + INFO_SCHEMA.</w:t>
            </w:r>
          </w:p>
        </w:tc>
        <w:tc>
          <w:tcPr/>
          <w:p>
            <w:pPr>
              <w:pStyle w:val="Compact"/>
            </w:pPr>
            <w:r>
              <w:t xml:space="preserve">Before first run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Test runs fail; dashboards empty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D‑03</w:t>
            </w:r>
          </w:p>
        </w:tc>
        <w:tc>
          <w:tcPr/>
          <w:p>
            <w:pPr>
              <w:pStyle w:val="Compact"/>
            </w:pPr>
            <w:r>
              <w:t xml:space="preserve">Workflows</w:t>
            </w:r>
          </w:p>
        </w:tc>
        <w:tc>
          <w:tcPr/>
          <w:p>
            <w:pPr>
              <w:pStyle w:val="Compact"/>
            </w:pPr>
            <w:r>
              <w:t xml:space="preserve">Schedules for ingestion and QA jobs aligned.</w:t>
            </w:r>
          </w:p>
        </w:tc>
        <w:tc>
          <w:tcPr/>
          <w:p>
            <w:pPr>
              <w:pStyle w:val="Compact"/>
            </w:pPr>
            <w:r>
              <w:t xml:space="preserve">Daily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Misaligned snapshots; noisy alerts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D‑04</w:t>
            </w:r>
          </w:p>
        </w:tc>
        <w:tc>
          <w:tcPr/>
          <w:p>
            <w:pPr>
              <w:pStyle w:val="Compact"/>
            </w:pPr>
            <w:r>
              <w:t xml:space="preserve">SME Tolerances</w:t>
            </w:r>
          </w:p>
        </w:tc>
        <w:tc>
          <w:tcPr/>
          <w:p>
            <w:pPr>
              <w:pStyle w:val="Compact"/>
            </w:pPr>
            <w:r>
              <w:t xml:space="preserve">Approved tolerance matrix per domain.</w:t>
            </w:r>
          </w:p>
        </w:tc>
        <w:tc>
          <w:tcPr/>
          <w:p>
            <w:pPr>
              <w:pStyle w:val="Compact"/>
            </w:pPr>
            <w:r>
              <w:t xml:space="preserve">Before parity</w:t>
            </w:r>
          </w:p>
        </w:tc>
        <w:tc>
          <w:tcPr/>
          <w:p>
            <w:pPr>
              <w:pStyle w:val="Compact"/>
            </w:pPr>
            <w:r>
              <w:t xml:space="preserve">Product/SME</w:t>
            </w:r>
          </w:p>
        </w:tc>
        <w:tc>
          <w:tcPr/>
          <w:p>
            <w:pPr>
              <w:pStyle w:val="Compact"/>
            </w:pPr>
            <w:r>
              <w:t xml:space="preserve">False positives; blocked cutover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D‑05</w:t>
            </w:r>
          </w:p>
        </w:tc>
        <w:tc>
          <w:tcPr/>
          <w:p>
            <w:pPr>
              <w:pStyle w:val="Compact"/>
            </w:pPr>
            <w:r>
              <w:t xml:space="preserve">Dashboard Workspace</w:t>
            </w:r>
          </w:p>
        </w:tc>
        <w:tc>
          <w:tcPr/>
          <w:p>
            <w:pPr>
              <w:pStyle w:val="Compact"/>
            </w:pPr>
            <w:r>
              <w:t xml:space="preserve">DB SQL/Power BI workspace and service principal.</w:t>
            </w:r>
          </w:p>
        </w:tc>
        <w:tc>
          <w:tcPr/>
          <w:p>
            <w:pPr>
              <w:pStyle w:val="Compact"/>
            </w:pPr>
            <w:r>
              <w:t xml:space="preserve">Before UAT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No visibility; delayed sign‑off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D‑06</w:t>
            </w:r>
          </w:p>
        </w:tc>
        <w:tc>
          <w:tcPr/>
          <w:p>
            <w:pPr>
              <w:pStyle w:val="Compact"/>
            </w:pPr>
            <w:r>
              <w:t xml:space="preserve">Contract Specs</w:t>
            </w:r>
          </w:p>
        </w:tc>
        <w:tc>
          <w:tcPr/>
          <w:p>
            <w:pPr>
              <w:pStyle w:val="Compact"/>
            </w:pPr>
            <w:r>
              <w:t xml:space="preserve">Definitive ODS View contracts for RR and CDA.</w:t>
            </w:r>
          </w:p>
        </w:tc>
        <w:tc>
          <w:tcPr/>
          <w:p>
            <w:pPr>
              <w:pStyle w:val="Compact"/>
            </w:pPr>
            <w:r>
              <w:t xml:space="preserve">Before contract tests</w:t>
            </w:r>
          </w:p>
        </w:tc>
        <w:tc>
          <w:tcPr/>
          <w:p>
            <w:pPr>
              <w:pStyle w:val="Compact"/>
            </w:pPr>
            <w:r>
              <w:t xml:space="preserve">Data Eng/SME</w:t>
            </w:r>
          </w:p>
        </w:tc>
        <w:tc>
          <w:tcPr/>
          <w:p>
            <w:pPr>
              <w:pStyle w:val="Compact"/>
            </w:pPr>
            <w:r>
              <w:t xml:space="preserve">Unknown breaking changes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4" w:name="governance"/>
    <w:p>
      <w:pPr>
        <w:pStyle w:val="Heading2"/>
      </w:pPr>
      <w:r>
        <w:t xml:space="preserve">5)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Review Cadence:</w:t>
      </w:r>
      <w:r>
        <w:t xml:space="preserve"> </w:t>
      </w:r>
      <w:r>
        <w:t xml:space="preserve">Weekly RAID review with Data Eng, QA, Platform, SME.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Change Control:</w:t>
      </w:r>
      <w:r>
        <w:t xml:space="preserve"> </w:t>
      </w:r>
      <w:r>
        <w:t xml:space="preserve">Any schema or contract changes require drift approval before deployment.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RAID tracked in this register and mirrored in Jira with links to failing run_ids and dashboards.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Escalation:</w:t>
      </w:r>
      <w:r>
        <w:t xml:space="preserve"> </w:t>
      </w:r>
      <w:r>
        <w:t xml:space="preserve">Blocker risks/issues escalate to Steering within 24h.</w:t>
      </w:r>
    </w:p>
    <w:p>
      <w:r>
        <w:pict>
          <v:rect style="width:0;height:1.5pt" o:hralign="center" o:hrstd="t" o:hr="t"/>
        </w:pict>
      </w:r>
    </w:p>
    <w:bookmarkEnd w:id="24"/>
    <w:bookmarkStart w:id="25" w:name="templates-copypaste"/>
    <w:p>
      <w:pPr>
        <w:pStyle w:val="Heading2"/>
      </w:pPr>
      <w:r>
        <w:t xml:space="preserve">6) Templates (Copy‑Paste)</w:t>
      </w:r>
    </w:p>
    <w:p>
      <w:pPr>
        <w:pStyle w:val="FirstParagraph"/>
      </w:pPr>
      <w:r>
        <w:rPr>
          <w:b/>
          <w:bCs/>
        </w:rPr>
        <w:t xml:space="preserve">Risk/Issue Template</w:t>
      </w:r>
    </w:p>
    <w:p>
      <w:pPr>
        <w:pStyle w:val="SourceCode"/>
      </w:pPr>
      <w:r>
        <w:rPr>
          <w:rStyle w:val="VerbatimChar"/>
        </w:rPr>
        <w:t xml:space="preserve">ID:</w:t>
      </w:r>
      <w:r>
        <w:br/>
      </w:r>
      <w:r>
        <w:rPr>
          <w:rStyle w:val="VerbatimChar"/>
        </w:rPr>
        <w:t xml:space="preserve">Title:</w:t>
      </w:r>
      <w:r>
        <w:br/>
      </w:r>
      <w:r>
        <w:rPr>
          <w:rStyle w:val="VerbatimChar"/>
        </w:rPr>
        <w:t xml:space="preserve">Type: Risk | Issue</w:t>
      </w:r>
      <w:r>
        <w:br/>
      </w:r>
      <w:r>
        <w:rPr>
          <w:rStyle w:val="VerbatimChar"/>
        </w:rPr>
        <w:t xml:space="preserve">Description:</w:t>
      </w:r>
      <w:r>
        <w:br/>
      </w:r>
      <w:r>
        <w:rPr>
          <w:rStyle w:val="VerbatimChar"/>
        </w:rPr>
        <w:t xml:space="preserve">Impact:</w:t>
      </w:r>
      <w:r>
        <w:br/>
      </w:r>
      <w:r>
        <w:rPr>
          <w:rStyle w:val="VerbatimChar"/>
        </w:rPr>
        <w:t xml:space="preserve">Likelihood:</w:t>
      </w:r>
      <w:r>
        <w:br/>
      </w:r>
      <w:r>
        <w:rPr>
          <w:rStyle w:val="VerbatimChar"/>
        </w:rPr>
        <w:t xml:space="preserve">Owner:</w:t>
      </w:r>
      <w:r>
        <w:br/>
      </w:r>
      <w:r>
        <w:rPr>
          <w:rStyle w:val="VerbatimChar"/>
        </w:rPr>
        <w:t xml:space="preserve">Mitigation / Resolution:</w:t>
      </w:r>
      <w:r>
        <w:br/>
      </w:r>
      <w:r>
        <w:rPr>
          <w:rStyle w:val="VerbatimChar"/>
        </w:rPr>
        <w:t xml:space="preserve">Status:</w:t>
      </w:r>
      <w:r>
        <w:br/>
      </w:r>
      <w:r>
        <w:rPr>
          <w:rStyle w:val="VerbatimChar"/>
        </w:rPr>
        <w:t xml:space="preserve">Target Date:</w:t>
      </w:r>
      <w:r>
        <w:br/>
      </w:r>
      <w:r>
        <w:rPr>
          <w:rStyle w:val="VerbatimChar"/>
        </w:rPr>
        <w:t xml:space="preserve">Links: run_id= , Jira= , Dashboard=</w:t>
      </w:r>
    </w:p>
    <w:p>
      <w:pPr>
        <w:pStyle w:val="FirstParagraph"/>
      </w:pPr>
      <w:r>
        <w:rPr>
          <w:b/>
          <w:bCs/>
        </w:rPr>
        <w:t xml:space="preserve">Dependency Template</w:t>
      </w:r>
    </w:p>
    <w:p>
      <w:pPr>
        <w:pStyle w:val="SourceCode"/>
      </w:pPr>
      <w:r>
        <w:rPr>
          <w:rStyle w:val="VerbatimChar"/>
        </w:rPr>
        <w:t xml:space="preserve">ID:</w:t>
      </w:r>
      <w:r>
        <w:br/>
      </w:r>
      <w:r>
        <w:rPr>
          <w:rStyle w:val="VerbatimChar"/>
        </w:rPr>
        <w:t xml:space="preserve">Name:</w:t>
      </w:r>
      <w:r>
        <w:br/>
      </w:r>
      <w:r>
        <w:rPr>
          <w:rStyle w:val="VerbatimChar"/>
        </w:rPr>
        <w:t xml:space="preserve">Description:</w:t>
      </w:r>
      <w:r>
        <w:br/>
      </w:r>
      <w:r>
        <w:rPr>
          <w:rStyle w:val="VerbatimChar"/>
        </w:rPr>
        <w:t xml:space="preserve">Needed By:</w:t>
      </w:r>
      <w:r>
        <w:br/>
      </w:r>
      <w:r>
        <w:rPr>
          <w:rStyle w:val="VerbatimChar"/>
        </w:rPr>
        <w:t xml:space="preserve">Owner:</w:t>
      </w:r>
      <w:r>
        <w:br/>
      </w:r>
      <w:r>
        <w:rPr>
          <w:rStyle w:val="VerbatimChar"/>
        </w:rPr>
        <w:t xml:space="preserve">Risk if Delayed:</w:t>
      </w:r>
      <w:r>
        <w:br/>
      </w:r>
      <w:r>
        <w:rPr>
          <w:rStyle w:val="VerbatimChar"/>
        </w:rPr>
        <w:t xml:space="preserve">Notes:</w:t>
      </w:r>
    </w:p>
    <w:p>
      <w:pPr>
        <w:pStyle w:val="FirstParagraph"/>
      </w:pPr>
      <w:r>
        <w:rPr>
          <w:b/>
          <w:bCs/>
        </w:rPr>
        <w:t xml:space="preserve">Assumption Template</w:t>
      </w:r>
    </w:p>
    <w:p>
      <w:pPr>
        <w:pStyle w:val="SourceCode"/>
      </w:pPr>
      <w:r>
        <w:rPr>
          <w:rStyle w:val="VerbatimChar"/>
        </w:rPr>
        <w:t xml:space="preserve">ID:</w:t>
      </w:r>
      <w:r>
        <w:br/>
      </w:r>
      <w:r>
        <w:rPr>
          <w:rStyle w:val="VerbatimChar"/>
        </w:rPr>
        <w:t xml:space="preserve">Statement:</w:t>
      </w:r>
      <w:r>
        <w:br/>
      </w:r>
      <w:r>
        <w:rPr>
          <w:rStyle w:val="VerbatimChar"/>
        </w:rPr>
        <w:t xml:space="preserve">Rationale:</w:t>
      </w:r>
      <w:r>
        <w:br/>
      </w:r>
      <w:r>
        <w:rPr>
          <w:rStyle w:val="VerbatimChar"/>
        </w:rPr>
        <w:t xml:space="preserve">Validation/Action:</w:t>
      </w:r>
      <w:r>
        <w:br/>
      </w:r>
      <w:r>
        <w:rPr>
          <w:rStyle w:val="VerbatimChar"/>
        </w:rPr>
        <w:t xml:space="preserve">Owner: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2025-08-21T09:36:00Z</dcterms:created>
  <dcterms:modified xsi:type="dcterms:W3CDTF">2025-08-21T09:36:00Z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