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2120"/>
        <w:gridCol w:w="2482"/>
        <w:gridCol w:w="2695"/>
      </w:tblGrid>
      <w:tr w:rsidR="008A6B89" w:rsidRPr="008A6B89" w14:paraId="385EFC7D" w14:textId="77777777" w:rsidTr="008A6B89">
        <w:trPr>
          <w:tblHeader/>
          <w:tblCellSpacing w:w="15" w:type="dxa"/>
        </w:trPr>
        <w:tc>
          <w:tcPr>
            <w:tcW w:w="0" w:type="auto"/>
            <w:vAlign w:val="center"/>
            <w:hideMark/>
          </w:tcPr>
          <w:p w14:paraId="188DD2A8" w14:textId="77777777" w:rsidR="008A6B89" w:rsidRPr="008A6B89" w:rsidRDefault="008A6B89" w:rsidP="008A6B89">
            <w:pPr>
              <w:jc w:val="center"/>
              <w:rPr>
                <w:rFonts w:ascii="Times New Roman" w:eastAsia="Times New Roman" w:hAnsi="Times New Roman" w:cs="Times New Roman"/>
                <w:b/>
                <w:bCs/>
              </w:rPr>
            </w:pPr>
            <w:r w:rsidRPr="008A6B89">
              <w:rPr>
                <w:rFonts w:ascii="Times New Roman" w:eastAsia="Times New Roman" w:hAnsi="Times New Roman" w:cs="Times New Roman"/>
                <w:b/>
                <w:bCs/>
              </w:rPr>
              <w:t>Issue Identified</w:t>
            </w:r>
          </w:p>
        </w:tc>
        <w:tc>
          <w:tcPr>
            <w:tcW w:w="0" w:type="auto"/>
            <w:vAlign w:val="center"/>
            <w:hideMark/>
          </w:tcPr>
          <w:p w14:paraId="13D72929" w14:textId="77777777" w:rsidR="008A6B89" w:rsidRPr="008A6B89" w:rsidRDefault="008A6B89" w:rsidP="008A6B89">
            <w:pPr>
              <w:jc w:val="center"/>
              <w:rPr>
                <w:rFonts w:ascii="Times New Roman" w:eastAsia="Times New Roman" w:hAnsi="Times New Roman" w:cs="Times New Roman"/>
                <w:b/>
                <w:bCs/>
              </w:rPr>
            </w:pPr>
            <w:r w:rsidRPr="008A6B89">
              <w:rPr>
                <w:rFonts w:ascii="Times New Roman" w:eastAsia="Times New Roman" w:hAnsi="Times New Roman" w:cs="Times New Roman"/>
                <w:b/>
                <w:bCs/>
              </w:rPr>
              <w:t>Detailed Explanation</w:t>
            </w:r>
          </w:p>
        </w:tc>
        <w:tc>
          <w:tcPr>
            <w:tcW w:w="0" w:type="auto"/>
            <w:vAlign w:val="center"/>
            <w:hideMark/>
          </w:tcPr>
          <w:p w14:paraId="4052D13A" w14:textId="77777777" w:rsidR="008A6B89" w:rsidRPr="008A6B89" w:rsidRDefault="008A6B89" w:rsidP="008A6B89">
            <w:pPr>
              <w:jc w:val="center"/>
              <w:rPr>
                <w:rFonts w:ascii="Times New Roman" w:eastAsia="Times New Roman" w:hAnsi="Times New Roman" w:cs="Times New Roman"/>
                <w:b/>
                <w:bCs/>
              </w:rPr>
            </w:pPr>
            <w:r w:rsidRPr="008A6B89">
              <w:rPr>
                <w:rFonts w:ascii="Times New Roman" w:eastAsia="Times New Roman" w:hAnsi="Times New Roman" w:cs="Times New Roman"/>
                <w:b/>
                <w:bCs/>
              </w:rPr>
              <w:t>Possible Root Cause</w:t>
            </w:r>
          </w:p>
        </w:tc>
        <w:tc>
          <w:tcPr>
            <w:tcW w:w="0" w:type="auto"/>
            <w:vAlign w:val="center"/>
            <w:hideMark/>
          </w:tcPr>
          <w:p w14:paraId="443174EA" w14:textId="77777777" w:rsidR="008A6B89" w:rsidRPr="008A6B89" w:rsidRDefault="008A6B89" w:rsidP="008A6B89">
            <w:pPr>
              <w:jc w:val="center"/>
              <w:rPr>
                <w:rFonts w:ascii="Times New Roman" w:eastAsia="Times New Roman" w:hAnsi="Times New Roman" w:cs="Times New Roman"/>
                <w:b/>
                <w:bCs/>
              </w:rPr>
            </w:pPr>
            <w:r w:rsidRPr="008A6B89">
              <w:rPr>
                <w:rFonts w:ascii="Times New Roman" w:eastAsia="Times New Roman" w:hAnsi="Times New Roman" w:cs="Times New Roman"/>
                <w:b/>
                <w:bCs/>
              </w:rPr>
              <w:t>Next Action Items</w:t>
            </w:r>
          </w:p>
        </w:tc>
      </w:tr>
      <w:tr w:rsidR="008A6B89" w:rsidRPr="008A6B89" w14:paraId="42E407F9" w14:textId="77777777" w:rsidTr="008A6B89">
        <w:trPr>
          <w:tblCellSpacing w:w="15" w:type="dxa"/>
        </w:trPr>
        <w:tc>
          <w:tcPr>
            <w:tcW w:w="0" w:type="auto"/>
            <w:vAlign w:val="center"/>
            <w:hideMark/>
          </w:tcPr>
          <w:p w14:paraId="2F092C31"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b/>
                <w:bCs/>
              </w:rPr>
              <w:t>1. Production and Test Read Replica schema differences</w:t>
            </w:r>
          </w:p>
        </w:tc>
        <w:tc>
          <w:tcPr>
            <w:tcW w:w="0" w:type="auto"/>
            <w:vAlign w:val="center"/>
            <w:hideMark/>
          </w:tcPr>
          <w:p w14:paraId="0DF1130B"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DDL comparison shows that the Production and Test Read Replica schemas are not fully aligned. Some tables contain additional system-generated columns in one environment that are missing in the other. Since both environments represent the same Guidewire application, the schema should ideally remain consistent.</w:t>
            </w:r>
          </w:p>
        </w:tc>
        <w:tc>
          <w:tcPr>
            <w:tcW w:w="0" w:type="auto"/>
            <w:vAlign w:val="center"/>
            <w:hideMark/>
          </w:tcPr>
          <w:p w14:paraId="74744C28"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Different Guidewire application/database versions, environment-specific deployments or hotfixes, database refresh at different points in time, incomplete migration scripts, custom extensions, or environment-specific feature flags.</w:t>
            </w:r>
          </w:p>
        </w:tc>
        <w:tc>
          <w:tcPr>
            <w:tcW w:w="0" w:type="auto"/>
            <w:vAlign w:val="center"/>
            <w:hideMark/>
          </w:tcPr>
          <w:p w14:paraId="2C9A9F75"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Compare Guidewire and database schema versions, review deployment history, identify the origin of the additional columns, and confirm whether the differences are expected.</w:t>
            </w:r>
          </w:p>
        </w:tc>
      </w:tr>
      <w:tr w:rsidR="008A6B89" w:rsidRPr="008A6B89" w14:paraId="3338B426" w14:textId="77777777" w:rsidTr="008A6B89">
        <w:trPr>
          <w:tblCellSpacing w:w="15" w:type="dxa"/>
        </w:trPr>
        <w:tc>
          <w:tcPr>
            <w:tcW w:w="0" w:type="auto"/>
            <w:vAlign w:val="center"/>
            <w:hideMark/>
          </w:tcPr>
          <w:p w14:paraId="4112A556"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b/>
                <w:bCs/>
              </w:rPr>
              <w:t>2. Data type inconsistencies between Production and Test ODS views</w:t>
            </w:r>
          </w:p>
        </w:tc>
        <w:tc>
          <w:tcPr>
            <w:tcW w:w="0" w:type="auto"/>
            <w:vAlign w:val="center"/>
            <w:hideMark/>
          </w:tcPr>
          <w:p w14:paraId="035DB1D5"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 xml:space="preserve">The same table and column are exposed with different data types across environments (e.g., </w:t>
            </w:r>
            <w:r w:rsidRPr="008A6B89">
              <w:rPr>
                <w:rFonts w:ascii="Courier New" w:eastAsia="Times New Roman" w:hAnsi="Courier New" w:cs="Courier New"/>
                <w:sz w:val="20"/>
                <w:szCs w:val="20"/>
              </w:rPr>
              <w:t>DOUBLE</w:t>
            </w:r>
            <w:r w:rsidRPr="008A6B89">
              <w:rPr>
                <w:rFonts w:ascii="Times New Roman" w:eastAsia="Times New Roman" w:hAnsi="Times New Roman" w:cs="Times New Roman"/>
              </w:rPr>
              <w:t xml:space="preserve"> in Production but </w:t>
            </w:r>
            <w:r w:rsidRPr="008A6B89">
              <w:rPr>
                <w:rFonts w:ascii="Courier New" w:eastAsia="Times New Roman" w:hAnsi="Courier New" w:cs="Courier New"/>
                <w:sz w:val="20"/>
                <w:szCs w:val="20"/>
              </w:rPr>
              <w:t>INT</w:t>
            </w:r>
            <w:r w:rsidRPr="008A6B89">
              <w:rPr>
                <w:rFonts w:ascii="Times New Roman" w:eastAsia="Times New Roman" w:hAnsi="Times New Roman" w:cs="Times New Roman"/>
              </w:rPr>
              <w:t>/</w:t>
            </w:r>
            <w:r w:rsidRPr="008A6B89">
              <w:rPr>
                <w:rFonts w:ascii="Courier New" w:eastAsia="Times New Roman" w:hAnsi="Courier New" w:cs="Courier New"/>
                <w:sz w:val="20"/>
                <w:szCs w:val="20"/>
              </w:rPr>
              <w:t>LONG</w:t>
            </w:r>
            <w:r w:rsidRPr="008A6B89">
              <w:rPr>
                <w:rFonts w:ascii="Times New Roman" w:eastAsia="Times New Roman" w:hAnsi="Times New Roman" w:cs="Times New Roman"/>
              </w:rPr>
              <w:t xml:space="preserve"> in Test). Since both views are derived from the same source entity, the exposed data types are expected to be consistent.</w:t>
            </w:r>
          </w:p>
        </w:tc>
        <w:tc>
          <w:tcPr>
            <w:tcW w:w="0" w:type="auto"/>
            <w:vAlign w:val="center"/>
            <w:hideMark/>
          </w:tcPr>
          <w:p w14:paraId="3C7BE6D6"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Different source schema versions, ingestion/schema inference differences, explicit casting in view generation, schema evolution not applied consistently, or stale ODS views after source schema changes.</w:t>
            </w:r>
          </w:p>
        </w:tc>
        <w:tc>
          <w:tcPr>
            <w:tcW w:w="0" w:type="auto"/>
            <w:vAlign w:val="center"/>
            <w:hideMark/>
          </w:tcPr>
          <w:p w14:paraId="78536AE4"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Compare source database data types, inspect ODS view definitions, review ingestion mapping logic, and determine where the type conversion is occurring.</w:t>
            </w:r>
          </w:p>
        </w:tc>
      </w:tr>
      <w:tr w:rsidR="008A6B89" w:rsidRPr="008A6B89" w14:paraId="768A8842" w14:textId="77777777" w:rsidTr="008A6B89">
        <w:trPr>
          <w:tblCellSpacing w:w="15" w:type="dxa"/>
        </w:trPr>
        <w:tc>
          <w:tcPr>
            <w:tcW w:w="0" w:type="auto"/>
            <w:vAlign w:val="center"/>
            <w:hideMark/>
          </w:tcPr>
          <w:p w14:paraId="2163F172"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b/>
                <w:bCs/>
              </w:rPr>
              <w:t>3. CDA schema not fully aligned with Read Replica</w:t>
            </w:r>
          </w:p>
        </w:tc>
        <w:tc>
          <w:tcPr>
            <w:tcW w:w="0" w:type="auto"/>
            <w:vAlign w:val="center"/>
            <w:hideMark/>
          </w:tcPr>
          <w:p w14:paraId="12325B83"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 xml:space="preserve">CDA differs from both Production and Test Read Replica schemas. Some system-generated columns are intentionally excluded, but additional columns exist in CDA while some business columns available in the Read Replica are missing. Missing </w:t>
            </w:r>
            <w:r w:rsidRPr="008A6B89">
              <w:rPr>
                <w:rFonts w:ascii="Times New Roman" w:eastAsia="Times New Roman" w:hAnsi="Times New Roman" w:cs="Times New Roman"/>
              </w:rPr>
              <w:lastRenderedPageBreak/>
              <w:t>business columns could impact downstream consumers and reconciliation.</w:t>
            </w:r>
          </w:p>
        </w:tc>
        <w:tc>
          <w:tcPr>
            <w:tcW w:w="0" w:type="auto"/>
            <w:vAlign w:val="center"/>
            <w:hideMark/>
          </w:tcPr>
          <w:p w14:paraId="30ED73CD"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lastRenderedPageBreak/>
              <w:t>Intentional CDA filtering, blocklist or configuration rules, schema evolution not propagated, unsupported source data types, incomplete ingestion mapping, or regression introduced during CDA generation.</w:t>
            </w:r>
          </w:p>
        </w:tc>
        <w:tc>
          <w:tcPr>
            <w:tcW w:w="0" w:type="auto"/>
            <w:vAlign w:val="center"/>
            <w:hideMark/>
          </w:tcPr>
          <w:p w14:paraId="208056B1"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Classify differences into expected vs. unexpected, validate missing business columns with Guidewire, review CDA mapping/configuration, and raise defects for unexplained differences.</w:t>
            </w:r>
          </w:p>
        </w:tc>
      </w:tr>
      <w:tr w:rsidR="008A6B89" w:rsidRPr="008A6B89" w14:paraId="7A3F1C0E" w14:textId="77777777" w:rsidTr="008A6B89">
        <w:trPr>
          <w:tblCellSpacing w:w="15" w:type="dxa"/>
        </w:trPr>
        <w:tc>
          <w:tcPr>
            <w:tcW w:w="0" w:type="auto"/>
            <w:vAlign w:val="center"/>
            <w:hideMark/>
          </w:tcPr>
          <w:p w14:paraId="3B9A4284"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b/>
                <w:bCs/>
              </w:rPr>
              <w:t>4. CDA tables exist but cannot be queried when no source data is available</w:t>
            </w:r>
          </w:p>
        </w:tc>
        <w:tc>
          <w:tcPr>
            <w:tcW w:w="0" w:type="auto"/>
            <w:vAlign w:val="center"/>
            <w:hideMark/>
          </w:tcPr>
          <w:p w14:paraId="27F68338"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The metadata and schema for certain tables exist in CDA, but querying the table fails because the underlying physical table has not been created. Even without data, the expectation is that the schema should remain accessible for DDL validation.</w:t>
            </w:r>
          </w:p>
        </w:tc>
        <w:tc>
          <w:tcPr>
            <w:tcW w:w="0" w:type="auto"/>
            <w:vAlign w:val="center"/>
            <w:hideMark/>
          </w:tcPr>
          <w:p w14:paraId="3714B6D6"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 xml:space="preserve">Lazy physical table creation, Unity </w:t>
            </w:r>
            <w:proofErr w:type="spellStart"/>
            <w:r w:rsidRPr="008A6B89">
              <w:rPr>
                <w:rFonts w:ascii="Times New Roman" w:eastAsia="Times New Roman" w:hAnsi="Times New Roman" w:cs="Times New Roman"/>
              </w:rPr>
              <w:t>Catalog</w:t>
            </w:r>
            <w:proofErr w:type="spellEnd"/>
            <w:r w:rsidRPr="008A6B89">
              <w:rPr>
                <w:rFonts w:ascii="Times New Roman" w:eastAsia="Times New Roman" w:hAnsi="Times New Roman" w:cs="Times New Roman"/>
              </w:rPr>
              <w:t xml:space="preserve"> dependency issues, failed table provisioning, deployment sequence issue, or pipeline creating metadata without creating the underlying Delta table.</w:t>
            </w:r>
          </w:p>
        </w:tc>
        <w:tc>
          <w:tcPr>
            <w:tcW w:w="0" w:type="auto"/>
            <w:vAlign w:val="center"/>
            <w:hideMark/>
          </w:tcPr>
          <w:p w14:paraId="30B71220"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 xml:space="preserve">Verify whether this is expected CDA behaviour, inspect Unity </w:t>
            </w:r>
            <w:proofErr w:type="spellStart"/>
            <w:r w:rsidRPr="008A6B89">
              <w:rPr>
                <w:rFonts w:ascii="Times New Roman" w:eastAsia="Times New Roman" w:hAnsi="Times New Roman" w:cs="Times New Roman"/>
              </w:rPr>
              <w:t>Catalog</w:t>
            </w:r>
            <w:proofErr w:type="spellEnd"/>
            <w:r w:rsidRPr="008A6B89">
              <w:rPr>
                <w:rFonts w:ascii="Times New Roman" w:eastAsia="Times New Roman" w:hAnsi="Times New Roman" w:cs="Times New Roman"/>
              </w:rPr>
              <w:t xml:space="preserve"> object creation, review pipeline logs, and confirm whether empty tables should be materialized during deployment.</w:t>
            </w:r>
          </w:p>
        </w:tc>
      </w:tr>
      <w:tr w:rsidR="008A6B89" w:rsidRPr="008A6B89" w14:paraId="2E6EE9AF" w14:textId="77777777" w:rsidTr="008A6B89">
        <w:trPr>
          <w:tblCellSpacing w:w="15" w:type="dxa"/>
        </w:trPr>
        <w:tc>
          <w:tcPr>
            <w:tcW w:w="0" w:type="auto"/>
            <w:vAlign w:val="center"/>
            <w:hideMark/>
          </w:tcPr>
          <w:p w14:paraId="62243B65"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b/>
                <w:bCs/>
              </w:rPr>
              <w:t>5. Missing tables in CDA</w:t>
            </w:r>
          </w:p>
        </w:tc>
        <w:tc>
          <w:tcPr>
            <w:tcW w:w="0" w:type="auto"/>
            <w:vAlign w:val="center"/>
            <w:hideMark/>
          </w:tcPr>
          <w:p w14:paraId="23078AB4"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Some tables that exist in the Read Replica and contain data have not been created in CDA. These tables are therefore excluded from reconciliation and downstream validation.</w:t>
            </w:r>
          </w:p>
        </w:tc>
        <w:tc>
          <w:tcPr>
            <w:tcW w:w="0" w:type="auto"/>
            <w:vAlign w:val="center"/>
            <w:hideMark/>
          </w:tcPr>
          <w:p w14:paraId="7360DC47"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Missing table configuration, table blocklist, incorrect inclusion patterns, deployment not refreshed after configuration changes, or initial load not triggered.</w:t>
            </w:r>
          </w:p>
        </w:tc>
        <w:tc>
          <w:tcPr>
            <w:tcW w:w="0" w:type="auto"/>
            <w:vAlign w:val="center"/>
            <w:hideMark/>
          </w:tcPr>
          <w:p w14:paraId="65EF752B" w14:textId="77777777" w:rsidR="008A6B89" w:rsidRPr="008A6B89" w:rsidRDefault="008A6B89" w:rsidP="008A6B89">
            <w:pPr>
              <w:rPr>
                <w:rFonts w:ascii="Times New Roman" w:eastAsia="Times New Roman" w:hAnsi="Times New Roman" w:cs="Times New Roman"/>
              </w:rPr>
            </w:pPr>
            <w:r w:rsidRPr="008A6B89">
              <w:rPr>
                <w:rFonts w:ascii="Times New Roman" w:eastAsia="Times New Roman" w:hAnsi="Times New Roman" w:cs="Times New Roman"/>
              </w:rPr>
              <w:t>Update the CDA configuration with the missing tables, redeploy or refresh the ingestion process, validate table creation, and confirm successful initial load.</w:t>
            </w:r>
          </w:p>
        </w:tc>
      </w:tr>
    </w:tbl>
    <w:p w14:paraId="4157CAA4" w14:textId="7007AA19" w:rsidR="008A6B89" w:rsidRDefault="008A6B89"/>
    <w:p w14:paraId="711584E1" w14:textId="6197990F" w:rsidR="008A6B89" w:rsidRDefault="008A6B89"/>
    <w:p w14:paraId="0FD7AEE4" w14:textId="605D1D85" w:rsidR="008A6B89" w:rsidRDefault="008A6B89"/>
    <w:p w14:paraId="6F425619" w14:textId="5EEDF4AB" w:rsidR="008A6B89" w:rsidRDefault="008A6B89"/>
    <w:p w14:paraId="69D01A10" w14:textId="52972EB5" w:rsidR="008A6B89" w:rsidRDefault="008A6B89">
      <w:bookmarkStart w:id="0" w:name="_GoBack"/>
      <w:r>
        <w:rPr>
          <w:noProof/>
        </w:rPr>
        <w:lastRenderedPageBreak/>
        <w:drawing>
          <wp:inline distT="0" distB="0" distL="0" distR="0" wp14:anchorId="0CE7B6F0" wp14:editId="35611D71">
            <wp:extent cx="5727700" cy="5592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14 at 11.17.55.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7700" cy="5592445"/>
                    </a:xfrm>
                    <a:prstGeom prst="rect">
                      <a:avLst/>
                    </a:prstGeom>
                  </pic:spPr>
                </pic:pic>
              </a:graphicData>
            </a:graphic>
          </wp:inline>
        </w:drawing>
      </w:r>
      <w:bookmarkEnd w:id="0"/>
    </w:p>
    <w:sectPr w:rsidR="008A6B89" w:rsidSect="00C8519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89"/>
    <w:rsid w:val="008A6B89"/>
    <w:rsid w:val="00C8519D"/>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4:docId w14:val="5AFB81A5"/>
  <w15:chartTrackingRefBased/>
  <w15:docId w15:val="{282BCDCE-BAD5-5448-8D3C-394A83558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ta-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A6B89"/>
    <w:rPr>
      <w:b/>
      <w:bCs/>
    </w:rPr>
  </w:style>
  <w:style w:type="character" w:styleId="HTMLCode">
    <w:name w:val="HTML Code"/>
    <w:basedOn w:val="DefaultParagraphFont"/>
    <w:uiPriority w:val="99"/>
    <w:semiHidden/>
    <w:unhideWhenUsed/>
    <w:rsid w:val="008A6B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75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2026-07-14T10:21:00Z</dcterms:created>
  <dcterms:modified xsi:type="dcterms:W3CDTF">2026-07-14T10:22:00Z</dcterms:modified>
</cp:coreProperties>
</file>