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0" w:lineRule="auto"/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e3a5f"/>
          <w:sz w:val="48"/>
          <w:szCs w:val="48"/>
          <w:rtl w:val="0"/>
        </w:rPr>
        <w:t xml:space="preserve">CIO 台股投資分析報告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0" w:lineRule="auto"/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24"/>
          <w:szCs w:val="24"/>
          <w:rtl w:val="0"/>
        </w:rPr>
        <w:t xml:space="preserve">半導體與記憶體景氣循環 × AI伺服器供應鏈深度研究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0" w:lineRule="auto"/>
        <w:jc w:val="center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分析日期：2026年2月3日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執行摘要 Executive Summary</w:t>
      </w:r>
    </w:p>
    <w:p w:rsidR="00000000" w:rsidDel="00000000" w:rsidP="00000000" w:rsidRDefault="00000000" w:rsidRPr="00000000" w14:paraId="00000005">
      <w:pPr>
        <w:spacing w:after="20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基於AI交易訊號系統分析89檔台股，結合記憶體產業景氣循環研判與矽光子技術趨勢，本報告推薦今日最佳買進標的：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4e8" w:val="clear"/>
            <w:tcMar>
              <w:top w:w="200.0" w:type="dxa"/>
              <w:left w:w="200.0" w:type="dxa"/>
              <w:bottom w:w="200.0" w:type="dxa"/>
              <w:right w:w="200.0" w:type="dxa"/>
            </w:tcMar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5631"/>
                <w:sz w:val="32"/>
                <w:szCs w:val="32"/>
                <w:rtl w:val="0"/>
              </w:rPr>
              <w:t xml:space="preserve">🏆 今日首選推薦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before="12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e3a5f"/>
                <w:sz w:val="36"/>
                <w:szCs w:val="36"/>
                <w:rtl w:val="0"/>
              </w:rPr>
              <w:t xml:space="preserve">南亞科 (2408) | 現價 NT$278.00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before="8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綜合建議強度: 0.59 | AI準確度: 72.4% | 建議買入比例: 59%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spacing w:before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一、產業景氣循環位置分析</w:t>
      </w:r>
    </w:p>
    <w:p w:rsidR="00000000" w:rsidDel="00000000" w:rsidP="00000000" w:rsidRDefault="00000000" w:rsidRPr="00000000" w14:paraId="0000000B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價格趨勢：現貨/合約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DRAM合約價：2026年Q1預計季增55-60%，創近年最大漲幅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DDR4價格：因HBM產能排擠，Q1合約價漲幅達50%以上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DDR5伺服器模組：8個月內漲幅達50%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HBM3e：訂單增加與規格升級推動價格持續上揚</w:t>
      </w:r>
    </w:p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供給端分析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三星、SK海力士、美光：70%以上高階產能轉向HBM與DDR5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DDR4產能持續萎縮，形成結構性供給短缺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新產能預計2027年底才能開出</w:t>
      </w:r>
    </w:p>
    <w:p w:rsidR="00000000" w:rsidDel="00000000" w:rsidP="00000000" w:rsidRDefault="00000000" w:rsidRPr="00000000" w14:paraId="00000014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庫存水位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上游原廠：極低庫存，訂單能見度高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模組廠/品牌廠：積極備貨中</w:t>
      </w:r>
    </w:p>
    <w:p w:rsidR="00000000" w:rsidDel="00000000" w:rsidP="00000000" w:rsidRDefault="00000000" w:rsidRPr="00000000" w14:paraId="00000017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AI伺服器需求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HBM需求爆發：市場規模超過100億美元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DDR5伺服器滲透率：已超過60%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AI資料中心大廠（Google、Amazon、Microsoft、Meta）下達無上限訂單</w:t>
      </w:r>
    </w:p>
    <w:p w:rsidR="00000000" w:rsidDel="00000000" w:rsidP="00000000" w:rsidRDefault="00000000" w:rsidRPr="00000000" w14:paraId="0000001B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產能利用率</w:t>
      </w:r>
    </w:p>
    <w:p w:rsidR="00000000" w:rsidDel="00000000" w:rsidP="00000000" w:rsidRDefault="00000000" w:rsidRPr="00000000" w14:paraId="0000001C">
      <w:pPr>
        <w:spacing w:after="20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南亞科產能利用率：預計2024-2027年逐步提升，目前接近滿載運轉。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6. Cycle目前位階</w:t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目前Cycle位階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5724"/>
                <w:sz w:val="20"/>
                <w:szCs w:val="20"/>
                <w:rtl w:val="0"/>
              </w:rPr>
              <w:t xml:space="preserve">快速上升段 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距離下次價格大漲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已在進行中，預計持續至2026年H1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距離下次價格大跌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預計2027年新產能開出後才有可能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before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二、勝率分析</w:t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20"/>
        <w:gridCol w:w="2520"/>
        <w:gridCol w:w="5040"/>
        <w:tblGridChange w:id="0">
          <w:tblGrid>
            <w:gridCol w:w="2520"/>
            <w:gridCol w:w="2520"/>
            <w:gridCol w:w="5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時間範圍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勝率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理由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未來5天（短線）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5724"/>
                <w:sz w:val="20"/>
                <w:szCs w:val="20"/>
                <w:rtl w:val="0"/>
              </w:rPr>
              <w:t xml:space="preserve">70%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MACD金叉、放量突破、市場情緒正面、技術面強勢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未來1個月（中線）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3e6c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5724"/>
                <w:sz w:val="20"/>
                <w:szCs w:val="20"/>
                <w:rtl w:val="0"/>
              </w:rPr>
              <w:t xml:space="preserve">80%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Q1 DRAM合約價大漲55-60%將反映在營收、法人持續上調目標價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未來3個月（Cycle反應）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a8d5b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5724"/>
                <w:sz w:val="20"/>
                <w:szCs w:val="20"/>
                <w:rtl w:val="0"/>
              </w:rPr>
              <w:t xml:space="preserve">85%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記憶體超級週期+AI需求爆發+供給缺口持續、EPS上看33元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三、個股投資強度分析（AI買入訊號股票）</w:t>
      </w:r>
    </w:p>
    <w:tbl>
      <w:tblPr>
        <w:tblStyle w:val="Table4"/>
        <w:tblW w:w="105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1300"/>
        <w:gridCol w:w="700"/>
        <w:gridCol w:w="700"/>
        <w:gridCol w:w="700"/>
        <w:gridCol w:w="700"/>
        <w:gridCol w:w="700"/>
        <w:gridCol w:w="700"/>
        <w:gridCol w:w="700"/>
        <w:gridCol w:w="700"/>
        <w:gridCol w:w="1080"/>
        <w:gridCol w:w="1200"/>
        <w:tblGridChange w:id="0">
          <w:tblGrid>
            <w:gridCol w:w="1400"/>
            <w:gridCol w:w="1300"/>
            <w:gridCol w:w="700"/>
            <w:gridCol w:w="700"/>
            <w:gridCol w:w="700"/>
            <w:gridCol w:w="700"/>
            <w:gridCol w:w="700"/>
            <w:gridCol w:w="700"/>
            <w:gridCol w:w="700"/>
            <w:gridCol w:w="700"/>
            <w:gridCol w:w="1080"/>
            <w:gridCol w:w="1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股票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現價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基本面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產業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技術面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籌碼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風險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催化劑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AI強度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準確度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總分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建議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南亞科(2408)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NT$278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3e6c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3e6c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0.64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72.4%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3e6c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5724"/>
                <w:sz w:val="20"/>
                <w:szCs w:val="20"/>
                <w:rtl w:val="0"/>
              </w:rPr>
              <w:t xml:space="preserve">8.8/10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8a74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強力買入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光聖(6442)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NT$1,830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3e6c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3e6c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0.88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61.6%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5724"/>
                <w:sz w:val="20"/>
                <w:szCs w:val="20"/>
                <w:rtl w:val="0"/>
              </w:rPr>
              <w:t xml:space="preserve">8.5/10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5cb85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買入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聯發科(2454)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NT$1,795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0.73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67.9%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7.5/10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5cb85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買入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奇鋐(3017)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NT$1,635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0.57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72.3%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7.3/10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5cb85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買入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高力(8996)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NT$817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0.34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67.0%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7.0/10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謹慎買入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spacing w:before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1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四、三大情境推演（Scenario Analysis）</w:t>
      </w:r>
    </w:p>
    <w:p w:rsidR="00000000" w:rsidDel="00000000" w:rsidP="00000000" w:rsidRDefault="00000000" w:rsidRPr="00000000" w14:paraId="0000007E">
      <w:pPr>
        <w:pStyle w:val="Heading2"/>
        <w:rPr/>
      </w:pPr>
      <w:r w:rsidDel="00000000" w:rsidR="00000000" w:rsidRPr="00000000">
        <w:rPr>
          <w:rtl w:val="0"/>
        </w:rPr>
        <w:t xml:space="preserve">情境A：需求突然加速 🚀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觸發條件：AI大廠擴大資本支出、HBM需求超預期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南亞科股價預估：NT$350-400（+25-45%）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光聖股價預估：NT$2,200-2,500（+20-35%）</w:t>
      </w:r>
    </w:p>
    <w:p w:rsidR="00000000" w:rsidDel="00000000" w:rsidP="00000000" w:rsidRDefault="00000000" w:rsidRPr="00000000" w14:paraId="00000082">
      <w:pPr>
        <w:pStyle w:val="Heading2"/>
        <w:rPr/>
      </w:pPr>
      <w:r w:rsidDel="00000000" w:rsidR="00000000" w:rsidRPr="00000000">
        <w:rPr>
          <w:rtl w:val="0"/>
        </w:rPr>
        <w:t xml:space="preserve">情境B：價格持平、需求疑慮 📊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觸發條件：經濟放緩、AI投資節奏減慢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南亞科股價預估：NT$250-280（-10%至持平）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光聖股價預估：NT$1,500-1,700（-7%至-18%）</w:t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情境C：全面缺貨 🔥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觸發條件：地緣政治衝突、關稅戰升級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南亞科股價預估：NT$400-500（+45-80%）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光聖股價預估：NT$2,500-3,000（+35-65%）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五、最終投資建議（CIO家族資產管理人角色）</w:t>
      </w:r>
    </w:p>
    <w:p w:rsidR="00000000" w:rsidDel="00000000" w:rsidP="00000000" w:rsidRDefault="00000000" w:rsidRPr="00000000" w14:paraId="0000008C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短線5天快打</w:t>
      </w:r>
    </w:p>
    <w:tbl>
      <w:tblPr>
        <w:tblStyle w:val="Table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60"/>
        <w:gridCol w:w="6720"/>
        <w:tblGridChange w:id="0">
          <w:tblGrid>
            <w:gridCol w:w="3360"/>
            <w:gridCol w:w="67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推薦標的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3cd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856404"/>
                <w:sz w:val="20"/>
                <w:szCs w:val="20"/>
                <w:rtl w:val="0"/>
              </w:rPr>
              <w:t xml:space="preserve">光聖 (6442)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理由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AI強度最高(0.88)、放量突破布林帶上軌、強勢股RSI鈍化、CPO量產題材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中線1-3個月</w:t>
      </w:r>
    </w:p>
    <w:tbl>
      <w:tblPr>
        <w:tblStyle w:val="Table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60"/>
        <w:gridCol w:w="6720"/>
        <w:tblGridChange w:id="0">
          <w:tblGrid>
            <w:gridCol w:w="3360"/>
            <w:gridCol w:w="67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推薦標的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5724"/>
                <w:sz w:val="20"/>
                <w:szCs w:val="20"/>
                <w:rtl w:val="0"/>
              </w:rPr>
              <w:t xml:space="preserve">南亞科 (2408) ⭐ 首選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理由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AI準確度最高(72.4%)、記憶體超級週期核心受惠股、Q1漲價直接反映營收、法人目標價300元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長線擺1年</w:t>
      </w:r>
    </w:p>
    <w:tbl>
      <w:tblPr>
        <w:tblStyle w:val="Table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60"/>
        <w:gridCol w:w="6720"/>
        <w:tblGridChange w:id="0">
          <w:tblGrid>
            <w:gridCol w:w="3360"/>
            <w:gridCol w:w="67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推薦標的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ce5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4085"/>
                <w:sz w:val="20"/>
                <w:szCs w:val="20"/>
                <w:rtl w:val="0"/>
              </w:rPr>
              <w:t xml:space="preserve">南亞科 (2408)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理由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記憶體週期2026年全年看好、EPS上看33元、台塑集團背景穩健、長期配息能力佳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spacing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最有可能成為大飆股（Multi-bagger）</w:t>
      </w:r>
    </w:p>
    <w:tbl>
      <w:tblPr>
        <w:tblStyle w:val="Table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60"/>
        <w:gridCol w:w="6720"/>
        <w:tblGridChange w:id="0">
          <w:tblGrid>
            <w:gridCol w:w="3360"/>
            <w:gridCol w:w="67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推薦標的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e6e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63384"/>
                <w:sz w:val="20"/>
                <w:szCs w:val="20"/>
                <w:rtl w:val="0"/>
              </w:rPr>
              <w:t xml:space="preserve">光聖 (6442) 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理由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矽光子+CPO雙引擎、NVIDIA Spectrum-X供應鏈、2026年CPO量產元年、毛利率60%+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spacing w:before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5. 操作價位建議</w:t>
      </w:r>
    </w:p>
    <w:tbl>
      <w:tblPr>
        <w:tblStyle w:val="Table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80"/>
        <w:gridCol w:w="1680"/>
        <w:gridCol w:w="1680"/>
        <w:gridCol w:w="2100"/>
        <w:gridCol w:w="1680"/>
        <w:gridCol w:w="1260"/>
        <w:tblGridChange w:id="0">
          <w:tblGrid>
            <w:gridCol w:w="1680"/>
            <w:gridCol w:w="1680"/>
            <w:gridCol w:w="1680"/>
            <w:gridCol w:w="2100"/>
            <w:gridCol w:w="1680"/>
            <w:gridCol w:w="12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股票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買進區間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停損價位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第一獲利了結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目標價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潛在報酬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4e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南亞科(2408)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NT$265-278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NT$250 (-10%)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NT$320 (+15%)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NT$380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5724"/>
                <w:sz w:val="20"/>
                <w:szCs w:val="20"/>
                <w:rtl w:val="0"/>
              </w:rPr>
              <w:t xml:space="preserve">+37%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光聖(6442)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NT$1,700-1,830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NT$1,640 (-10%)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NT$2,100 (+15%)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NT$2,500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5724"/>
                <w:sz w:val="20"/>
                <w:szCs w:val="20"/>
                <w:rtl w:val="0"/>
              </w:rPr>
              <w:t xml:space="preserve">+37%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聯發科(2454)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NT$1,700-1,795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NT$1,615 (-10%)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NT$2,000 (+11%)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NT$2,200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+23%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奇鋐(3017)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NT$1,550-1,635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NT$1,470 (-10%)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NT$1,850 (+13%)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NT$2,000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+22%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高力(8996)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NT$750-817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NT$735 (-10%)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NT$900 (+10%)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NT$1,000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+22%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9">
      <w:pPr>
        <w:spacing w:before="40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8a745" w:space="0" w:sz="8" w:val="single"/>
              <w:left w:color="28a745" w:space="0" w:sz="8" w:val="single"/>
              <w:bottom w:color="28a745" w:space="0" w:sz="8" w:val="single"/>
              <w:right w:color="28a745" w:space="0" w:sz="8" w:val="single"/>
            </w:tcBorders>
            <w:shd w:fill="e8f5e9" w:val="clear"/>
            <w:tcMar>
              <w:top w:w="200.0" w:type="dxa"/>
              <w:left w:w="200.0" w:type="dxa"/>
              <w:bottom w:w="200.0" w:type="dxa"/>
              <w:right w:w="200.0" w:type="dxa"/>
            </w:tcMar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5631"/>
                <w:sz w:val="32"/>
                <w:szCs w:val="32"/>
                <w:rtl w:val="0"/>
              </w:rPr>
              <w:t xml:space="preserve">💰 今日操作建議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before="16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e3a5f"/>
                <w:sz w:val="28"/>
                <w:szCs w:val="28"/>
                <w:rtl w:val="0"/>
              </w:rPr>
              <w:t xml:space="preserve">建議今日買入 南亞科(2408) 59% 倉位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before="12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買入區間：NT$265-278 | 停損：NT$250 | 第一目標：NT$320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spacing w:before="4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1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風險提示</w:t>
      </w:r>
    </w:p>
    <w:p w:rsidR="00000000" w:rsidDel="00000000" w:rsidP="00000000" w:rsidRDefault="00000000" w:rsidRPr="00000000" w14:paraId="000000CF">
      <w:pPr>
        <w:shd w:fill="fff3cd" w:val="clear"/>
        <w:spacing w:after="200" w:lineRule="auto"/>
        <w:rPr/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⚠️ 本報告由AI模型生成，僅供參考，不構成投資建議。股市有風險，投資需謹慎。請根據自身風險承受能力做出投資決策。建議結合其他分析方法綜合判斷。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before="400" w:lineRule="auto"/>
        <w:jc w:val="right"/>
        <w:rPr/>
      </w:pPr>
      <w:r w:rsidDel="00000000" w:rsidR="00000000" w:rsidRPr="00000000">
        <w:rPr>
          <w:rFonts w:ascii="Arial Unicode MS" w:cs="Arial Unicode MS" w:eastAsia="Arial Unicode MS" w:hAnsi="Arial Unicode MS"/>
          <w:color w:val="666666"/>
          <w:sz w:val="18"/>
          <w:szCs w:val="18"/>
          <w:rtl w:val="0"/>
        </w:rPr>
        <w:t xml:space="preserve">報告生成時間：2026-02-03 14:00 TST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right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18"/>
          <w:szCs w:val="18"/>
          <w:rtl w:val="0"/>
        </w:rPr>
        <w:t xml:space="preserve">CIO Investment Research Team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3">
    <w:pPr>
      <w:jc w:val="center"/>
      <w:rPr/>
    </w:pP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CONFIDENTIAL - For Internal Use Only | Page </w:t>
    </w:r>
    <w:r w:rsidDel="00000000" w:rsidR="00000000" w:rsidRPr="00000000"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2">
    <w:pPr>
      <w:jc w:val="right"/>
      <w:rPr/>
    </w:pP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CIO Investment Analysis Report | 2026-02-03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e3a5f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509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366aa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