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Project Development Phase</w:t>
      </w:r>
    </w:p>
    <w:p>
      <w:pPr>
        <w:jc w:val="center"/>
      </w:pPr>
      <w:r>
        <w:rPr>
          <w:b/>
          <w:sz w:val="22"/>
        </w:rPr>
        <w:t>Model Performance Test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5328"/>
      </w:tblGrid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29 September 2026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r>
              <w:t>SWTID-2026-4574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r>
              <w:t>Script-Controlled ACL – Restrict Record Access Based on Field Value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Maximum Marks</w:t>
            </w:r>
          </w:p>
        </w:tc>
        <w:tc>
          <w:tcPr>
            <w:tcW w:type="dxa" w:w="504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8"/>
              </w:rPr>
              <w:t>10 Marks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/>
              </w:rPr>
              <w:t>Team Size</w:t>
            </w:r>
          </w:p>
        </w:tc>
        <w:tc>
          <w:tcPr>
            <w:tcW w:type="dxa" w:w="5328"/>
            <w:vAlign w:val="center"/>
          </w:tcPr>
          <w:p>
            <w:r>
              <w:t>3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/>
              </w:rPr>
              <w:t>Team Leader</w:t>
            </w:r>
          </w:p>
        </w:tc>
        <w:tc>
          <w:tcPr>
            <w:tcW w:type="dxa" w:w="5328"/>
            <w:vAlign w:val="center"/>
          </w:tcPr>
          <w:p>
            <w:r>
              <w:t>LOGESHWARI K T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r>
              <w:t>ALJASIRA R</w:t>
            </w:r>
          </w:p>
        </w:tc>
      </w:tr>
      <w:tr>
        <w:tc>
          <w:tcPr>
            <w:tcW w:type="dxa" w:w="3600"/>
            <w:vAlign w:val="center"/>
          </w:tcPr>
          <w:p>
            <w:r>
              <w:rPr>
                <w:b/>
              </w:rPr>
              <w:t>Team Member</w:t>
            </w:r>
          </w:p>
        </w:tc>
        <w:tc>
          <w:tcPr>
            <w:tcW w:type="dxa" w:w="5328"/>
            <w:vAlign w:val="center"/>
          </w:tcPr>
          <w:p>
            <w:r>
              <w:t>KAVIYA N</w:t>
            </w:r>
          </w:p>
        </w:tc>
      </w:tr>
    </w:tbl>
    <w:p>
      <w:pPr>
        <w:spacing w:after="40"/>
      </w:pPr>
    </w:p>
    <w:p>
      <w:r>
        <w:rPr>
          <w:b/>
          <w:sz w:val="20"/>
        </w:rPr>
        <w:t>Model Performance Testing:</w:t>
      </w:r>
    </w:p>
    <w:p>
      <w:pPr>
        <w:spacing w:after="100"/>
      </w:pPr>
      <w:r>
        <w:t>Project team shall fill the following information in model performance testing template.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792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S.No</w:t>
            </w:r>
          </w:p>
        </w:tc>
        <w:tc>
          <w:tcPr>
            <w:tcW w:type="dxa" w:w="2520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Parameter</w:t>
            </w:r>
          </w:p>
        </w:tc>
        <w:tc>
          <w:tcPr>
            <w:tcW w:type="dxa" w:w="6264"/>
          </w:tcPr>
          <w:p>
            <w:pPr>
              <w:jc w:val="left"/>
            </w:pPr>
            <w:r>
              <w:rPr>
                <w:rFonts w:ascii="Arial" w:hAnsi="Arial"/>
                <w:b/>
                <w:sz w:val="17"/>
              </w:rPr>
              <w:t>Screenshot / Values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1.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Configuration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Access Control rule configured for the Institution Details record; read access is controlled using the configured ACL condition/script.</w:t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2.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Field-Based Access Rule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Record access is evaluated using the Branch field value. Authorized users can access permitted records; restricted records are denied.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42672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1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2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3.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 Evaluation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Script-controlled condition evaluates the record field at request time and returns the appropriate allow/deny decision.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102235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2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223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4.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Unauthorized Access Check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the user does not satisfy the field-based condition, the protected record is not exposed.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42672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3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4267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5.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Authorized Record Access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When the configured field value satisfies the rule, the requested record is available to the authorized user.</w:t>
            </w:r>
          </w:p>
          <w:p>
            <w:pPr>
              <w:spacing w:before="40" w:after="20"/>
              <w:jc w:val="center"/>
            </w:pPr>
            <w:r>
              <w:rPr>
                <w:rFonts w:ascii="Arial" w:hAnsi="Arial"/>
                <w:sz w:val="16"/>
              </w:rPr>
              <w:drawing>
                <wp:inline xmlns:a="http://schemas.openxmlformats.org/drawingml/2006/main" xmlns:pic="http://schemas.openxmlformats.org/drawingml/2006/picture">
                  <wp:extent cx="1920240" cy="1001014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acl_screenshot_4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0" cy="100101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792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6.</w:t>
            </w:r>
          </w:p>
        </w:tc>
        <w:tc>
          <w:tcPr>
            <w:tcW w:type="dxa" w:w="2520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Performance / Validation</w:t>
            </w:r>
          </w:p>
        </w:tc>
        <w:tc>
          <w:tcPr>
            <w:tcW w:type="dxa" w:w="6264"/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ACL behavior is validated using multiple field values and user contexts; access decision is applied consistently.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