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left"/>
        <w:rPr>
          <w:szCs w:val="21"/>
          <w:lang w:bidi="ar"/>
        </w:rPr>
      </w:pPr>
      <w:r>
        <w:rPr>
          <w:rFonts w:hint="eastAsia"/>
          <w:szCs w:val="21"/>
          <w:lang w:bidi="ar"/>
        </w:rPr>
        <w:t>本项目的两项基础技术均获得了</w:t>
      </w:r>
      <w:r>
        <w:rPr>
          <w:rFonts w:hint="eastAsia"/>
          <w:b/>
          <w:bCs/>
          <w:szCs w:val="21"/>
          <w:lang w:bidi="ar"/>
        </w:rPr>
        <w:t>大创项目省级立项</w:t>
      </w:r>
    </w:p>
    <w:p>
      <w:r>
        <w:drawing>
          <wp:inline distT="0" distB="0" distL="114300" distR="114300">
            <wp:extent cx="5276850" cy="2513965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软件著作权</w:t>
      </w:r>
    </w:p>
    <w:p>
      <w:pPr>
        <w:rPr>
          <w:rFonts w:ascii="宋体" w:hAnsi="宋体" w:cs="宋体"/>
          <w:b/>
          <w:szCs w:val="21"/>
        </w:rPr>
      </w:pPr>
      <w:r>
        <w:rPr>
          <w:rFonts w:ascii="宋体" w:hAnsi="宋体" w:cs="宋体"/>
          <w:b/>
          <w:szCs w:val="21"/>
        </w:rPr>
        <w:drawing>
          <wp:inline distT="0" distB="0" distL="0" distR="0">
            <wp:extent cx="2620010" cy="2882265"/>
            <wp:effectExtent l="0" t="0" r="889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4076" cy="288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Cs w:val="21"/>
          <w:lang w:bidi="ar"/>
        </w:rPr>
      </w:pPr>
      <w:r>
        <w:rPr>
          <w:rFonts w:hint="eastAsia" w:ascii="宋体" w:hAnsi="宋体" w:cs="宋体"/>
          <w:b/>
          <w:szCs w:val="21"/>
          <w:lang w:eastAsia="zh-CN"/>
        </w:rPr>
        <w:t>（</w:t>
      </w:r>
      <w:r>
        <w:rPr>
          <w:rFonts w:hint="eastAsia" w:ascii="宋体" w:hAnsi="宋体" w:cs="宋体"/>
          <w:b/>
          <w:szCs w:val="21"/>
          <w:lang w:val="en-US" w:eastAsia="zh-CN"/>
        </w:rPr>
        <w:t>3</w:t>
      </w:r>
      <w:r>
        <w:rPr>
          <w:rFonts w:hint="eastAsia" w:ascii="宋体" w:hAnsi="宋体" w:cs="宋体"/>
          <w:b/>
          <w:szCs w:val="21"/>
          <w:lang w:eastAsia="zh-CN"/>
        </w:rPr>
        <w:t>）</w:t>
      </w:r>
      <w:r>
        <w:rPr>
          <w:rFonts w:hint="eastAsia"/>
          <w:szCs w:val="21"/>
          <w:lang w:bidi="ar"/>
        </w:rPr>
        <w:t>已获取授权的专利（应用于无人机控制网络构建，</w:t>
      </w:r>
      <w:r>
        <w:rPr>
          <w:rFonts w:hint="eastAsia"/>
          <w:b/>
          <w:bCs/>
          <w:szCs w:val="21"/>
          <w:lang w:bidi="ar"/>
        </w:rPr>
        <w:t>解决无人机编队中信号干扰问题</w:t>
      </w:r>
      <w:r>
        <w:rPr>
          <w:rFonts w:hint="eastAsia"/>
          <w:szCs w:val="21"/>
          <w:lang w:bidi="ar"/>
        </w:rPr>
        <w:t>）</w:t>
      </w:r>
    </w:p>
    <w:p>
      <w:pPr>
        <w:widowControl/>
        <w:jc w:val="left"/>
      </w:pPr>
      <w:r>
        <w:rPr>
          <w:rFonts w:hint="eastAsia" w:ascii="宋体" w:hAnsi="宋体" w:cs="宋体"/>
          <w:color w:val="000000"/>
          <w:kern w:val="0"/>
          <w:szCs w:val="21"/>
        </w:rPr>
        <w:t xml:space="preserve">[1]. Hai Liu, 林智勇, Xiaowen Chu, Yiu-Wing Leung. Method forAchieving Rendezvous for Cognitive Radio Networks, 2016.02.02, UnitedStates Patent, 9252929.（已授权） </w:t>
      </w:r>
    </w:p>
    <w:p>
      <w:pPr>
        <w:widowControl/>
        <w:jc w:val="left"/>
        <w:rPr>
          <w:rFonts w:hint="eastAsia"/>
        </w:rPr>
      </w:pPr>
      <w:r>
        <w:rPr>
          <w:rFonts w:hint="eastAsia" w:ascii="宋体" w:hAnsi="宋体" w:cs="宋体"/>
          <w:color w:val="000000"/>
          <w:kern w:val="0"/>
          <w:szCs w:val="21"/>
        </w:rPr>
        <w:t>[2]. 林智勇，刘海，余璐，梁耀荣，褚晓文，魏纵横. 一种基于可用信道集的认知无线电盲会合方法，发明专利，授权号：CN</w:t>
      </w:r>
      <w:r>
        <w:rPr>
          <w:rFonts w:ascii="宋体" w:hAnsi="宋体" w:cs="宋体"/>
          <w:color w:val="000000"/>
          <w:kern w:val="0"/>
          <w:szCs w:val="21"/>
        </w:rPr>
        <w:t xml:space="preserve"> 213783286 </w:t>
      </w:r>
      <w:r>
        <w:rPr>
          <w:rFonts w:hint="eastAsia" w:ascii="宋体" w:hAnsi="宋体" w:cs="宋体"/>
          <w:color w:val="000000"/>
          <w:kern w:val="0"/>
          <w:szCs w:val="21"/>
        </w:rPr>
        <w:t xml:space="preserve">U.（已授权） </w:t>
      </w:r>
    </w:p>
    <w:p>
      <w:r>
        <w:drawing>
          <wp:inline distT="0" distB="0" distL="114300" distR="114300">
            <wp:extent cx="5269230" cy="3729990"/>
            <wp:effectExtent l="0" t="0" r="127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 w:ascii="宋体" w:hAnsi="宋体" w:cs="宋体"/>
          <w:color w:val="000000"/>
          <w:kern w:val="0"/>
          <w:szCs w:val="21"/>
        </w:rPr>
        <w:t xml:space="preserve">[3]. 马震远，魏纵横，程厚俊，章秀银. 一种无线信号屏蔽方法，发明专利，CN 103731229 B.（已授权） </w:t>
      </w:r>
    </w:p>
    <w:p>
      <w:pPr>
        <w:widowControl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 xml:space="preserve">[4]. 魏纵横，林智勇，温剑丰，张颖杰，李江波，谢端，詹咏琳，基于自适应跳频的电力应急通信原型系统，实用新型专利，CN </w:t>
      </w:r>
      <w:r>
        <w:rPr>
          <w:rFonts w:ascii="宋体" w:hAnsi="宋体" w:cs="宋体"/>
          <w:color w:val="000000"/>
          <w:kern w:val="0"/>
          <w:szCs w:val="21"/>
        </w:rPr>
        <w:t xml:space="preserve">213783286 </w:t>
      </w:r>
      <w:r>
        <w:rPr>
          <w:rFonts w:hint="eastAsia" w:ascii="宋体" w:hAnsi="宋体" w:cs="宋体"/>
          <w:color w:val="000000"/>
          <w:kern w:val="0"/>
          <w:szCs w:val="21"/>
        </w:rPr>
        <w:t>U.（已授权）</w:t>
      </w:r>
    </w:p>
    <w:p>
      <w:r>
        <w:drawing>
          <wp:inline distT="0" distB="0" distL="114300" distR="114300">
            <wp:extent cx="5298440" cy="37490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Cs w:val="21"/>
          <w:lang w:bidi="ar"/>
        </w:rPr>
      </w:pPr>
    </w:p>
    <w:p>
      <w:pPr>
        <w:jc w:val="left"/>
        <w:rPr>
          <w:rFonts w:hint="eastAsia"/>
          <w:szCs w:val="21"/>
          <w:lang w:bidi="ar"/>
        </w:rPr>
      </w:pPr>
    </w:p>
    <w:p>
      <w:pPr>
        <w:widowControl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  <w:lang w:eastAsia="zh-CN"/>
        </w:rPr>
        <w:t>（</w:t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4</w:t>
      </w:r>
      <w:r>
        <w:rPr>
          <w:rFonts w:hint="eastAsia" w:ascii="宋体" w:hAnsi="宋体" w:cs="宋体"/>
          <w:color w:val="000000"/>
          <w:kern w:val="0"/>
          <w:szCs w:val="21"/>
          <w:lang w:eastAsia="zh-CN"/>
        </w:rPr>
        <w:t>）</w:t>
      </w:r>
      <w:r>
        <w:rPr>
          <w:rFonts w:hint="eastAsia" w:ascii="宋体" w:hAnsi="宋体" w:cs="宋体"/>
          <w:color w:val="000000"/>
          <w:kern w:val="0"/>
          <w:szCs w:val="21"/>
        </w:rPr>
        <w:t>[4]. 林智勇，易淙铭，魏纵横，温剑丰，刘海，余璐，邻居发现冲突协调方法、系统、计算机设备及存储介质，发明专利，申请号：2</w:t>
      </w:r>
      <w:r>
        <w:rPr>
          <w:rFonts w:ascii="宋体" w:hAnsi="宋体" w:cs="宋体"/>
          <w:color w:val="000000"/>
          <w:kern w:val="0"/>
          <w:szCs w:val="21"/>
        </w:rPr>
        <w:t>02111215137.5</w:t>
      </w:r>
      <w:r>
        <w:rPr>
          <w:rFonts w:hint="eastAsia" w:ascii="宋体" w:hAnsi="宋体" w:cs="宋体"/>
          <w:color w:val="000000"/>
          <w:kern w:val="0"/>
          <w:szCs w:val="21"/>
        </w:rPr>
        <w:t>，申请日期：2</w:t>
      </w:r>
      <w:r>
        <w:rPr>
          <w:rFonts w:ascii="宋体" w:hAnsi="宋体" w:cs="宋体"/>
          <w:color w:val="000000"/>
          <w:kern w:val="0"/>
          <w:szCs w:val="21"/>
        </w:rPr>
        <w:t>021</w:t>
      </w:r>
      <w:r>
        <w:rPr>
          <w:rFonts w:hint="eastAsia" w:ascii="宋体" w:hAnsi="宋体" w:cs="宋体"/>
          <w:color w:val="000000"/>
          <w:kern w:val="0"/>
          <w:szCs w:val="21"/>
        </w:rPr>
        <w:t>年1</w:t>
      </w:r>
      <w:r>
        <w:rPr>
          <w:rFonts w:ascii="宋体" w:hAnsi="宋体" w:cs="宋体"/>
          <w:color w:val="000000"/>
          <w:kern w:val="0"/>
          <w:szCs w:val="21"/>
        </w:rPr>
        <w:t>0</w:t>
      </w:r>
      <w:r>
        <w:rPr>
          <w:rFonts w:hint="eastAsia" w:ascii="宋体" w:hAnsi="宋体" w:cs="宋体"/>
          <w:color w:val="000000"/>
          <w:kern w:val="0"/>
          <w:szCs w:val="21"/>
        </w:rPr>
        <w:t>月1</w:t>
      </w:r>
      <w:r>
        <w:rPr>
          <w:rFonts w:ascii="宋体" w:hAnsi="宋体" w:cs="宋体"/>
          <w:color w:val="000000"/>
          <w:kern w:val="0"/>
          <w:szCs w:val="21"/>
        </w:rPr>
        <w:t>9</w:t>
      </w:r>
      <w:r>
        <w:rPr>
          <w:rFonts w:hint="eastAsia" w:ascii="宋体" w:hAnsi="宋体" w:cs="宋体"/>
          <w:color w:val="000000"/>
          <w:kern w:val="0"/>
          <w:szCs w:val="21"/>
        </w:rPr>
        <w:t>日</w:t>
      </w:r>
    </w:p>
    <w:p>
      <w:r>
        <w:drawing>
          <wp:inline distT="0" distB="0" distL="114300" distR="114300">
            <wp:extent cx="5272405" cy="6847205"/>
            <wp:effectExtent l="0" t="0" r="10795" b="1079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  <w:lang w:bidi="ar"/>
        </w:rPr>
      </w:pPr>
    </w:p>
    <w:p>
      <w:pPr>
        <w:rPr>
          <w:rFonts w:hint="eastAsia"/>
          <w:szCs w:val="21"/>
          <w:lang w:bidi="ar"/>
        </w:rPr>
      </w:pPr>
    </w:p>
    <w:p>
      <w:pPr>
        <w:rPr>
          <w:rFonts w:hint="eastAsia"/>
          <w:szCs w:val="21"/>
          <w:lang w:bidi="ar"/>
        </w:rPr>
      </w:pPr>
    </w:p>
    <w:p>
      <w:pPr>
        <w:rPr>
          <w:rFonts w:hint="eastAsia"/>
          <w:szCs w:val="21"/>
          <w:lang w:bidi="ar"/>
        </w:rPr>
      </w:pPr>
    </w:p>
    <w:p>
      <w:pPr>
        <w:rPr>
          <w:rFonts w:hint="eastAsia"/>
          <w:szCs w:val="21"/>
          <w:lang w:bidi="ar"/>
        </w:rPr>
      </w:pPr>
      <w:bookmarkStart w:id="0" w:name="_GoBack"/>
      <w:bookmarkEnd w:id="0"/>
    </w:p>
    <w:p>
      <w:pPr>
        <w:rPr>
          <w:rFonts w:hint="eastAsia"/>
          <w:szCs w:val="21"/>
          <w:lang w:bidi="ar"/>
        </w:rPr>
      </w:pPr>
    </w:p>
    <w:p>
      <w:pPr>
        <w:rPr>
          <w:rFonts w:hint="default" w:eastAsia="宋体"/>
          <w:szCs w:val="21"/>
          <w:lang w:val="en-US" w:eastAsia="zh-CN" w:bidi="ar"/>
        </w:rPr>
      </w:pPr>
      <w:r>
        <w:rPr>
          <w:rFonts w:hint="eastAsia"/>
          <w:szCs w:val="21"/>
          <w:lang w:eastAsia="zh-CN" w:bidi="ar"/>
        </w:rPr>
        <w:t>（</w:t>
      </w:r>
      <w:r>
        <w:rPr>
          <w:rFonts w:hint="eastAsia"/>
          <w:szCs w:val="21"/>
          <w:lang w:val="en-US" w:eastAsia="zh-CN" w:bidi="ar"/>
        </w:rPr>
        <w:t>5</w:t>
      </w:r>
      <w:r>
        <w:rPr>
          <w:rFonts w:hint="eastAsia"/>
          <w:szCs w:val="21"/>
          <w:lang w:eastAsia="zh-CN" w:bidi="ar"/>
        </w:rPr>
        <w:t>）</w:t>
      </w:r>
      <w:r>
        <w:rPr>
          <w:rFonts w:hint="eastAsia"/>
          <w:szCs w:val="21"/>
          <w:lang w:val="en-US" w:eastAsia="zh-CN" w:bidi="ar"/>
        </w:rPr>
        <w:t>互联网+院赛三等奖</w:t>
      </w:r>
    </w:p>
    <w:p>
      <w:pPr>
        <w:rPr>
          <w:rFonts w:hint="eastAsia"/>
          <w:lang w:eastAsia="zh-CN"/>
        </w:rPr>
      </w:pPr>
      <w:r>
        <w:rPr>
          <w:rFonts w:hint="eastAsia"/>
          <w:szCs w:val="21"/>
          <w:lang w:bidi="ar"/>
        </w:rPr>
        <w:drawing>
          <wp:inline distT="0" distB="0" distL="114300" distR="114300">
            <wp:extent cx="5274310" cy="3812540"/>
            <wp:effectExtent l="0" t="0" r="8890" b="101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09C3704"/>
    <w:multiLevelType w:val="multilevel"/>
    <w:tmpl w:val="509C3704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E72424"/>
    <w:rsid w:val="47E72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2021-11-09T15:07:00Z</dcterms:created>
  <dc:creator>Yrainy^</dc:creator>
  <cp:lastModifiedBy>Yrainy^</cp:lastModifiedBy>
  <dcterms:modified xsi:type="dcterms:W3CDTF">2021-11-09T15:12:24Z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29707427A2B74689A41DED36998C416D</vt:lpwstr>
  </property>
</Properties>
</file>