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FA34" w14:textId="538C87BC" w:rsidR="4C1B8C72" w:rsidRDefault="4C1B8C72" w:rsidP="4C1B8C72">
      <w:pPr>
        <w:pStyle w:val="Heading2"/>
        <w:spacing w:before="300" w:after="150"/>
      </w:pPr>
      <w:r w:rsidRPr="4C1B8C72">
        <w:rPr>
          <w:rFonts w:ascii="Calibri" w:eastAsia="Calibri" w:hAnsi="Calibri" w:cs="Calibri"/>
          <w:b/>
          <w:bCs/>
          <w:color w:val="000000" w:themeColor="text1"/>
          <w:sz w:val="28"/>
          <w:szCs w:val="28"/>
        </w:rPr>
        <w:t>Heat and Health in Africa Transdisciplinary Center</w:t>
      </w:r>
    </w:p>
    <w:p w14:paraId="081AA350" w14:textId="60EE888B" w:rsidR="4C1B8C72" w:rsidRDefault="4C1B8C72" w:rsidP="4C1B8C72">
      <w:pPr>
        <w:pStyle w:val="Heading2"/>
        <w:spacing w:before="300" w:after="150"/>
      </w:pPr>
      <w:r w:rsidRPr="4C1B8C72">
        <w:rPr>
          <w:rFonts w:ascii="Calibri" w:eastAsia="Calibri" w:hAnsi="Calibri" w:cs="Calibri"/>
          <w:b/>
          <w:bCs/>
          <w:color w:val="000000" w:themeColor="text1"/>
          <w:sz w:val="28"/>
          <w:szCs w:val="28"/>
        </w:rPr>
        <w:t>Data Management Plan Version 2.2 - Summary of Proposed Changes</w:t>
      </w:r>
    </w:p>
    <w:p w14:paraId="54977C3F" w14:textId="4CEB53D5" w:rsidR="4C1B8C72" w:rsidRDefault="4C1B8C72" w:rsidP="4C1B8C72">
      <w:pPr>
        <w:spacing w:before="120" w:after="120"/>
      </w:pPr>
      <w:r w:rsidRPr="4C1B8C72">
        <w:rPr>
          <w:rFonts w:ascii="Calibri" w:eastAsia="Calibri" w:hAnsi="Calibri" w:cs="Calibri"/>
          <w:b/>
          <w:bCs/>
          <w:color w:val="000000" w:themeColor="text1"/>
          <w:sz w:val="22"/>
          <w:szCs w:val="22"/>
        </w:rPr>
        <w:t>Study Title:</w:t>
      </w:r>
      <w:r w:rsidRPr="4C1B8C72">
        <w:rPr>
          <w:rFonts w:ascii="Calibri" w:eastAsia="Calibri" w:hAnsi="Calibri" w:cs="Calibri"/>
          <w:color w:val="000000" w:themeColor="text1"/>
          <w:sz w:val="22"/>
          <w:szCs w:val="22"/>
        </w:rPr>
        <w:t xml:space="preserve"> Heat and Health in Africa Transdisciplinary Center Data Management Plan</w:t>
      </w:r>
    </w:p>
    <w:p w14:paraId="54D801A1" w14:textId="2DDDABE6" w:rsidR="4C1B8C72" w:rsidRDefault="4C1B8C72" w:rsidP="4C1B8C72">
      <w:pPr>
        <w:spacing w:before="120" w:after="120"/>
      </w:pPr>
      <w:r w:rsidRPr="4C1B8C72">
        <w:rPr>
          <w:rFonts w:ascii="Calibri" w:eastAsia="Calibri" w:hAnsi="Calibri" w:cs="Calibri"/>
          <w:b/>
          <w:bCs/>
          <w:color w:val="000000" w:themeColor="text1"/>
          <w:sz w:val="22"/>
          <w:szCs w:val="22"/>
        </w:rPr>
        <w:t>Protocol number:</w:t>
      </w:r>
      <w:r w:rsidRPr="4C1B8C72">
        <w:rPr>
          <w:rFonts w:ascii="Calibri" w:eastAsia="Calibri" w:hAnsi="Calibri" w:cs="Calibri"/>
          <w:color w:val="000000" w:themeColor="text1"/>
          <w:sz w:val="22"/>
          <w:szCs w:val="22"/>
        </w:rPr>
        <w:t xml:space="preserve"> HE²AT-DMP-v2.2</w:t>
      </w:r>
    </w:p>
    <w:p w14:paraId="2BA97216" w14:textId="6F5DB109" w:rsidR="4C1B8C72" w:rsidRDefault="4C1B8C72" w:rsidP="4C1B8C72">
      <w:pPr>
        <w:spacing w:before="120" w:after="120"/>
      </w:pPr>
      <w:r w:rsidRPr="4C1B8C72">
        <w:rPr>
          <w:rFonts w:ascii="Calibri" w:eastAsia="Calibri" w:hAnsi="Calibri" w:cs="Calibri"/>
          <w:b/>
          <w:bCs/>
          <w:color w:val="000000" w:themeColor="text1"/>
          <w:sz w:val="22"/>
          <w:szCs w:val="22"/>
        </w:rPr>
        <w:t>Date of last version of protocol:</w:t>
      </w:r>
      <w:r w:rsidRPr="4C1B8C72">
        <w:rPr>
          <w:rFonts w:ascii="Calibri" w:eastAsia="Calibri" w:hAnsi="Calibri" w:cs="Calibri"/>
          <w:color w:val="000000" w:themeColor="text1"/>
          <w:sz w:val="22"/>
          <w:szCs w:val="22"/>
        </w:rPr>
        <w:t xml:space="preserve"> 15 August 2024</w:t>
      </w:r>
    </w:p>
    <w:p w14:paraId="7205C8A3" w14:textId="154C7012" w:rsidR="4C1B8C72" w:rsidRDefault="4C1B8C72" w:rsidP="4C1B8C72">
      <w:pPr>
        <w:spacing w:before="120" w:after="120"/>
      </w:pPr>
      <w:r w:rsidRPr="4C1B8C72">
        <w:rPr>
          <w:rFonts w:ascii="Calibri" w:eastAsia="Calibri" w:hAnsi="Calibri" w:cs="Calibri"/>
          <w:b/>
          <w:bCs/>
          <w:color w:val="000000" w:themeColor="text1"/>
          <w:sz w:val="22"/>
          <w:szCs w:val="22"/>
        </w:rPr>
        <w:t>HREC Reference No:</w:t>
      </w:r>
      <w:r w:rsidRPr="4C1B8C72">
        <w:rPr>
          <w:rFonts w:ascii="Calibri" w:eastAsia="Calibri" w:hAnsi="Calibri" w:cs="Calibri"/>
          <w:color w:val="000000" w:themeColor="text1"/>
          <w:sz w:val="22"/>
          <w:szCs w:val="22"/>
        </w:rPr>
        <w:t xml:space="preserve"> RP1-220605 and RP2-220606</w:t>
      </w:r>
    </w:p>
    <w:p w14:paraId="0B696C04" w14:textId="7F078381" w:rsidR="4C1B8C72" w:rsidRDefault="4C1B8C72" w:rsidP="4C1B8C72">
      <w:pPr>
        <w:pStyle w:val="Heading3"/>
        <w:spacing w:before="225" w:after="120"/>
      </w:pPr>
      <w:r w:rsidRPr="4C1B8C72">
        <w:rPr>
          <w:rFonts w:ascii="Calibri" w:eastAsia="Calibri" w:hAnsi="Calibri" w:cs="Calibri"/>
          <w:b/>
          <w:bCs/>
          <w:color w:val="000000" w:themeColor="text1"/>
          <w:sz w:val="24"/>
          <w:szCs w:val="24"/>
        </w:rPr>
        <w:t>Overall Rationale for the Amendment</w:t>
      </w:r>
    </w:p>
    <w:p w14:paraId="0FF3B8EB" w14:textId="685AA3EB" w:rsidR="4C1B8C72" w:rsidRDefault="4C1B8C72" w:rsidP="4C1B8C72">
      <w:pPr>
        <w:spacing w:before="120" w:after="120"/>
      </w:pPr>
      <w:r w:rsidRPr="4C1B8C72">
        <w:rPr>
          <w:rFonts w:ascii="Calibri" w:eastAsia="Calibri" w:hAnsi="Calibri" w:cs="Calibri"/>
          <w:color w:val="000000" w:themeColor="text1"/>
          <w:sz w:val="22"/>
          <w:szCs w:val="22"/>
        </w:rPr>
        <w:t xml:space="preserve">The HE²AT Center Data Management Plan Version 2.2 implements a transition from UCT </w:t>
      </w:r>
      <w:proofErr w:type="gramStart"/>
      <w:r w:rsidRPr="4C1B8C72">
        <w:rPr>
          <w:rFonts w:ascii="Calibri" w:eastAsia="Calibri" w:hAnsi="Calibri" w:cs="Calibri"/>
          <w:color w:val="000000" w:themeColor="text1"/>
          <w:sz w:val="22"/>
          <w:szCs w:val="22"/>
        </w:rPr>
        <w:t>on-premise</w:t>
      </w:r>
      <w:proofErr w:type="gramEnd"/>
      <w:r w:rsidRPr="4C1B8C72">
        <w:rPr>
          <w:rFonts w:ascii="Calibri" w:eastAsia="Calibri" w:hAnsi="Calibri" w:cs="Calibri"/>
          <w:color w:val="000000" w:themeColor="text1"/>
          <w:sz w:val="22"/>
          <w:szCs w:val="22"/>
        </w:rPr>
        <w:t xml:space="preserve"> infrastructure to WHC-managed cloud infrastructure during Year 5 to enhance data security, scalability, and operational efficiency whilst maintaining full regulatory compliance.</w:t>
      </w:r>
    </w:p>
    <w:p w14:paraId="1928A28F" w14:textId="2E049E37" w:rsidR="4C1B8C72" w:rsidRDefault="4C1B8C72" w:rsidP="4C1B8C72">
      <w:pPr>
        <w:spacing w:before="120" w:after="120"/>
      </w:pPr>
      <w:r w:rsidRPr="4C1B8C72">
        <w:rPr>
          <w:rFonts w:ascii="Calibri" w:eastAsia="Calibri" w:hAnsi="Calibri" w:cs="Calibri"/>
          <w:color w:val="000000" w:themeColor="text1"/>
          <w:sz w:val="22"/>
          <w:szCs w:val="22"/>
        </w:rPr>
        <w:t>Key changes include:</w:t>
      </w:r>
    </w:p>
    <w:p w14:paraId="5DD6E6A8" w14:textId="644084E2" w:rsidR="4C1B8C72" w:rsidRDefault="4C1B8C72" w:rsidP="4C1B8C72">
      <w:pPr>
        <w:pStyle w:val="ListParagraph"/>
        <w:numPr>
          <w:ilvl w:val="0"/>
          <w:numId w:val="2"/>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WHC-managed cloud infrastructure with AES-256 encryption</w:t>
      </w:r>
    </w:p>
    <w:p w14:paraId="54657BF2" w14:textId="46A29C04" w:rsidR="4C1B8C72" w:rsidRDefault="4C1B8C72" w:rsidP="4C1B8C72">
      <w:pPr>
        <w:pStyle w:val="ListParagraph"/>
        <w:numPr>
          <w:ilvl w:val="0"/>
          <w:numId w:val="2"/>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24/7 Security Operations Centre monitoring and advanced threat detection</w:t>
      </w:r>
    </w:p>
    <w:p w14:paraId="23508A12" w14:textId="1584FB17" w:rsidR="4C1B8C72" w:rsidRDefault="4C1B8C72" w:rsidP="4C1B8C72">
      <w:pPr>
        <w:pStyle w:val="ListParagraph"/>
        <w:numPr>
          <w:ilvl w:val="0"/>
          <w:numId w:val="2"/>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Automated backup and disaster recovery systems</w:t>
      </w:r>
    </w:p>
    <w:p w14:paraId="1AB89FED" w14:textId="5A5016A6" w:rsidR="4C1B8C72" w:rsidRDefault="4C1B8C72" w:rsidP="4C1B8C72">
      <w:pPr>
        <w:pStyle w:val="ListParagraph"/>
        <w:numPr>
          <w:ilvl w:val="0"/>
          <w:numId w:val="2"/>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Cloud-based computational resources with GPU acceleration</w:t>
      </w:r>
    </w:p>
    <w:p w14:paraId="747D1187" w14:textId="1A393241" w:rsidR="4C1B8C72" w:rsidRDefault="4C1B8C72" w:rsidP="4C1B8C72">
      <w:pPr>
        <w:pStyle w:val="ListParagraph"/>
        <w:numPr>
          <w:ilvl w:val="0"/>
          <w:numId w:val="2"/>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Structured 5-phase migration strategy with comprehensive risk mitigation</w:t>
      </w:r>
    </w:p>
    <w:p w14:paraId="2CBA8BF2" w14:textId="2AE4827D" w:rsidR="4C1B8C72" w:rsidRDefault="4C1B8C72" w:rsidP="4C1B8C72">
      <w:pPr>
        <w:pStyle w:val="Heading3"/>
        <w:spacing w:before="225" w:after="120"/>
      </w:pPr>
      <w:r w:rsidRPr="4C1B8C72">
        <w:rPr>
          <w:rFonts w:ascii="Calibri" w:eastAsia="Calibri" w:hAnsi="Calibri" w:cs="Calibri"/>
          <w:b/>
          <w:bCs/>
          <w:color w:val="000000" w:themeColor="text1"/>
          <w:sz w:val="24"/>
          <w:szCs w:val="24"/>
        </w:rPr>
        <w:t>All Proposed Changes and Their Rationale</w:t>
      </w:r>
    </w:p>
    <w:tbl>
      <w:tblPr>
        <w:tblW w:w="9359" w:type="dxa"/>
        <w:tblLayout w:type="fixed"/>
        <w:tblLook w:val="06A0" w:firstRow="1" w:lastRow="0" w:firstColumn="1" w:lastColumn="0" w:noHBand="1" w:noVBand="1"/>
      </w:tblPr>
      <w:tblGrid>
        <w:gridCol w:w="1822"/>
        <w:gridCol w:w="4255"/>
        <w:gridCol w:w="3282"/>
      </w:tblGrid>
      <w:tr w:rsidR="4C1B8C72" w14:paraId="1B2AA70D"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cMar>
              <w:top w:w="150" w:type="dxa"/>
              <w:left w:w="150" w:type="dxa"/>
              <w:bottom w:w="150" w:type="dxa"/>
              <w:right w:w="150" w:type="dxa"/>
            </w:tcMar>
          </w:tcPr>
          <w:p w14:paraId="434F5242" w14:textId="5D5E4348" w:rsidR="4C1B8C72" w:rsidRDefault="4C1B8C72" w:rsidP="4C1B8C72">
            <w:pPr>
              <w:spacing w:after="0"/>
            </w:pPr>
            <w:r w:rsidRPr="4C1B8C72">
              <w:rPr>
                <w:rFonts w:ascii="Calibri" w:eastAsia="Calibri" w:hAnsi="Calibri" w:cs="Calibri"/>
                <w:b/>
                <w:bCs/>
                <w:color w:val="000000" w:themeColor="text1"/>
                <w:sz w:val="22"/>
                <w:szCs w:val="22"/>
              </w:rPr>
              <w:t>Location of Revision</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cMar>
              <w:top w:w="150" w:type="dxa"/>
              <w:left w:w="150" w:type="dxa"/>
              <w:bottom w:w="150" w:type="dxa"/>
              <w:right w:w="150" w:type="dxa"/>
            </w:tcMar>
          </w:tcPr>
          <w:p w14:paraId="16DDF698" w14:textId="769D24DD" w:rsidR="4C1B8C72" w:rsidRDefault="4C1B8C72" w:rsidP="4C1B8C72">
            <w:pPr>
              <w:spacing w:after="0"/>
            </w:pPr>
            <w:r w:rsidRPr="4C1B8C72">
              <w:rPr>
                <w:rFonts w:ascii="Calibri" w:eastAsia="Calibri" w:hAnsi="Calibri" w:cs="Calibri"/>
                <w:b/>
                <w:bCs/>
                <w:color w:val="000000" w:themeColor="text1"/>
                <w:sz w:val="22"/>
                <w:szCs w:val="22"/>
              </w:rPr>
              <w:t>Description of Revision</w:t>
            </w:r>
          </w:p>
        </w:tc>
        <w:tc>
          <w:tcPr>
            <w:tcW w:w="32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cMar>
              <w:top w:w="150" w:type="dxa"/>
              <w:left w:w="150" w:type="dxa"/>
              <w:bottom w:w="150" w:type="dxa"/>
              <w:right w:w="150" w:type="dxa"/>
            </w:tcMar>
          </w:tcPr>
          <w:p w14:paraId="1C2FC590" w14:textId="4F07CEF0" w:rsidR="4C1B8C72" w:rsidRDefault="4C1B8C72" w:rsidP="4C1B8C72">
            <w:pPr>
              <w:spacing w:after="0"/>
            </w:pPr>
            <w:r w:rsidRPr="4C1B8C72">
              <w:rPr>
                <w:rFonts w:ascii="Calibri" w:eastAsia="Calibri" w:hAnsi="Calibri" w:cs="Calibri"/>
                <w:b/>
                <w:bCs/>
                <w:color w:val="000000" w:themeColor="text1"/>
                <w:sz w:val="22"/>
                <w:szCs w:val="22"/>
              </w:rPr>
              <w:t>Reason for Changes</w:t>
            </w:r>
          </w:p>
        </w:tc>
      </w:tr>
      <w:tr w:rsidR="4C1B8C72" w14:paraId="7AFB39CB"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385A3F53" w14:textId="2E5EB8A7" w:rsidR="4C1B8C72" w:rsidRDefault="4C1B8C72" w:rsidP="4C1B8C72">
            <w:pPr>
              <w:spacing w:after="0"/>
            </w:pPr>
            <w:r w:rsidRPr="4C1B8C72">
              <w:rPr>
                <w:rFonts w:ascii="Calibri" w:eastAsia="Calibri" w:hAnsi="Calibri" w:cs="Calibri"/>
                <w:b/>
                <w:bCs/>
                <w:color w:val="000000" w:themeColor="text1"/>
                <w:sz w:val="22"/>
                <w:szCs w:val="22"/>
              </w:rPr>
              <w:t>Section 3.4, page 1</w:t>
            </w:r>
            <w:r w:rsidR="00511DBD">
              <w:rPr>
                <w:rFonts w:ascii="Calibri" w:eastAsia="Calibri" w:hAnsi="Calibri" w:cs="Calibri"/>
                <w:b/>
                <w:bCs/>
                <w:color w:val="000000" w:themeColor="text1"/>
                <w:sz w:val="22"/>
                <w:szCs w:val="22"/>
              </w:rPr>
              <w:t>3</w:t>
            </w:r>
            <w:r>
              <w:br/>
            </w:r>
            <w:r w:rsidRPr="4C1B8C72">
              <w:rPr>
                <w:rFonts w:ascii="Calibri" w:eastAsia="Calibri" w:hAnsi="Calibri" w:cs="Calibri"/>
                <w:color w:val="000000" w:themeColor="text1"/>
                <w:sz w:val="22"/>
                <w:szCs w:val="22"/>
              </w:rPr>
              <w:t>Overview of Data Management Workflow</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1E3FDC2D" w14:textId="6BF2B77C" w:rsidR="4C1B8C72" w:rsidRDefault="4C1B8C72" w:rsidP="4C1B8C72">
            <w:pPr>
              <w:spacing w:after="0"/>
            </w:pPr>
            <w:r w:rsidRPr="00BD73C8">
              <w:rPr>
                <w:rFonts w:ascii="Calibri" w:eastAsia="Calibri" w:hAnsi="Calibri" w:cs="Calibri"/>
                <w:b/>
                <w:bCs/>
                <w:color w:val="000000" w:themeColor="text1"/>
                <w:sz w:val="22"/>
                <w:szCs w:val="22"/>
              </w:rPr>
              <w:t>New text added</w:t>
            </w:r>
            <w:r w:rsidRPr="4C1B8C72">
              <w:rPr>
                <w:rFonts w:ascii="Calibri" w:eastAsia="Calibri" w:hAnsi="Calibri" w:cs="Calibri"/>
                <w:color w:val="000000" w:themeColor="text1"/>
                <w:sz w:val="22"/>
                <w:szCs w:val="22"/>
              </w:rPr>
              <w:t xml:space="preserve">: The HE²AT Center is currently implementing a transition from UCT </w:t>
            </w:r>
            <w:proofErr w:type="gramStart"/>
            <w:r w:rsidRPr="4C1B8C72">
              <w:rPr>
                <w:rFonts w:ascii="Calibri" w:eastAsia="Calibri" w:hAnsi="Calibri" w:cs="Calibri"/>
                <w:color w:val="000000" w:themeColor="text1"/>
                <w:sz w:val="22"/>
                <w:szCs w:val="22"/>
              </w:rPr>
              <w:t>on-premise</w:t>
            </w:r>
            <w:proofErr w:type="gramEnd"/>
            <w:r w:rsidRPr="4C1B8C72">
              <w:rPr>
                <w:rFonts w:ascii="Calibri" w:eastAsia="Calibri" w:hAnsi="Calibri" w:cs="Calibri"/>
                <w:color w:val="000000" w:themeColor="text1"/>
                <w:sz w:val="22"/>
                <w:szCs w:val="22"/>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p>
        </w:tc>
        <w:tc>
          <w:tcPr>
            <w:tcW w:w="328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4479E5AA" w14:textId="1EA786D7" w:rsidR="4C1B8C72" w:rsidRDefault="4C1B8C72" w:rsidP="4C1B8C72">
            <w:pPr>
              <w:spacing w:after="0"/>
            </w:pPr>
            <w:r w:rsidRPr="4C1B8C72">
              <w:rPr>
                <w:rFonts w:ascii="Calibri" w:eastAsia="Calibri" w:hAnsi="Calibri" w:cs="Calibri"/>
                <w:color w:val="000000" w:themeColor="text1"/>
                <w:sz w:val="22"/>
                <w:szCs w:val="22"/>
              </w:rPr>
              <w:t xml:space="preserve">Version 2.2 implements a structured transition from UCT </w:t>
            </w:r>
            <w:proofErr w:type="gramStart"/>
            <w:r w:rsidRPr="4C1B8C72">
              <w:rPr>
                <w:rFonts w:ascii="Calibri" w:eastAsia="Calibri" w:hAnsi="Calibri" w:cs="Calibri"/>
                <w:color w:val="000000" w:themeColor="text1"/>
                <w:sz w:val="22"/>
                <w:szCs w:val="22"/>
              </w:rPr>
              <w:t>on-premise</w:t>
            </w:r>
            <w:proofErr w:type="gramEnd"/>
            <w:r w:rsidRPr="4C1B8C72">
              <w:rPr>
                <w:rFonts w:ascii="Calibri" w:eastAsia="Calibri" w:hAnsi="Calibri" w:cs="Calibri"/>
                <w:color w:val="000000" w:themeColor="text1"/>
                <w:sz w:val="22"/>
                <w:szCs w:val="22"/>
              </w:rPr>
              <w:t xml:space="preserve"> infrastructure to WHC-managed cloud infrastructure to enhance data security, scalability, and operational efficiency. The cloud migration provides AES-256 encryption, 24/7 security monitoring, automated backup systems, and improved disaster recovery capabilities whilst maintaining full POPIA </w:t>
            </w:r>
            <w:r w:rsidRPr="4C1B8C72">
              <w:rPr>
                <w:rFonts w:ascii="Calibri" w:eastAsia="Calibri" w:hAnsi="Calibri" w:cs="Calibri"/>
                <w:color w:val="000000" w:themeColor="text1"/>
                <w:sz w:val="22"/>
                <w:szCs w:val="22"/>
              </w:rPr>
              <w:lastRenderedPageBreak/>
              <w:t>compliance and all existing ethical standards. All participant data protections are maintained or enhanced through this transition.</w:t>
            </w:r>
          </w:p>
        </w:tc>
      </w:tr>
      <w:tr w:rsidR="4C1B8C72" w14:paraId="6AFE3160"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142D5B26" w14:textId="3225E9C2" w:rsidR="4C1B8C72" w:rsidRDefault="4C1B8C72" w:rsidP="4C1B8C72">
            <w:pPr>
              <w:spacing w:after="0"/>
            </w:pPr>
            <w:r w:rsidRPr="4C1B8C72">
              <w:rPr>
                <w:rFonts w:ascii="Calibri" w:eastAsia="Calibri" w:hAnsi="Calibri" w:cs="Calibri"/>
                <w:b/>
                <w:bCs/>
                <w:color w:val="000000" w:themeColor="text1"/>
                <w:sz w:val="22"/>
                <w:szCs w:val="22"/>
              </w:rPr>
              <w:t>Section 4.1.2, page 1</w:t>
            </w:r>
            <w:r w:rsidR="00511DBD">
              <w:rPr>
                <w:rFonts w:ascii="Calibri" w:eastAsia="Calibri" w:hAnsi="Calibri" w:cs="Calibri"/>
                <w:b/>
                <w:bCs/>
                <w:color w:val="000000" w:themeColor="text1"/>
                <w:sz w:val="22"/>
                <w:szCs w:val="22"/>
              </w:rPr>
              <w:t>5</w:t>
            </w:r>
            <w:r>
              <w:br/>
            </w:r>
            <w:r w:rsidRPr="4C1B8C72">
              <w:rPr>
                <w:rFonts w:ascii="Calibri" w:eastAsia="Calibri" w:hAnsi="Calibri" w:cs="Calibri"/>
                <w:color w:val="000000" w:themeColor="text1"/>
                <w:sz w:val="22"/>
                <w:szCs w:val="22"/>
              </w:rPr>
              <w:lastRenderedPageBreak/>
              <w:t>Original Study Data</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7D5214A5" w14:textId="7BDC3C87" w:rsidR="4C1B8C72" w:rsidRDefault="4C1B8C72" w:rsidP="4C1B8C72">
            <w:pPr>
              <w:spacing w:after="0"/>
            </w:pPr>
            <w:r w:rsidRPr="00BD73C8">
              <w:rPr>
                <w:rFonts w:ascii="Calibri" w:eastAsia="Calibri" w:hAnsi="Calibri" w:cs="Calibri"/>
                <w:b/>
                <w:bCs/>
                <w:color w:val="000000" w:themeColor="text1"/>
                <w:sz w:val="22"/>
                <w:szCs w:val="22"/>
              </w:rPr>
              <w:lastRenderedPageBreak/>
              <w:t>Added</w:t>
            </w:r>
            <w:r w:rsidRPr="4C1B8C72">
              <w:rPr>
                <w:rFonts w:ascii="Calibri" w:eastAsia="Calibri" w:hAnsi="Calibri" w:cs="Calibri"/>
                <w:color w:val="000000" w:themeColor="text1"/>
                <w:sz w:val="22"/>
                <w:szCs w:val="22"/>
              </w:rPr>
              <w:t xml:space="preserve">: The Original Study Data is currently held under strong access control on servers </w:t>
            </w:r>
            <w:r w:rsidRPr="4C1B8C72">
              <w:rPr>
                <w:rFonts w:ascii="Calibri" w:eastAsia="Calibri" w:hAnsi="Calibri" w:cs="Calibri"/>
                <w:color w:val="000000" w:themeColor="text1"/>
                <w:sz w:val="22"/>
                <w:szCs w:val="22"/>
              </w:rPr>
              <w:lastRenderedPageBreak/>
              <w:t>hosted at UCT, but from the start of Year 5, the data will shift to be stored on WHC-managed cloud infrastructure with AES-256 encryption, providing enhanced scalability and disaster recovery capabilities whilst maintaining POPIA compliance.</w:t>
            </w:r>
          </w:p>
        </w:tc>
        <w:tc>
          <w:tcPr>
            <w:tcW w:w="3282" w:type="dxa"/>
            <w:vMerge/>
            <w:tcBorders>
              <w:left w:val="single" w:sz="0" w:space="0" w:color="000000" w:themeColor="text1"/>
              <w:right w:val="single" w:sz="0" w:space="0" w:color="000000" w:themeColor="text1"/>
            </w:tcBorders>
            <w:vAlign w:val="center"/>
          </w:tcPr>
          <w:p w14:paraId="6210325B" w14:textId="77777777" w:rsidR="003178FC" w:rsidRDefault="003178FC"/>
        </w:tc>
      </w:tr>
      <w:tr w:rsidR="4C1B8C72" w14:paraId="0824CD31"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69D3E3AD" w14:textId="1912B153" w:rsidR="4C1B8C72" w:rsidRDefault="4C1B8C72" w:rsidP="4C1B8C72">
            <w:pPr>
              <w:spacing w:after="0"/>
            </w:pPr>
            <w:r w:rsidRPr="4C1B8C72">
              <w:rPr>
                <w:rFonts w:ascii="Calibri" w:eastAsia="Calibri" w:hAnsi="Calibri" w:cs="Calibri"/>
                <w:b/>
                <w:bCs/>
                <w:color w:val="000000" w:themeColor="text1"/>
                <w:sz w:val="22"/>
                <w:szCs w:val="22"/>
              </w:rPr>
              <w:t>Section 4.2, page 1</w:t>
            </w:r>
            <w:r w:rsidR="00AF1298">
              <w:rPr>
                <w:rFonts w:ascii="Calibri" w:eastAsia="Calibri" w:hAnsi="Calibri" w:cs="Calibri"/>
                <w:b/>
                <w:bCs/>
                <w:color w:val="000000" w:themeColor="text1"/>
                <w:sz w:val="22"/>
                <w:szCs w:val="22"/>
              </w:rPr>
              <w:t>8</w:t>
            </w:r>
            <w:r>
              <w:br/>
            </w:r>
            <w:r w:rsidRPr="4C1B8C72">
              <w:rPr>
                <w:rFonts w:ascii="Calibri" w:eastAsia="Calibri" w:hAnsi="Calibri" w:cs="Calibri"/>
                <w:color w:val="000000" w:themeColor="text1"/>
                <w:sz w:val="22"/>
                <w:szCs w:val="22"/>
              </w:rPr>
              <w:t>Climate/Weather Data</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20C46A7A" w14:textId="45858E1A" w:rsidR="4C1B8C72" w:rsidRDefault="4C1B8C72" w:rsidP="4C1B8C72">
            <w:pPr>
              <w:spacing w:after="0"/>
            </w:pPr>
            <w:r w:rsidRPr="00BD73C8">
              <w:rPr>
                <w:rFonts w:ascii="Calibri" w:eastAsia="Calibri" w:hAnsi="Calibri" w:cs="Calibri"/>
                <w:b/>
                <w:bCs/>
                <w:color w:val="000000" w:themeColor="text1"/>
                <w:sz w:val="22"/>
                <w:szCs w:val="22"/>
              </w:rPr>
              <w:t>Previous text:</w:t>
            </w:r>
            <w:r w:rsidRPr="4C1B8C72">
              <w:rPr>
                <w:rFonts w:ascii="Calibri" w:eastAsia="Calibri" w:hAnsi="Calibri" w:cs="Calibri"/>
                <w:color w:val="000000" w:themeColor="text1"/>
                <w:sz w:val="22"/>
                <w:szCs w:val="22"/>
              </w:rPr>
              <w:t xml:space="preserve"> </w:t>
            </w:r>
            <w:r w:rsidR="00BD73C8" w:rsidRPr="00175737">
              <w:rPr>
                <w:color w:val="000000"/>
                <w:sz w:val="22"/>
                <w:szCs w:val="22"/>
              </w:rPr>
              <w:t xml:space="preserve">The data will be stored on IBM Research Africa and CSAG/UCT systems and WHC-managed cloud services with auto-scaling capabilities for handling variable seasonal data volumes and improved accessibility for </w:t>
            </w:r>
            <w:proofErr w:type="spellStart"/>
            <w:r w:rsidR="00BD73C8" w:rsidRPr="00175737">
              <w:rPr>
                <w:color w:val="000000"/>
                <w:sz w:val="22"/>
                <w:szCs w:val="22"/>
              </w:rPr>
              <w:t>authorised</w:t>
            </w:r>
            <w:proofErr w:type="spellEnd"/>
            <w:r w:rsidR="00BD73C8" w:rsidRPr="00175737">
              <w:rPr>
                <w:color w:val="000000"/>
                <w:sz w:val="22"/>
                <w:szCs w:val="22"/>
              </w:rPr>
              <w:t xml:space="preserve"> researchers</w:t>
            </w:r>
            <w:r>
              <w:br/>
            </w:r>
            <w:r>
              <w:br/>
            </w:r>
            <w:r w:rsidRPr="00BD73C8">
              <w:rPr>
                <w:rFonts w:ascii="Calibri" w:eastAsia="Calibri" w:hAnsi="Calibri" w:cs="Calibri"/>
                <w:b/>
                <w:bCs/>
                <w:color w:val="000000" w:themeColor="text1"/>
                <w:sz w:val="22"/>
                <w:szCs w:val="22"/>
              </w:rPr>
              <w:t>New text:</w:t>
            </w:r>
            <w:r w:rsidRPr="4C1B8C72">
              <w:rPr>
                <w:rFonts w:ascii="Calibri" w:eastAsia="Calibri" w:hAnsi="Calibri" w:cs="Calibri"/>
                <w:color w:val="000000" w:themeColor="text1"/>
                <w:sz w:val="22"/>
                <w:szCs w:val="22"/>
              </w:rPr>
              <w:t xml:space="preserve"> The data will be stored on IBM Research Africa and CSAG/UCT systems. Relevant datasets, or subsets of datasets, will also be stored on the WHC-managed cloud services to allow for the association/linkage with the health datasets.</w:t>
            </w:r>
          </w:p>
        </w:tc>
        <w:tc>
          <w:tcPr>
            <w:tcW w:w="3282" w:type="dxa"/>
            <w:vMerge/>
            <w:tcBorders>
              <w:left w:val="single" w:sz="0" w:space="0" w:color="000000" w:themeColor="text1"/>
              <w:right w:val="single" w:sz="0" w:space="0" w:color="000000" w:themeColor="text1"/>
            </w:tcBorders>
            <w:vAlign w:val="center"/>
          </w:tcPr>
          <w:p w14:paraId="2475EABC" w14:textId="77777777" w:rsidR="003178FC" w:rsidRDefault="003178FC"/>
        </w:tc>
      </w:tr>
      <w:tr w:rsidR="4C1B8C72" w14:paraId="40E9E344"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14A64442" w14:textId="28D97AD2" w:rsidR="4C1B8C72" w:rsidRDefault="4C1B8C72" w:rsidP="4C1B8C72">
            <w:pPr>
              <w:spacing w:after="0"/>
            </w:pPr>
            <w:r w:rsidRPr="4C1B8C72">
              <w:rPr>
                <w:rFonts w:ascii="Calibri" w:eastAsia="Calibri" w:hAnsi="Calibri" w:cs="Calibri"/>
                <w:b/>
                <w:bCs/>
                <w:color w:val="000000" w:themeColor="text1"/>
                <w:sz w:val="22"/>
                <w:szCs w:val="22"/>
              </w:rPr>
              <w:t xml:space="preserve">Section 4.3, page </w:t>
            </w:r>
            <w:r w:rsidR="00AF1298">
              <w:rPr>
                <w:rFonts w:ascii="Calibri" w:eastAsia="Calibri" w:hAnsi="Calibri" w:cs="Calibri"/>
                <w:b/>
                <w:bCs/>
                <w:color w:val="000000" w:themeColor="text1"/>
                <w:sz w:val="22"/>
                <w:szCs w:val="22"/>
              </w:rPr>
              <w:t>19</w:t>
            </w:r>
            <w:r>
              <w:br/>
            </w:r>
            <w:r w:rsidRPr="4C1B8C72">
              <w:rPr>
                <w:rFonts w:ascii="Calibri" w:eastAsia="Calibri" w:hAnsi="Calibri" w:cs="Calibri"/>
                <w:color w:val="000000" w:themeColor="text1"/>
                <w:sz w:val="22"/>
                <w:szCs w:val="22"/>
              </w:rPr>
              <w:t>Area/Geospatial Socio-economic Data</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67714C41" w14:textId="07A65A35" w:rsidR="4C1B8C72" w:rsidRDefault="4C1B8C72" w:rsidP="4C1B8C72">
            <w:pPr>
              <w:spacing w:after="0"/>
            </w:pPr>
            <w:r w:rsidRPr="00BD73C8">
              <w:rPr>
                <w:rFonts w:ascii="Calibri" w:eastAsia="Calibri" w:hAnsi="Calibri" w:cs="Calibri"/>
                <w:b/>
                <w:bCs/>
                <w:color w:val="000000" w:themeColor="text1"/>
                <w:sz w:val="22"/>
                <w:szCs w:val="22"/>
              </w:rPr>
              <w:t>Added:</w:t>
            </w:r>
            <w:r w:rsidRPr="4C1B8C72">
              <w:rPr>
                <w:rFonts w:ascii="Calibri" w:eastAsia="Calibri" w:hAnsi="Calibri" w:cs="Calibri"/>
                <w:color w:val="000000" w:themeColor="text1"/>
                <w:sz w:val="22"/>
                <w:szCs w:val="22"/>
              </w:rPr>
              <w:t xml:space="preserve"> ...while a copy will be stored on the WHC-managed cloud services</w:t>
            </w:r>
          </w:p>
        </w:tc>
        <w:tc>
          <w:tcPr>
            <w:tcW w:w="3282" w:type="dxa"/>
            <w:vMerge/>
            <w:tcBorders>
              <w:left w:val="single" w:sz="0" w:space="0" w:color="000000" w:themeColor="text1"/>
              <w:right w:val="single" w:sz="0" w:space="0" w:color="000000" w:themeColor="text1"/>
            </w:tcBorders>
            <w:vAlign w:val="center"/>
          </w:tcPr>
          <w:p w14:paraId="50617F8A" w14:textId="77777777" w:rsidR="003178FC" w:rsidRDefault="003178FC"/>
        </w:tc>
      </w:tr>
      <w:tr w:rsidR="4C1B8C72" w14:paraId="52ED1534"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013C3D2E" w14:textId="33F6F102" w:rsidR="4C1B8C72" w:rsidRDefault="4C1B8C72" w:rsidP="4C1B8C72">
            <w:pPr>
              <w:spacing w:after="0"/>
            </w:pPr>
            <w:r w:rsidRPr="4C1B8C72">
              <w:rPr>
                <w:rFonts w:ascii="Calibri" w:eastAsia="Calibri" w:hAnsi="Calibri" w:cs="Calibri"/>
                <w:b/>
                <w:bCs/>
                <w:color w:val="000000" w:themeColor="text1"/>
                <w:sz w:val="22"/>
                <w:szCs w:val="22"/>
              </w:rPr>
              <w:t>Section 6.1, page 2</w:t>
            </w:r>
            <w:r w:rsidR="00AF1298">
              <w:rPr>
                <w:rFonts w:ascii="Calibri" w:eastAsia="Calibri" w:hAnsi="Calibri" w:cs="Calibri"/>
                <w:b/>
                <w:bCs/>
                <w:color w:val="000000" w:themeColor="text1"/>
                <w:sz w:val="22"/>
                <w:szCs w:val="22"/>
              </w:rPr>
              <w:t>2</w:t>
            </w:r>
            <w:r>
              <w:br/>
            </w:r>
            <w:r w:rsidRPr="4C1B8C72">
              <w:rPr>
                <w:rFonts w:ascii="Calibri" w:eastAsia="Calibri" w:hAnsi="Calibri" w:cs="Calibri"/>
                <w:color w:val="000000" w:themeColor="text1"/>
                <w:sz w:val="22"/>
                <w:szCs w:val="22"/>
              </w:rPr>
              <w:t>Pre-processing</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1453BFBE" w14:textId="30F45F20" w:rsidR="4C1B8C72" w:rsidRDefault="4C1B8C72" w:rsidP="4C1B8C72">
            <w:pPr>
              <w:spacing w:after="0"/>
            </w:pPr>
            <w:r w:rsidRPr="00BD73C8">
              <w:rPr>
                <w:rFonts w:ascii="Calibri" w:eastAsia="Calibri" w:hAnsi="Calibri" w:cs="Calibri"/>
                <w:b/>
                <w:bCs/>
                <w:color w:val="000000" w:themeColor="text1"/>
                <w:sz w:val="22"/>
                <w:szCs w:val="22"/>
              </w:rPr>
              <w:t>Previous text:</w:t>
            </w:r>
            <w:r w:rsidRPr="4C1B8C72">
              <w:rPr>
                <w:rFonts w:ascii="Calibri" w:eastAsia="Calibri" w:hAnsi="Calibri" w:cs="Calibri"/>
                <w:color w:val="000000" w:themeColor="text1"/>
                <w:sz w:val="22"/>
                <w:szCs w:val="22"/>
              </w:rPr>
              <w:t xml:space="preserve"> This team has exclusive </w:t>
            </w:r>
            <w:proofErr w:type="spellStart"/>
            <w:r w:rsidRPr="4C1B8C72">
              <w:rPr>
                <w:rFonts w:ascii="Calibri" w:eastAsia="Calibri" w:hAnsi="Calibri" w:cs="Calibri"/>
                <w:color w:val="000000" w:themeColor="text1"/>
                <w:sz w:val="22"/>
                <w:szCs w:val="22"/>
              </w:rPr>
              <w:t>authorisation</w:t>
            </w:r>
            <w:proofErr w:type="spellEnd"/>
            <w:r w:rsidRPr="4C1B8C72">
              <w:rPr>
                <w:rFonts w:ascii="Calibri" w:eastAsia="Calibri" w:hAnsi="Calibri" w:cs="Calibri"/>
                <w:color w:val="000000" w:themeColor="text1"/>
                <w:sz w:val="22"/>
                <w:szCs w:val="22"/>
              </w:rPr>
              <w:t xml:space="preserve"> to access incoming data securely stored on UCT data servers</w:t>
            </w:r>
            <w:r>
              <w:br/>
            </w:r>
            <w:r>
              <w:br/>
            </w:r>
            <w:r w:rsidRPr="00BD73C8">
              <w:rPr>
                <w:rFonts w:ascii="Calibri" w:eastAsia="Calibri" w:hAnsi="Calibri" w:cs="Calibri"/>
                <w:b/>
                <w:bCs/>
                <w:color w:val="000000" w:themeColor="text1"/>
                <w:sz w:val="22"/>
                <w:szCs w:val="22"/>
              </w:rPr>
              <w:t>New text:</w:t>
            </w:r>
            <w:r w:rsidRPr="4C1B8C72">
              <w:rPr>
                <w:rFonts w:ascii="Calibri" w:eastAsia="Calibri" w:hAnsi="Calibri" w:cs="Calibri"/>
                <w:color w:val="000000" w:themeColor="text1"/>
                <w:sz w:val="22"/>
                <w:szCs w:val="22"/>
              </w:rPr>
              <w:t xml:space="preserve"> This team has exclusive </w:t>
            </w:r>
            <w:proofErr w:type="spellStart"/>
            <w:r w:rsidRPr="4C1B8C72">
              <w:rPr>
                <w:rFonts w:ascii="Calibri" w:eastAsia="Calibri" w:hAnsi="Calibri" w:cs="Calibri"/>
                <w:color w:val="000000" w:themeColor="text1"/>
                <w:sz w:val="22"/>
                <w:szCs w:val="22"/>
              </w:rPr>
              <w:t>authorisation</w:t>
            </w:r>
            <w:proofErr w:type="spellEnd"/>
            <w:r w:rsidRPr="4C1B8C72">
              <w:rPr>
                <w:rFonts w:ascii="Calibri" w:eastAsia="Calibri" w:hAnsi="Calibri" w:cs="Calibri"/>
                <w:color w:val="000000" w:themeColor="text1"/>
                <w:sz w:val="22"/>
                <w:szCs w:val="22"/>
              </w:rPr>
              <w:t xml:space="preserve"> to access incoming data securely stored on UCT data servers and WHC-managed cloud infrastructure with enhanced security and automated backup systems.</w:t>
            </w:r>
          </w:p>
        </w:tc>
        <w:tc>
          <w:tcPr>
            <w:tcW w:w="3282" w:type="dxa"/>
            <w:vMerge/>
            <w:tcBorders>
              <w:left w:val="single" w:sz="0" w:space="0" w:color="000000" w:themeColor="text1"/>
              <w:right w:val="single" w:sz="0" w:space="0" w:color="000000" w:themeColor="text1"/>
            </w:tcBorders>
            <w:vAlign w:val="center"/>
          </w:tcPr>
          <w:p w14:paraId="1889FFA5" w14:textId="77777777" w:rsidR="003178FC" w:rsidRDefault="003178FC"/>
        </w:tc>
      </w:tr>
      <w:tr w:rsidR="4C1B8C72" w14:paraId="08B85536"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55D554DA" w14:textId="549B5F29" w:rsidR="4C1B8C72" w:rsidRDefault="4C1B8C72" w:rsidP="4C1B8C72">
            <w:pPr>
              <w:spacing w:after="0"/>
            </w:pPr>
            <w:r w:rsidRPr="4C1B8C72">
              <w:rPr>
                <w:rFonts w:ascii="Calibri" w:eastAsia="Calibri" w:hAnsi="Calibri" w:cs="Calibri"/>
                <w:b/>
                <w:bCs/>
                <w:color w:val="000000" w:themeColor="text1"/>
                <w:sz w:val="22"/>
                <w:szCs w:val="22"/>
              </w:rPr>
              <w:lastRenderedPageBreak/>
              <w:t>Section 6.4, page 24</w:t>
            </w:r>
            <w:r>
              <w:br/>
            </w:r>
            <w:r w:rsidRPr="4C1B8C72">
              <w:rPr>
                <w:rFonts w:ascii="Calibri" w:eastAsia="Calibri" w:hAnsi="Calibri" w:cs="Calibri"/>
                <w:color w:val="000000" w:themeColor="text1"/>
                <w:sz w:val="22"/>
                <w:szCs w:val="22"/>
              </w:rPr>
              <w:t>Database Population</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13C6FC1D" w14:textId="7FFE8E10" w:rsidR="4C1B8C72" w:rsidRDefault="4C1B8C72" w:rsidP="4C1B8C72">
            <w:pPr>
              <w:spacing w:after="0"/>
            </w:pPr>
            <w:r w:rsidRPr="00BD73C8">
              <w:rPr>
                <w:rFonts w:ascii="Calibri" w:eastAsia="Calibri" w:hAnsi="Calibri" w:cs="Calibri"/>
                <w:b/>
                <w:bCs/>
                <w:color w:val="000000" w:themeColor="text1"/>
                <w:sz w:val="22"/>
                <w:szCs w:val="22"/>
              </w:rPr>
              <w:t>Added:</w:t>
            </w:r>
            <w:r w:rsidRPr="4C1B8C72">
              <w:rPr>
                <w:rFonts w:ascii="Calibri" w:eastAsia="Calibri" w:hAnsi="Calibri" w:cs="Calibri"/>
                <w:color w:val="000000" w:themeColor="text1"/>
                <w:sz w:val="22"/>
                <w:szCs w:val="22"/>
              </w:rPr>
              <w:t xml:space="preserve"> Database population </w:t>
            </w:r>
            <w:proofErr w:type="spellStart"/>
            <w:r w:rsidRPr="4C1B8C72">
              <w:rPr>
                <w:rFonts w:ascii="Calibri" w:eastAsia="Calibri" w:hAnsi="Calibri" w:cs="Calibri"/>
                <w:color w:val="000000" w:themeColor="text1"/>
                <w:sz w:val="22"/>
                <w:szCs w:val="22"/>
              </w:rPr>
              <w:t>utilises</w:t>
            </w:r>
            <w:proofErr w:type="spellEnd"/>
            <w:r w:rsidRPr="4C1B8C72">
              <w:rPr>
                <w:rFonts w:ascii="Calibri" w:eastAsia="Calibri" w:hAnsi="Calibri" w:cs="Calibri"/>
                <w:color w:val="000000" w:themeColor="text1"/>
                <w:sz w:val="22"/>
                <w:szCs w:val="22"/>
              </w:rPr>
              <w:t xml:space="preserve"> cloud-native database services, providing automated backup and recovery systems with enhanced data integrity and disaster recovery capabilities.</w:t>
            </w:r>
          </w:p>
        </w:tc>
        <w:tc>
          <w:tcPr>
            <w:tcW w:w="3282" w:type="dxa"/>
            <w:vMerge/>
            <w:tcBorders>
              <w:left w:val="single" w:sz="0" w:space="0" w:color="000000" w:themeColor="text1"/>
              <w:right w:val="single" w:sz="0" w:space="0" w:color="000000" w:themeColor="text1"/>
            </w:tcBorders>
            <w:vAlign w:val="center"/>
          </w:tcPr>
          <w:p w14:paraId="730C5BA2" w14:textId="77777777" w:rsidR="003178FC" w:rsidRDefault="003178FC"/>
        </w:tc>
      </w:tr>
      <w:tr w:rsidR="4C1B8C72" w14:paraId="1B4FD882"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41AA7F23" w14:textId="4E9CD080" w:rsidR="4C1B8C72" w:rsidRDefault="4C1B8C72" w:rsidP="4C1B8C72">
            <w:pPr>
              <w:spacing w:after="0"/>
            </w:pPr>
            <w:r w:rsidRPr="4C1B8C72">
              <w:rPr>
                <w:rFonts w:ascii="Calibri" w:eastAsia="Calibri" w:hAnsi="Calibri" w:cs="Calibri"/>
                <w:b/>
                <w:bCs/>
                <w:color w:val="000000" w:themeColor="text1"/>
                <w:sz w:val="22"/>
                <w:szCs w:val="22"/>
              </w:rPr>
              <w:t>Section 8, page 2</w:t>
            </w:r>
            <w:r w:rsidR="00AF1298">
              <w:rPr>
                <w:rFonts w:ascii="Calibri" w:eastAsia="Calibri" w:hAnsi="Calibri" w:cs="Calibri"/>
                <w:b/>
                <w:bCs/>
                <w:color w:val="000000" w:themeColor="text1"/>
                <w:sz w:val="22"/>
                <w:szCs w:val="22"/>
              </w:rPr>
              <w:t>7</w:t>
            </w:r>
            <w:r>
              <w:br/>
            </w:r>
            <w:r w:rsidRPr="4C1B8C72">
              <w:rPr>
                <w:rFonts w:ascii="Calibri" w:eastAsia="Calibri" w:hAnsi="Calibri" w:cs="Calibri"/>
                <w:color w:val="000000" w:themeColor="text1"/>
                <w:sz w:val="22"/>
                <w:szCs w:val="22"/>
              </w:rPr>
              <w:t>Data Analysis Platform</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2759FDBA" w14:textId="77777777" w:rsidR="00BD73C8" w:rsidRDefault="4C1B8C72" w:rsidP="00BD73C8">
            <w:pPr>
              <w:pStyle w:val="NormalWeb"/>
              <w:rPr>
                <w:color w:val="000000"/>
              </w:rPr>
            </w:pPr>
            <w:r w:rsidRPr="00BD73C8">
              <w:rPr>
                <w:rFonts w:ascii="Calibri" w:eastAsia="Calibri" w:hAnsi="Calibri" w:cs="Calibri"/>
                <w:b/>
                <w:bCs/>
                <w:color w:val="000000" w:themeColor="text1"/>
                <w:sz w:val="22"/>
                <w:szCs w:val="22"/>
              </w:rPr>
              <w:t>Previous text:</w:t>
            </w:r>
            <w:r w:rsidRPr="4C1B8C72">
              <w:rPr>
                <w:rFonts w:ascii="Calibri" w:eastAsia="Calibri" w:hAnsi="Calibri" w:cs="Calibri"/>
                <w:color w:val="000000" w:themeColor="text1"/>
                <w:sz w:val="22"/>
                <w:szCs w:val="22"/>
              </w:rPr>
              <w:t xml:space="preserve"> </w:t>
            </w:r>
            <w:r w:rsidRPr="00BD73C8">
              <w:rPr>
                <w:rFonts w:ascii="Calibri" w:eastAsia="Calibri" w:hAnsi="Calibri" w:cs="Calibri"/>
                <w:color w:val="000000" w:themeColor="text1"/>
                <w:sz w:val="22"/>
                <w:szCs w:val="22"/>
              </w:rPr>
              <w:t xml:space="preserve">Data analysis involving the Consortium Shared Data and RP1/RP2 de-identified data will initially be facilitated through the CSAG/UCT </w:t>
            </w:r>
            <w:proofErr w:type="spellStart"/>
            <w:r w:rsidRPr="00BD73C8">
              <w:rPr>
                <w:rFonts w:ascii="Calibri" w:eastAsia="Calibri" w:hAnsi="Calibri" w:cs="Calibri"/>
                <w:color w:val="000000" w:themeColor="text1"/>
                <w:sz w:val="22"/>
                <w:szCs w:val="22"/>
              </w:rPr>
              <w:t>Jupyter</w:t>
            </w:r>
            <w:proofErr w:type="spellEnd"/>
            <w:r w:rsidRPr="00BD73C8">
              <w:rPr>
                <w:rFonts w:ascii="Calibri" w:eastAsia="Calibri" w:hAnsi="Calibri" w:cs="Calibri"/>
                <w:color w:val="000000" w:themeColor="text1"/>
                <w:sz w:val="22"/>
                <w:szCs w:val="22"/>
              </w:rPr>
              <w:t xml:space="preserve"> Hub platform</w:t>
            </w:r>
            <w:r w:rsidR="00BD73C8" w:rsidRPr="00BD73C8">
              <w:rPr>
                <w:rFonts w:ascii="Calibri" w:eastAsia="Calibri" w:hAnsi="Calibri" w:cs="Calibri"/>
                <w:color w:val="000000" w:themeColor="text1"/>
                <w:sz w:val="22"/>
                <w:szCs w:val="22"/>
              </w:rPr>
              <w:t xml:space="preserve"> </w:t>
            </w:r>
            <w:r w:rsidR="00BD73C8" w:rsidRPr="00BD73C8">
              <w:rPr>
                <w:rFonts w:ascii="Calibri" w:hAnsi="Calibri" w:cs="Calibri"/>
                <w:color w:val="000000"/>
                <w:sz w:val="22"/>
                <w:szCs w:val="22"/>
              </w:rPr>
              <w:t>and cloud-based computational resources with GPU acceleration for complex analyses, improved processing times, and enhanced analytical capabilities</w:t>
            </w:r>
          </w:p>
          <w:p w14:paraId="73ECAA9D" w14:textId="4267990B" w:rsidR="4C1B8C72" w:rsidRDefault="4C1B8C72" w:rsidP="4C1B8C72">
            <w:pPr>
              <w:spacing w:after="0"/>
            </w:pPr>
            <w:r>
              <w:br/>
            </w:r>
            <w:r>
              <w:br/>
            </w:r>
            <w:r w:rsidRPr="00BD73C8">
              <w:rPr>
                <w:rFonts w:ascii="Calibri" w:eastAsia="Calibri" w:hAnsi="Calibri" w:cs="Calibri"/>
                <w:b/>
                <w:bCs/>
                <w:color w:val="000000" w:themeColor="text1"/>
                <w:sz w:val="22"/>
                <w:szCs w:val="22"/>
              </w:rPr>
              <w:t>New text:</w:t>
            </w:r>
            <w:r w:rsidRPr="4C1B8C72">
              <w:rPr>
                <w:rFonts w:ascii="Calibri" w:eastAsia="Calibri" w:hAnsi="Calibri" w:cs="Calibri"/>
                <w:color w:val="000000" w:themeColor="text1"/>
                <w:sz w:val="22"/>
                <w:szCs w:val="22"/>
              </w:rPr>
              <w:t xml:space="preserve"> Data analysis involving the Consortium Shared Data and RP1/RP2 de-identified data will initially be facilitated through the CSAG/UCT </w:t>
            </w:r>
            <w:proofErr w:type="spellStart"/>
            <w:r w:rsidRPr="4C1B8C72">
              <w:rPr>
                <w:rFonts w:ascii="Calibri" w:eastAsia="Calibri" w:hAnsi="Calibri" w:cs="Calibri"/>
                <w:color w:val="000000" w:themeColor="text1"/>
                <w:sz w:val="22"/>
                <w:szCs w:val="22"/>
              </w:rPr>
              <w:t>Jupyter</w:t>
            </w:r>
            <w:proofErr w:type="spellEnd"/>
            <w:r w:rsidRPr="4C1B8C72">
              <w:rPr>
                <w:rFonts w:ascii="Calibri" w:eastAsia="Calibri" w:hAnsi="Calibri" w:cs="Calibri"/>
                <w:color w:val="000000" w:themeColor="text1"/>
                <w:sz w:val="22"/>
                <w:szCs w:val="22"/>
              </w:rPr>
              <w:t xml:space="preserve"> Hub platform and will transition to being supported by cloud-based computational resources with GPU acceleration for complex analyses, improved processing times, and enhanced analytical capabilities.</w:t>
            </w:r>
          </w:p>
        </w:tc>
        <w:tc>
          <w:tcPr>
            <w:tcW w:w="3282" w:type="dxa"/>
            <w:vMerge/>
            <w:tcBorders>
              <w:left w:val="single" w:sz="0" w:space="0" w:color="000000" w:themeColor="text1"/>
              <w:right w:val="single" w:sz="0" w:space="0" w:color="000000" w:themeColor="text1"/>
            </w:tcBorders>
            <w:vAlign w:val="center"/>
          </w:tcPr>
          <w:p w14:paraId="1380EFDE" w14:textId="77777777" w:rsidR="003178FC" w:rsidRDefault="003178FC"/>
        </w:tc>
      </w:tr>
      <w:tr w:rsidR="4C1B8C72" w14:paraId="09401236"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2800E7B6" w14:textId="6933E9E4" w:rsidR="4C1B8C72" w:rsidRDefault="4C1B8C72" w:rsidP="4C1B8C72">
            <w:pPr>
              <w:spacing w:after="0"/>
            </w:pPr>
            <w:r w:rsidRPr="4C1B8C72">
              <w:rPr>
                <w:rFonts w:ascii="Calibri" w:eastAsia="Calibri" w:hAnsi="Calibri" w:cs="Calibri"/>
                <w:b/>
                <w:bCs/>
                <w:color w:val="000000" w:themeColor="text1"/>
                <w:sz w:val="22"/>
                <w:szCs w:val="22"/>
              </w:rPr>
              <w:t>Section 10.4, page 3</w:t>
            </w:r>
            <w:r w:rsidR="00AF1298">
              <w:rPr>
                <w:rFonts w:ascii="Calibri" w:eastAsia="Calibri" w:hAnsi="Calibri" w:cs="Calibri"/>
                <w:b/>
                <w:bCs/>
                <w:color w:val="000000" w:themeColor="text1"/>
                <w:sz w:val="22"/>
                <w:szCs w:val="22"/>
              </w:rPr>
              <w:t>3</w:t>
            </w:r>
            <w:r>
              <w:br/>
            </w:r>
            <w:r w:rsidRPr="4C1B8C72">
              <w:rPr>
                <w:rFonts w:ascii="Calibri" w:eastAsia="Calibri" w:hAnsi="Calibri" w:cs="Calibri"/>
                <w:color w:val="000000" w:themeColor="text1"/>
                <w:sz w:val="22"/>
                <w:szCs w:val="22"/>
              </w:rPr>
              <w:t>Procedure for Making RP1/RP2 De-identified Data Available</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54CF5655" w14:textId="7BC29BAB" w:rsidR="4C1B8C72" w:rsidRDefault="4C1B8C72" w:rsidP="4C1B8C72">
            <w:pPr>
              <w:spacing w:after="0"/>
            </w:pPr>
            <w:r w:rsidRPr="00BD73C8">
              <w:rPr>
                <w:rFonts w:ascii="Calibri" w:eastAsia="Calibri" w:hAnsi="Calibri" w:cs="Calibri"/>
                <w:b/>
                <w:bCs/>
                <w:color w:val="000000" w:themeColor="text1"/>
                <w:sz w:val="22"/>
                <w:szCs w:val="22"/>
              </w:rPr>
              <w:t xml:space="preserve">New text: </w:t>
            </w:r>
            <w:r w:rsidRPr="4C1B8C72">
              <w:rPr>
                <w:rFonts w:ascii="Calibri" w:eastAsia="Calibri" w:hAnsi="Calibri" w:cs="Calibri"/>
                <w:color w:val="000000" w:themeColor="text1"/>
                <w:sz w:val="22"/>
                <w:szCs w:val="22"/>
              </w:rPr>
              <w:t>All projects, regardless of whether they involve internal HE²AT Center Consortium members or external researchers, must go through the DAC for data access approval. This ensures equitable data sharing and maintains comprehensive tracking of all projects using the data.</w:t>
            </w:r>
          </w:p>
        </w:tc>
        <w:tc>
          <w:tcPr>
            <w:tcW w:w="3282" w:type="dxa"/>
            <w:vMerge/>
            <w:tcBorders>
              <w:left w:val="single" w:sz="0" w:space="0" w:color="000000" w:themeColor="text1"/>
              <w:right w:val="single" w:sz="0" w:space="0" w:color="000000" w:themeColor="text1"/>
            </w:tcBorders>
            <w:vAlign w:val="center"/>
          </w:tcPr>
          <w:p w14:paraId="393C51BE" w14:textId="77777777" w:rsidR="003178FC" w:rsidRDefault="003178FC"/>
        </w:tc>
      </w:tr>
      <w:tr w:rsidR="4C1B8C72" w14:paraId="5F0C8E9A"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5C2853AF" w14:textId="3D206E2F" w:rsidR="4C1B8C72" w:rsidRDefault="4C1B8C72" w:rsidP="4C1B8C72">
            <w:pPr>
              <w:spacing w:after="0"/>
            </w:pPr>
            <w:r w:rsidRPr="4C1B8C72">
              <w:rPr>
                <w:rFonts w:ascii="Calibri" w:eastAsia="Calibri" w:hAnsi="Calibri" w:cs="Calibri"/>
                <w:b/>
                <w:bCs/>
                <w:color w:val="000000" w:themeColor="text1"/>
                <w:sz w:val="22"/>
                <w:szCs w:val="22"/>
              </w:rPr>
              <w:t>Section 14.1, page 4</w:t>
            </w:r>
            <w:r w:rsidR="00AF1298">
              <w:rPr>
                <w:rFonts w:ascii="Calibri" w:eastAsia="Calibri" w:hAnsi="Calibri" w:cs="Calibri"/>
                <w:b/>
                <w:bCs/>
                <w:color w:val="000000" w:themeColor="text1"/>
                <w:sz w:val="22"/>
                <w:szCs w:val="22"/>
              </w:rPr>
              <w:t>0</w:t>
            </w:r>
            <w:r>
              <w:br/>
            </w:r>
            <w:r w:rsidRPr="4C1B8C72">
              <w:rPr>
                <w:rFonts w:ascii="Calibri" w:eastAsia="Calibri" w:hAnsi="Calibri" w:cs="Calibri"/>
                <w:color w:val="000000" w:themeColor="text1"/>
                <w:sz w:val="22"/>
                <w:szCs w:val="22"/>
              </w:rPr>
              <w:t>Data Transfer, Storage and Encryption</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6E592DD7" w14:textId="1C40A6EE" w:rsidR="4C1B8C72" w:rsidRDefault="4C1B8C72" w:rsidP="4C1B8C72">
            <w:pPr>
              <w:spacing w:after="0"/>
            </w:pPr>
            <w:r w:rsidRPr="00BD73C8">
              <w:rPr>
                <w:rFonts w:ascii="Calibri" w:eastAsia="Calibri" w:hAnsi="Calibri" w:cs="Calibri"/>
                <w:b/>
                <w:bCs/>
                <w:color w:val="000000" w:themeColor="text1"/>
                <w:sz w:val="22"/>
                <w:szCs w:val="22"/>
              </w:rPr>
              <w:t>Previous text</w:t>
            </w:r>
            <w:r w:rsidRPr="4C1B8C72">
              <w:rPr>
                <w:rFonts w:ascii="Calibri" w:eastAsia="Calibri" w:hAnsi="Calibri" w:cs="Calibri"/>
                <w:color w:val="000000" w:themeColor="text1"/>
                <w:sz w:val="22"/>
                <w:szCs w:val="22"/>
              </w:rPr>
              <w:t>: Once transferred to UCT</w:t>
            </w:r>
            <w:r>
              <w:br/>
            </w:r>
            <w:r>
              <w:br/>
            </w:r>
            <w:r w:rsidRPr="00BD73C8">
              <w:rPr>
                <w:rFonts w:ascii="Calibri" w:eastAsia="Calibri" w:hAnsi="Calibri" w:cs="Calibri"/>
                <w:b/>
                <w:bCs/>
                <w:color w:val="000000" w:themeColor="text1"/>
                <w:sz w:val="22"/>
                <w:szCs w:val="22"/>
              </w:rPr>
              <w:t>New text</w:t>
            </w:r>
            <w:r w:rsidRPr="4C1B8C72">
              <w:rPr>
                <w:rFonts w:ascii="Calibri" w:eastAsia="Calibri" w:hAnsi="Calibri" w:cs="Calibri"/>
                <w:color w:val="000000" w:themeColor="text1"/>
                <w:sz w:val="22"/>
                <w:szCs w:val="22"/>
              </w:rPr>
              <w:t xml:space="preserve">: Once transferred to UCT or the WHC-managed cloud infrastructure, any data identified as containing Personal Identifiers or specified by the DTA is </w:t>
            </w:r>
            <w:r w:rsidRPr="4C1B8C72">
              <w:rPr>
                <w:rFonts w:ascii="Calibri" w:eastAsia="Calibri" w:hAnsi="Calibri" w:cs="Calibri"/>
                <w:color w:val="000000" w:themeColor="text1"/>
                <w:sz w:val="22"/>
                <w:szCs w:val="22"/>
              </w:rPr>
              <w:lastRenderedPageBreak/>
              <w:t>encrypted for storage using the AES-256 encryption standard for both UCT servers and cloud storage.</w:t>
            </w:r>
          </w:p>
        </w:tc>
        <w:tc>
          <w:tcPr>
            <w:tcW w:w="3282" w:type="dxa"/>
            <w:vMerge/>
            <w:tcBorders>
              <w:left w:val="single" w:sz="0" w:space="0" w:color="000000" w:themeColor="text1"/>
              <w:right w:val="single" w:sz="0" w:space="0" w:color="000000" w:themeColor="text1"/>
            </w:tcBorders>
            <w:vAlign w:val="center"/>
          </w:tcPr>
          <w:p w14:paraId="6FA28C87" w14:textId="77777777" w:rsidR="003178FC" w:rsidRDefault="003178FC"/>
        </w:tc>
      </w:tr>
      <w:tr w:rsidR="4C1B8C72" w14:paraId="0550DAA7"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1C3E0681" w14:textId="06937CC8" w:rsidR="4C1B8C72" w:rsidRDefault="4C1B8C72" w:rsidP="4C1B8C72">
            <w:pPr>
              <w:spacing w:after="0"/>
            </w:pPr>
            <w:r w:rsidRPr="4C1B8C72">
              <w:rPr>
                <w:rFonts w:ascii="Calibri" w:eastAsia="Calibri" w:hAnsi="Calibri" w:cs="Calibri"/>
                <w:b/>
                <w:bCs/>
                <w:color w:val="000000" w:themeColor="text1"/>
                <w:sz w:val="22"/>
                <w:szCs w:val="22"/>
              </w:rPr>
              <w:t>Section 14.2, page 4</w:t>
            </w:r>
            <w:r w:rsidR="00E71696">
              <w:rPr>
                <w:rFonts w:ascii="Calibri" w:eastAsia="Calibri" w:hAnsi="Calibri" w:cs="Calibri"/>
                <w:b/>
                <w:bCs/>
                <w:color w:val="000000" w:themeColor="text1"/>
                <w:sz w:val="22"/>
                <w:szCs w:val="22"/>
              </w:rPr>
              <w:t>0</w:t>
            </w:r>
            <w:r>
              <w:br/>
            </w:r>
            <w:r w:rsidRPr="4C1B8C72">
              <w:rPr>
                <w:rFonts w:ascii="Calibri" w:eastAsia="Calibri" w:hAnsi="Calibri" w:cs="Calibri"/>
                <w:color w:val="000000" w:themeColor="text1"/>
                <w:sz w:val="22"/>
                <w:szCs w:val="22"/>
              </w:rPr>
              <w:t>Network Security</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7E8C145E" w14:textId="2ABC65CC" w:rsidR="4C1B8C72" w:rsidRDefault="4C1B8C72" w:rsidP="4C1B8C72">
            <w:pPr>
              <w:spacing w:after="0"/>
            </w:pPr>
            <w:r w:rsidRPr="00BD73C8">
              <w:rPr>
                <w:rFonts w:ascii="Calibri" w:eastAsia="Calibri" w:hAnsi="Calibri" w:cs="Calibri"/>
                <w:b/>
                <w:bCs/>
                <w:color w:val="000000" w:themeColor="text1"/>
                <w:sz w:val="22"/>
                <w:szCs w:val="22"/>
              </w:rPr>
              <w:t>Previous text:</w:t>
            </w:r>
            <w:r w:rsidRPr="4C1B8C72">
              <w:rPr>
                <w:rFonts w:ascii="Calibri" w:eastAsia="Calibri" w:hAnsi="Calibri" w:cs="Calibri"/>
                <w:color w:val="000000" w:themeColor="text1"/>
                <w:sz w:val="22"/>
                <w:szCs w:val="22"/>
              </w:rPr>
              <w:t xml:space="preserve"> The CSAG compute infrastructure benefits from UCT's comprehensive security policies.</w:t>
            </w:r>
            <w:r>
              <w:br/>
            </w:r>
            <w:r>
              <w:br/>
            </w:r>
            <w:r w:rsidRPr="00BD73C8">
              <w:rPr>
                <w:rFonts w:ascii="Calibri" w:eastAsia="Calibri" w:hAnsi="Calibri" w:cs="Calibri"/>
                <w:b/>
                <w:bCs/>
                <w:color w:val="000000" w:themeColor="text1"/>
                <w:sz w:val="22"/>
                <w:szCs w:val="22"/>
              </w:rPr>
              <w:t>New text:</w:t>
            </w:r>
            <w:r w:rsidRPr="4C1B8C72">
              <w:rPr>
                <w:rFonts w:ascii="Calibri" w:eastAsia="Calibri" w:hAnsi="Calibri" w:cs="Calibri"/>
                <w:color w:val="000000" w:themeColor="text1"/>
                <w:sz w:val="22"/>
                <w:szCs w:val="22"/>
              </w:rPr>
              <w:t xml:space="preserve"> The CSAG compute infrastructure benefits from UCT's comprehensive security policies, and from the start of Year 5, from WHC-managed cloud security architecture with 24/7 Security Operations Centre (SOC) monitoring and advanced threat detection systems for improved security posture and compliance.</w:t>
            </w:r>
            <w:r>
              <w:br/>
            </w:r>
            <w:r>
              <w:br/>
            </w:r>
            <w:r w:rsidRPr="00BD73C8">
              <w:rPr>
                <w:rFonts w:ascii="Calibri" w:eastAsia="Calibri" w:hAnsi="Calibri" w:cs="Calibri"/>
                <w:b/>
                <w:bCs/>
                <w:color w:val="000000" w:themeColor="text1"/>
                <w:sz w:val="22"/>
                <w:szCs w:val="22"/>
              </w:rPr>
              <w:t>Also changed:</w:t>
            </w:r>
            <w:r w:rsidRPr="4C1B8C72">
              <w:rPr>
                <w:rFonts w:ascii="Calibri" w:eastAsia="Calibri" w:hAnsi="Calibri" w:cs="Calibri"/>
                <w:color w:val="000000" w:themeColor="text1"/>
                <w:sz w:val="22"/>
                <w:szCs w:val="22"/>
              </w:rPr>
              <w:t xml:space="preserve"> UCT's Cisco firewall → UCT's Cisco firewall and cloud-native firewall services</w:t>
            </w:r>
          </w:p>
        </w:tc>
        <w:tc>
          <w:tcPr>
            <w:tcW w:w="3282" w:type="dxa"/>
            <w:vMerge/>
            <w:tcBorders>
              <w:left w:val="single" w:sz="0" w:space="0" w:color="000000" w:themeColor="text1"/>
              <w:right w:val="single" w:sz="0" w:space="0" w:color="000000" w:themeColor="text1"/>
            </w:tcBorders>
            <w:vAlign w:val="center"/>
          </w:tcPr>
          <w:p w14:paraId="112086C7" w14:textId="77777777" w:rsidR="003178FC" w:rsidRDefault="003178FC"/>
        </w:tc>
      </w:tr>
      <w:tr w:rsidR="4C1B8C72" w14:paraId="1B592682" w14:textId="77777777" w:rsidTr="00E71696">
        <w:trPr>
          <w:trHeight w:val="472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3DED5B20" w14:textId="5E30D082" w:rsidR="4C1B8C72" w:rsidRDefault="4C1B8C72" w:rsidP="4C1B8C72">
            <w:pPr>
              <w:spacing w:after="0"/>
            </w:pPr>
            <w:r w:rsidRPr="4C1B8C72">
              <w:rPr>
                <w:rFonts w:ascii="Calibri" w:eastAsia="Calibri" w:hAnsi="Calibri" w:cs="Calibri"/>
                <w:b/>
                <w:bCs/>
                <w:color w:val="000000" w:themeColor="text1"/>
                <w:sz w:val="22"/>
                <w:szCs w:val="22"/>
              </w:rPr>
              <w:t>Section 14.3, page 4</w:t>
            </w:r>
            <w:r w:rsidR="00E71696">
              <w:rPr>
                <w:rFonts w:ascii="Calibri" w:eastAsia="Calibri" w:hAnsi="Calibri" w:cs="Calibri"/>
                <w:b/>
                <w:bCs/>
                <w:color w:val="000000" w:themeColor="text1"/>
                <w:sz w:val="22"/>
                <w:szCs w:val="22"/>
              </w:rPr>
              <w:t>0</w:t>
            </w:r>
            <w:r>
              <w:br/>
            </w:r>
            <w:r w:rsidRPr="4C1B8C72">
              <w:rPr>
                <w:rFonts w:ascii="Calibri" w:eastAsia="Calibri" w:hAnsi="Calibri" w:cs="Calibri"/>
                <w:color w:val="000000" w:themeColor="text1"/>
                <w:sz w:val="22"/>
                <w:szCs w:val="22"/>
              </w:rPr>
              <w:t xml:space="preserve">Local Authentication and </w:t>
            </w:r>
            <w:proofErr w:type="spellStart"/>
            <w:r w:rsidRPr="4C1B8C72">
              <w:rPr>
                <w:rFonts w:ascii="Calibri" w:eastAsia="Calibri" w:hAnsi="Calibri" w:cs="Calibri"/>
                <w:color w:val="000000" w:themeColor="text1"/>
                <w:sz w:val="22"/>
                <w:szCs w:val="22"/>
              </w:rPr>
              <w:t>Authorisation</w:t>
            </w:r>
            <w:proofErr w:type="spellEnd"/>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2C4BF5CF" w14:textId="2BCE4B71" w:rsidR="4C1B8C72" w:rsidRDefault="4C1B8C72" w:rsidP="4C1B8C72">
            <w:pPr>
              <w:spacing w:after="0"/>
            </w:pPr>
            <w:r w:rsidRPr="00BD73C8">
              <w:rPr>
                <w:rFonts w:ascii="Calibri" w:eastAsia="Calibri" w:hAnsi="Calibri" w:cs="Calibri"/>
                <w:b/>
                <w:bCs/>
                <w:color w:val="000000" w:themeColor="text1"/>
                <w:sz w:val="22"/>
                <w:szCs w:val="22"/>
              </w:rPr>
              <w:t>Previous text</w:t>
            </w:r>
            <w:r w:rsidRPr="4C1B8C72">
              <w:rPr>
                <w:rFonts w:ascii="Calibri" w:eastAsia="Calibri" w:hAnsi="Calibri" w:cs="Calibri"/>
                <w:color w:val="000000" w:themeColor="text1"/>
                <w:sz w:val="22"/>
                <w:szCs w:val="22"/>
              </w:rPr>
              <w:t xml:space="preserve">: Beyond UCT's broader security measures, the CSAG/UCT platform employs additional authentication and </w:t>
            </w:r>
            <w:proofErr w:type="spellStart"/>
            <w:r w:rsidRPr="4C1B8C72">
              <w:rPr>
                <w:rFonts w:ascii="Calibri" w:eastAsia="Calibri" w:hAnsi="Calibri" w:cs="Calibri"/>
                <w:color w:val="000000" w:themeColor="text1"/>
                <w:sz w:val="22"/>
                <w:szCs w:val="22"/>
              </w:rPr>
              <w:t>authorisation</w:t>
            </w:r>
            <w:proofErr w:type="spellEnd"/>
            <w:r w:rsidRPr="4C1B8C72">
              <w:rPr>
                <w:rFonts w:ascii="Calibri" w:eastAsia="Calibri" w:hAnsi="Calibri" w:cs="Calibri"/>
                <w:color w:val="000000" w:themeColor="text1"/>
                <w:sz w:val="22"/>
                <w:szCs w:val="22"/>
              </w:rPr>
              <w:t xml:space="preserve"> protocols</w:t>
            </w:r>
            <w:r>
              <w:br/>
            </w:r>
            <w:r>
              <w:br/>
            </w:r>
            <w:r w:rsidRPr="00BD73C8">
              <w:rPr>
                <w:rFonts w:ascii="Calibri" w:eastAsia="Calibri" w:hAnsi="Calibri" w:cs="Calibri"/>
                <w:b/>
                <w:bCs/>
                <w:color w:val="000000" w:themeColor="text1"/>
                <w:sz w:val="22"/>
                <w:szCs w:val="22"/>
              </w:rPr>
              <w:t>New text:</w:t>
            </w:r>
            <w:r w:rsidRPr="4C1B8C72">
              <w:rPr>
                <w:rFonts w:ascii="Calibri" w:eastAsia="Calibri" w:hAnsi="Calibri" w:cs="Calibri"/>
                <w:color w:val="000000" w:themeColor="text1"/>
                <w:sz w:val="22"/>
                <w:szCs w:val="22"/>
              </w:rPr>
              <w:t xml:space="preserve"> Beyond UCT's broader security measures, the CSAG/UCT platform employs additional authentication and </w:t>
            </w:r>
            <w:proofErr w:type="spellStart"/>
            <w:r w:rsidRPr="4C1B8C72">
              <w:rPr>
                <w:rFonts w:ascii="Calibri" w:eastAsia="Calibri" w:hAnsi="Calibri" w:cs="Calibri"/>
                <w:color w:val="000000" w:themeColor="text1"/>
                <w:sz w:val="22"/>
                <w:szCs w:val="22"/>
              </w:rPr>
              <w:t>authorisation</w:t>
            </w:r>
            <w:proofErr w:type="spellEnd"/>
            <w:r w:rsidRPr="4C1B8C72">
              <w:rPr>
                <w:rFonts w:ascii="Calibri" w:eastAsia="Calibri" w:hAnsi="Calibri" w:cs="Calibri"/>
                <w:color w:val="000000" w:themeColor="text1"/>
                <w:sz w:val="22"/>
                <w:szCs w:val="22"/>
              </w:rPr>
              <w:t xml:space="preserve"> protocols alongside cloud-specific access controls and automated compliance reporting for streamlined governance oversight during the transition period.</w:t>
            </w:r>
          </w:p>
        </w:tc>
        <w:tc>
          <w:tcPr>
            <w:tcW w:w="3282" w:type="dxa"/>
            <w:vMerge/>
            <w:tcBorders>
              <w:left w:val="single" w:sz="0" w:space="0" w:color="000000" w:themeColor="text1"/>
              <w:right w:val="single" w:sz="0" w:space="0" w:color="000000" w:themeColor="text1"/>
            </w:tcBorders>
            <w:vAlign w:val="center"/>
          </w:tcPr>
          <w:p w14:paraId="5282158E" w14:textId="77777777" w:rsidR="003178FC" w:rsidRDefault="003178FC"/>
        </w:tc>
      </w:tr>
      <w:tr w:rsidR="001A249E" w14:paraId="2F7FD9BD" w14:textId="77777777" w:rsidTr="008E659F">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6D07CA1F" w14:textId="2EAEC023" w:rsidR="001A249E" w:rsidRPr="4C1B8C72" w:rsidRDefault="001A249E" w:rsidP="00E71696">
            <w:pPr>
              <w:spacing w:after="0"/>
              <w:rPr>
                <w:rFonts w:ascii="Calibri" w:eastAsia="Calibri" w:hAnsi="Calibri" w:cs="Calibri"/>
                <w:b/>
                <w:bCs/>
                <w:color w:val="000000" w:themeColor="text1"/>
                <w:sz w:val="22"/>
                <w:szCs w:val="22"/>
              </w:rPr>
            </w:pP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vAlign w:val="center"/>
          </w:tcPr>
          <w:p w14:paraId="5EE1FE2C" w14:textId="020A9B43" w:rsidR="001A249E" w:rsidRPr="00BD73C8" w:rsidRDefault="001A249E" w:rsidP="001A249E">
            <w:pPr>
              <w:spacing w:after="0"/>
              <w:rPr>
                <w:rFonts w:ascii="Calibri" w:eastAsia="Calibri" w:hAnsi="Calibri" w:cs="Calibri"/>
                <w:b/>
                <w:bCs/>
                <w:color w:val="000000" w:themeColor="text1"/>
                <w:sz w:val="22"/>
                <w:szCs w:val="22"/>
              </w:rPr>
            </w:pPr>
          </w:p>
        </w:tc>
        <w:tc>
          <w:tcPr>
            <w:tcW w:w="3282" w:type="dxa"/>
            <w:vMerge/>
            <w:tcBorders>
              <w:left w:val="single" w:sz="0" w:space="0" w:color="000000" w:themeColor="text1"/>
              <w:right w:val="single" w:sz="0" w:space="0" w:color="000000" w:themeColor="text1"/>
            </w:tcBorders>
            <w:vAlign w:val="center"/>
          </w:tcPr>
          <w:p w14:paraId="1EE0C204" w14:textId="77777777" w:rsidR="001A249E" w:rsidRDefault="001A249E" w:rsidP="001A249E"/>
        </w:tc>
      </w:tr>
      <w:tr w:rsidR="001A249E" w14:paraId="725A8CD8"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58DA822E" w14:textId="706C4D8D" w:rsidR="001A249E" w:rsidRDefault="001A249E" w:rsidP="001A249E">
            <w:pPr>
              <w:spacing w:after="0"/>
            </w:pPr>
            <w:r w:rsidRPr="4C1B8C72">
              <w:rPr>
                <w:rFonts w:ascii="Calibri" w:eastAsia="Calibri" w:hAnsi="Calibri" w:cs="Calibri"/>
                <w:b/>
                <w:bCs/>
                <w:color w:val="000000" w:themeColor="text1"/>
                <w:sz w:val="22"/>
                <w:szCs w:val="22"/>
              </w:rPr>
              <w:lastRenderedPageBreak/>
              <w:t>Section 14 (end), page 4</w:t>
            </w:r>
            <w:r w:rsidR="00E71696">
              <w:rPr>
                <w:rFonts w:ascii="Calibri" w:eastAsia="Calibri" w:hAnsi="Calibri" w:cs="Calibri"/>
                <w:b/>
                <w:bCs/>
                <w:color w:val="000000" w:themeColor="text1"/>
                <w:sz w:val="22"/>
                <w:szCs w:val="22"/>
              </w:rPr>
              <w:t>1</w:t>
            </w:r>
            <w:r>
              <w:br/>
            </w:r>
            <w:r w:rsidRPr="4C1B8C72">
              <w:rPr>
                <w:rFonts w:ascii="Calibri" w:eastAsia="Calibri" w:hAnsi="Calibri" w:cs="Calibri"/>
                <w:color w:val="000000" w:themeColor="text1"/>
                <w:sz w:val="22"/>
                <w:szCs w:val="22"/>
              </w:rPr>
              <w:t>Enhanced Cloud Security Measures</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53581E71" w14:textId="77777777" w:rsidR="001A249E" w:rsidRDefault="001A249E" w:rsidP="001A249E">
            <w:pPr>
              <w:spacing w:after="0"/>
              <w:rPr>
                <w:rFonts w:ascii="Calibri" w:eastAsia="Calibri" w:hAnsi="Calibri" w:cs="Calibri"/>
                <w:color w:val="000000" w:themeColor="text1"/>
                <w:sz w:val="22"/>
                <w:szCs w:val="22"/>
              </w:rPr>
            </w:pPr>
            <w:r w:rsidRPr="00BD73C8">
              <w:rPr>
                <w:rFonts w:ascii="Calibri" w:eastAsia="Calibri" w:hAnsi="Calibri" w:cs="Calibri"/>
                <w:b/>
                <w:bCs/>
                <w:color w:val="000000" w:themeColor="text1"/>
                <w:sz w:val="22"/>
                <w:szCs w:val="22"/>
              </w:rPr>
              <w:t>New section added:</w:t>
            </w:r>
            <w:r w:rsidRPr="4C1B8C72">
              <w:rPr>
                <w:rFonts w:ascii="Calibri" w:eastAsia="Calibri" w:hAnsi="Calibri" w:cs="Calibri"/>
                <w:color w:val="000000" w:themeColor="text1"/>
                <w:sz w:val="22"/>
                <w:szCs w:val="22"/>
              </w:rPr>
              <w:t xml:space="preserve"> From the start of Year 5, enhanced cloud security measures include:</w:t>
            </w:r>
            <w:r>
              <w:br/>
            </w:r>
            <w:r w:rsidRPr="4C1B8C72">
              <w:rPr>
                <w:rFonts w:ascii="Calibri" w:eastAsia="Calibri" w:hAnsi="Calibri" w:cs="Calibri"/>
                <w:color w:val="000000" w:themeColor="text1"/>
                <w:sz w:val="22"/>
                <w:szCs w:val="22"/>
              </w:rPr>
              <w:t>• AES-256 Encryption: All data at rest and in transit</w:t>
            </w:r>
            <w:r>
              <w:br/>
            </w:r>
            <w:r w:rsidRPr="4C1B8C72">
              <w:rPr>
                <w:rFonts w:ascii="Calibri" w:eastAsia="Calibri" w:hAnsi="Calibri" w:cs="Calibri"/>
                <w:color w:val="000000" w:themeColor="text1"/>
                <w:sz w:val="22"/>
                <w:szCs w:val="22"/>
              </w:rPr>
              <w:t>• 24/7 SOC Monitoring: Continuous security monitoring and threat detection</w:t>
            </w:r>
            <w:r>
              <w:br/>
            </w:r>
            <w:r w:rsidRPr="4C1B8C72">
              <w:rPr>
                <w:rFonts w:ascii="Calibri" w:eastAsia="Calibri" w:hAnsi="Calibri" w:cs="Calibri"/>
                <w:color w:val="000000" w:themeColor="text1"/>
                <w:sz w:val="22"/>
                <w:szCs w:val="22"/>
              </w:rPr>
              <w:t>• Role-based Access Controls: Multi-factor authentication and granular permissions</w:t>
            </w:r>
            <w:r>
              <w:br/>
            </w:r>
            <w:r w:rsidRPr="4C1B8C72">
              <w:rPr>
                <w:rFonts w:ascii="Calibri" w:eastAsia="Calibri" w:hAnsi="Calibri" w:cs="Calibri"/>
                <w:color w:val="000000" w:themeColor="text1"/>
                <w:sz w:val="22"/>
                <w:szCs w:val="22"/>
              </w:rPr>
              <w:t>• Automated Backup Systems: Enhanced disaster recovery capabilities</w:t>
            </w:r>
            <w:r>
              <w:br/>
            </w:r>
            <w:r w:rsidRPr="4C1B8C72">
              <w:rPr>
                <w:rFonts w:ascii="Calibri" w:eastAsia="Calibri" w:hAnsi="Calibri" w:cs="Calibri"/>
                <w:color w:val="000000" w:themeColor="text1"/>
                <w:sz w:val="22"/>
                <w:szCs w:val="22"/>
              </w:rPr>
              <w:t>• Compliance Monitoring: Automated reporting for regulatory compliance</w:t>
            </w:r>
          </w:p>
          <w:p w14:paraId="438735A9" w14:textId="77777777" w:rsidR="001A249E" w:rsidRDefault="001A249E" w:rsidP="001A249E">
            <w:pPr>
              <w:spacing w:after="0"/>
              <w:rPr>
                <w:rFonts w:ascii="Calibri" w:eastAsia="Calibri" w:hAnsi="Calibri" w:cs="Calibri"/>
                <w:color w:val="000000" w:themeColor="text1"/>
                <w:sz w:val="22"/>
                <w:szCs w:val="22"/>
              </w:rPr>
            </w:pPr>
          </w:p>
          <w:p w14:paraId="051F8325" w14:textId="77777777" w:rsidR="001A249E" w:rsidRDefault="001A249E" w:rsidP="001A249E">
            <w:pPr>
              <w:spacing w:after="0"/>
              <w:rPr>
                <w:rFonts w:ascii="Calibri" w:eastAsia="Calibri" w:hAnsi="Calibri" w:cs="Calibri"/>
                <w:color w:val="000000" w:themeColor="text1"/>
                <w:sz w:val="22"/>
                <w:szCs w:val="22"/>
              </w:rPr>
            </w:pPr>
          </w:p>
          <w:p w14:paraId="2CC9E66C" w14:textId="77777777" w:rsidR="001A249E" w:rsidRDefault="001A249E" w:rsidP="001A249E">
            <w:pPr>
              <w:spacing w:after="0"/>
              <w:rPr>
                <w:rFonts w:ascii="Calibri" w:eastAsia="Calibri" w:hAnsi="Calibri" w:cs="Calibri"/>
                <w:color w:val="000000" w:themeColor="text1"/>
                <w:sz w:val="22"/>
                <w:szCs w:val="22"/>
              </w:rPr>
            </w:pPr>
          </w:p>
          <w:p w14:paraId="51A8EEB2" w14:textId="60C9C2FC" w:rsidR="001A249E" w:rsidRDefault="001A249E" w:rsidP="001A249E">
            <w:pPr>
              <w:spacing w:after="0"/>
            </w:pPr>
          </w:p>
        </w:tc>
        <w:tc>
          <w:tcPr>
            <w:tcW w:w="3282" w:type="dxa"/>
            <w:vMerge/>
            <w:tcBorders>
              <w:left w:val="single" w:sz="0" w:space="0" w:color="000000" w:themeColor="text1"/>
              <w:right w:val="single" w:sz="0" w:space="0" w:color="000000" w:themeColor="text1"/>
            </w:tcBorders>
            <w:vAlign w:val="center"/>
          </w:tcPr>
          <w:p w14:paraId="712023EF" w14:textId="77777777" w:rsidR="001A249E" w:rsidRDefault="001A249E" w:rsidP="001A249E"/>
        </w:tc>
      </w:tr>
      <w:tr w:rsidR="00E71696" w14:paraId="707A3AA5" w14:textId="77777777" w:rsidTr="00547FD4">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3CB113F6" w14:textId="77777777" w:rsidR="00E71696" w:rsidRDefault="00E71696" w:rsidP="00E71696">
            <w:pPr>
              <w:spacing w:after="0"/>
              <w:rPr>
                <w:rFonts w:ascii="Calibri" w:eastAsia="Calibri" w:hAnsi="Calibri" w:cs="Calibri"/>
                <w:b/>
                <w:bCs/>
                <w:color w:val="000000" w:themeColor="text1"/>
                <w:sz w:val="22"/>
                <w:szCs w:val="22"/>
              </w:rPr>
            </w:pPr>
            <w:r w:rsidRPr="4C1B8C72">
              <w:rPr>
                <w:rFonts w:ascii="Calibri" w:eastAsia="Calibri" w:hAnsi="Calibri" w:cs="Calibri"/>
                <w:b/>
                <w:bCs/>
                <w:color w:val="000000" w:themeColor="text1"/>
                <w:sz w:val="22"/>
                <w:szCs w:val="22"/>
              </w:rPr>
              <w:t xml:space="preserve">Section </w:t>
            </w:r>
            <w:r>
              <w:rPr>
                <w:rFonts w:ascii="Calibri" w:eastAsia="Calibri" w:hAnsi="Calibri" w:cs="Calibri"/>
                <w:b/>
                <w:bCs/>
                <w:color w:val="000000" w:themeColor="text1"/>
                <w:sz w:val="22"/>
                <w:szCs w:val="22"/>
              </w:rPr>
              <w:t>15</w:t>
            </w:r>
            <w:r w:rsidRPr="4C1B8C72">
              <w:rPr>
                <w:rFonts w:ascii="Calibri" w:eastAsia="Calibri" w:hAnsi="Calibri" w:cs="Calibri"/>
                <w:b/>
                <w:bCs/>
                <w:color w:val="000000" w:themeColor="text1"/>
                <w:sz w:val="22"/>
                <w:szCs w:val="22"/>
              </w:rPr>
              <w:t>, page 4</w:t>
            </w:r>
            <w:r>
              <w:rPr>
                <w:rFonts w:ascii="Calibri" w:eastAsia="Calibri" w:hAnsi="Calibri" w:cs="Calibri"/>
                <w:b/>
                <w:bCs/>
                <w:color w:val="000000" w:themeColor="text1"/>
                <w:sz w:val="22"/>
                <w:szCs w:val="22"/>
              </w:rPr>
              <w:t>2</w:t>
            </w:r>
          </w:p>
          <w:p w14:paraId="37812B3D" w14:textId="70579882" w:rsidR="00E71696" w:rsidRPr="4C1B8C72" w:rsidRDefault="00E71696" w:rsidP="00E71696">
            <w:pPr>
              <w:spacing w:after="0"/>
              <w:rPr>
                <w:rFonts w:ascii="Calibri" w:eastAsia="Calibri" w:hAnsi="Calibri" w:cs="Calibri"/>
                <w:b/>
                <w:bCs/>
                <w:color w:val="000000" w:themeColor="text1"/>
                <w:sz w:val="22"/>
                <w:szCs w:val="22"/>
              </w:rPr>
            </w:pPr>
            <w:r>
              <w:rPr>
                <w:rFonts w:ascii="Calibri" w:eastAsia="Calibri" w:hAnsi="Calibri" w:cs="Calibri"/>
                <w:color w:val="000000" w:themeColor="text1"/>
                <w:sz w:val="22"/>
                <w:szCs w:val="22"/>
              </w:rPr>
              <w:t xml:space="preserve">Roles and responsibilities </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vAlign w:val="center"/>
          </w:tcPr>
          <w:p w14:paraId="71648EC3" w14:textId="6B82B2C1" w:rsidR="00E71696" w:rsidRPr="00BD73C8" w:rsidRDefault="00E71696" w:rsidP="00E71696">
            <w:pPr>
              <w:spacing w:after="0"/>
              <w:rPr>
                <w:rFonts w:ascii="Calibri" w:eastAsia="Calibri" w:hAnsi="Calibri" w:cs="Calibri"/>
                <w:b/>
                <w:bCs/>
                <w:color w:val="000000" w:themeColor="text1"/>
                <w:sz w:val="22"/>
                <w:szCs w:val="22"/>
              </w:rPr>
            </w:pPr>
            <w:r w:rsidRPr="00EF2BD6">
              <w:rPr>
                <w:rFonts w:ascii="Calibri" w:hAnsi="Calibri" w:cs="Calibri"/>
                <w:color w:val="000000"/>
                <w:sz w:val="22"/>
                <w:szCs w:val="22"/>
              </w:rPr>
              <w:t xml:space="preserve">In Version </w:t>
            </w:r>
            <w:r>
              <w:rPr>
                <w:rFonts w:ascii="Calibri" w:hAnsi="Calibri" w:cs="Calibri"/>
                <w:color w:val="000000"/>
                <w:sz w:val="22"/>
                <w:szCs w:val="22"/>
              </w:rPr>
              <w:t>2.1</w:t>
            </w:r>
            <w:r w:rsidRPr="00EF2BD6">
              <w:rPr>
                <w:rFonts w:ascii="Calibri" w:hAnsi="Calibri" w:cs="Calibri"/>
                <w:color w:val="000000"/>
                <w:sz w:val="22"/>
                <w:szCs w:val="22"/>
              </w:rPr>
              <w:t>, the table listed individual names and contact details under each role, with a focus on person-specific responsibilities. In Version 2</w:t>
            </w:r>
            <w:r>
              <w:rPr>
                <w:rFonts w:ascii="Calibri" w:hAnsi="Calibri" w:cs="Calibri"/>
                <w:color w:val="000000"/>
                <w:sz w:val="22"/>
                <w:szCs w:val="22"/>
              </w:rPr>
              <w:t>.2</w:t>
            </w:r>
            <w:r w:rsidRPr="00EF2BD6">
              <w:rPr>
                <w:rFonts w:ascii="Calibri" w:hAnsi="Calibri" w:cs="Calibri"/>
                <w:color w:val="000000"/>
                <w:sz w:val="22"/>
                <w:szCs w:val="22"/>
              </w:rPr>
              <w:t xml:space="preserve">, this was streamlined to institutions only, removing personal contact information and consolidating functions. Additional changes include the introduction of WHC alongside UCT and IBM, </w:t>
            </w:r>
            <w:proofErr w:type="spellStart"/>
            <w:r w:rsidRPr="00EF2BD6">
              <w:rPr>
                <w:rFonts w:ascii="Calibri" w:hAnsi="Calibri" w:cs="Calibri"/>
                <w:color w:val="000000"/>
                <w:sz w:val="22"/>
                <w:szCs w:val="22"/>
              </w:rPr>
              <w:t>generalising</w:t>
            </w:r>
            <w:proofErr w:type="spellEnd"/>
            <w:r w:rsidRPr="00EF2BD6">
              <w:rPr>
                <w:rFonts w:ascii="Calibri" w:hAnsi="Calibri" w:cs="Calibri"/>
                <w:color w:val="000000"/>
                <w:sz w:val="22"/>
                <w:szCs w:val="22"/>
              </w:rPr>
              <w:t xml:space="preserve"> team roles (e.g., “Consortium Partners” instead of individual </w:t>
            </w:r>
            <w:proofErr w:type="spellStart"/>
            <w:r w:rsidRPr="00EF2BD6">
              <w:rPr>
                <w:rFonts w:ascii="Calibri" w:hAnsi="Calibri" w:cs="Calibri"/>
                <w:color w:val="000000"/>
                <w:sz w:val="22"/>
                <w:szCs w:val="22"/>
              </w:rPr>
              <w:t>harmonisation</w:t>
            </w:r>
            <w:proofErr w:type="spellEnd"/>
            <w:r w:rsidRPr="00EF2BD6">
              <w:rPr>
                <w:rFonts w:ascii="Calibri" w:hAnsi="Calibri" w:cs="Calibri"/>
                <w:color w:val="000000"/>
                <w:sz w:val="22"/>
                <w:szCs w:val="22"/>
              </w:rPr>
              <w:t xml:space="preserve"> members), and combining platform management into a single entry that specifies access oversight by UCT, IBM, and WHC during Year 5.</w:t>
            </w:r>
          </w:p>
        </w:tc>
        <w:tc>
          <w:tcPr>
            <w:tcW w:w="3282" w:type="dxa"/>
            <w:vMerge/>
            <w:tcBorders>
              <w:left w:val="single" w:sz="0" w:space="0" w:color="000000" w:themeColor="text1"/>
              <w:right w:val="single" w:sz="0" w:space="0" w:color="000000" w:themeColor="text1"/>
            </w:tcBorders>
            <w:vAlign w:val="center"/>
          </w:tcPr>
          <w:p w14:paraId="39C5B33F" w14:textId="77777777" w:rsidR="00E71696" w:rsidRDefault="00E71696" w:rsidP="00E71696"/>
        </w:tc>
      </w:tr>
      <w:tr w:rsidR="00E71696" w14:paraId="0E30BECF" w14:textId="77777777" w:rsidTr="00EF2BD6">
        <w:trPr>
          <w:trHeight w:val="300"/>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302D55AE" w14:textId="703D30DD" w:rsidR="00E71696" w:rsidRDefault="00E71696" w:rsidP="00E71696">
            <w:pPr>
              <w:spacing w:after="0"/>
            </w:pPr>
            <w:r w:rsidRPr="4C1B8C72">
              <w:rPr>
                <w:rFonts w:ascii="Calibri" w:eastAsia="Calibri" w:hAnsi="Calibri" w:cs="Calibri"/>
                <w:b/>
                <w:bCs/>
                <w:color w:val="000000" w:themeColor="text1"/>
                <w:sz w:val="22"/>
                <w:szCs w:val="22"/>
              </w:rPr>
              <w:t>Section 16.2, page 44</w:t>
            </w:r>
            <w:r>
              <w:br/>
            </w:r>
            <w:r w:rsidRPr="4C1B8C72">
              <w:rPr>
                <w:rFonts w:ascii="Calibri" w:eastAsia="Calibri" w:hAnsi="Calibri" w:cs="Calibri"/>
                <w:color w:val="000000" w:themeColor="text1"/>
                <w:sz w:val="22"/>
                <w:szCs w:val="22"/>
              </w:rPr>
              <w:t>Review and Approval Process</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5F7C4969" w14:textId="77E76530" w:rsidR="00E71696" w:rsidRDefault="00E71696" w:rsidP="00E71696">
            <w:pPr>
              <w:spacing w:after="0"/>
            </w:pPr>
            <w:r w:rsidRPr="00BD73C8">
              <w:rPr>
                <w:rFonts w:ascii="Calibri" w:eastAsia="Calibri" w:hAnsi="Calibri" w:cs="Calibri"/>
                <w:b/>
                <w:bCs/>
                <w:color w:val="000000" w:themeColor="text1"/>
                <w:sz w:val="22"/>
                <w:szCs w:val="22"/>
              </w:rPr>
              <w:t>Added</w:t>
            </w:r>
            <w:r w:rsidRPr="4C1B8C72">
              <w:rPr>
                <w:rFonts w:ascii="Calibri" w:eastAsia="Calibri" w:hAnsi="Calibri" w:cs="Calibri"/>
                <w:color w:val="000000" w:themeColor="text1"/>
                <w:sz w:val="22"/>
                <w:szCs w:val="22"/>
              </w:rPr>
              <w:t>: Additional legal and compliance review will be conducted by UCT legal counsel or WHC legal representative to ensure all changes maintain legal compliance and align with institutional obligations before final approval.</w:t>
            </w:r>
          </w:p>
        </w:tc>
        <w:tc>
          <w:tcPr>
            <w:tcW w:w="3282" w:type="dxa"/>
            <w:vMerge/>
            <w:tcBorders>
              <w:left w:val="single" w:sz="0" w:space="0" w:color="000000" w:themeColor="text1"/>
              <w:right w:val="single" w:sz="0" w:space="0" w:color="000000" w:themeColor="text1"/>
            </w:tcBorders>
            <w:vAlign w:val="center"/>
          </w:tcPr>
          <w:p w14:paraId="3425D1B4" w14:textId="77777777" w:rsidR="00E71696" w:rsidRDefault="00E71696" w:rsidP="00E71696"/>
        </w:tc>
      </w:tr>
      <w:tr w:rsidR="00E71696" w14:paraId="726D6C1C" w14:textId="77777777" w:rsidTr="00EF2BD6">
        <w:trPr>
          <w:trHeight w:val="7215"/>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084A99A4" w14:textId="35C9DA59" w:rsidR="00E71696" w:rsidRDefault="00E71696" w:rsidP="00E71696">
            <w:pPr>
              <w:spacing w:after="0"/>
            </w:pPr>
            <w:r w:rsidRPr="4C1B8C72">
              <w:rPr>
                <w:rFonts w:ascii="Calibri" w:eastAsia="Calibri" w:hAnsi="Calibri" w:cs="Calibri"/>
                <w:b/>
                <w:bCs/>
                <w:color w:val="000000" w:themeColor="text1"/>
                <w:sz w:val="22"/>
                <w:szCs w:val="22"/>
              </w:rPr>
              <w:lastRenderedPageBreak/>
              <w:t>New Annex 1, page 47</w:t>
            </w:r>
            <w:r>
              <w:br/>
            </w:r>
            <w:r w:rsidRPr="4C1B8C72">
              <w:rPr>
                <w:rFonts w:ascii="Calibri" w:eastAsia="Calibri" w:hAnsi="Calibri" w:cs="Calibri"/>
                <w:color w:val="000000" w:themeColor="text1"/>
                <w:sz w:val="22"/>
                <w:szCs w:val="22"/>
              </w:rPr>
              <w:t>Transition Implementation Details</w:t>
            </w:r>
          </w:p>
        </w:tc>
        <w:tc>
          <w:tcPr>
            <w:tcW w:w="42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0" w:type="dxa"/>
              <w:left w:w="150" w:type="dxa"/>
              <w:bottom w:w="150" w:type="dxa"/>
              <w:right w:w="150" w:type="dxa"/>
            </w:tcMar>
          </w:tcPr>
          <w:p w14:paraId="3D2ED28D" w14:textId="3C5F4E27" w:rsidR="00E71696" w:rsidRDefault="00E71696" w:rsidP="00E71696">
            <w:pPr>
              <w:spacing w:after="0"/>
            </w:pPr>
            <w:r w:rsidRPr="4C1B8C72">
              <w:rPr>
                <w:rFonts w:ascii="Calibri" w:eastAsia="Calibri" w:hAnsi="Calibri" w:cs="Calibri"/>
                <w:color w:val="000000" w:themeColor="text1"/>
                <w:sz w:val="22"/>
                <w:szCs w:val="22"/>
              </w:rPr>
              <w:t>Complete new annex detailing structured 5-phase cloud migration approach including Planning and Assessment, Pilot Implementation, Gradual Migration, Full Migration, and Optimization phases with comprehensive implementation strategy and communication procedures for data providers.</w:t>
            </w:r>
          </w:p>
        </w:tc>
        <w:tc>
          <w:tcPr>
            <w:tcW w:w="3282"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29066E6" w14:textId="77777777" w:rsidR="00E71696" w:rsidRDefault="00E71696" w:rsidP="00E71696"/>
        </w:tc>
      </w:tr>
    </w:tbl>
    <w:p w14:paraId="17C9505A" w14:textId="67904FF7" w:rsidR="4C1B8C72" w:rsidRDefault="4C1B8C72" w:rsidP="4C1B8C72">
      <w:pPr>
        <w:spacing w:before="120" w:after="120"/>
      </w:pPr>
    </w:p>
    <w:p w14:paraId="3F275101" w14:textId="0C3B1F8E" w:rsidR="001A249E" w:rsidRDefault="001A249E" w:rsidP="4C1B8C72">
      <w:pPr>
        <w:rPr>
          <w:rFonts w:ascii="Times New Roman" w:eastAsia="Times New Roman" w:hAnsi="Times New Roman" w:cs="Times New Roman"/>
          <w:b/>
          <w:bCs/>
          <w:color w:val="000000" w:themeColor="text1"/>
          <w:sz w:val="32"/>
          <w:szCs w:val="32"/>
        </w:rPr>
      </w:pPr>
    </w:p>
    <w:p w14:paraId="63AFB535" w14:textId="351C04B1" w:rsidR="001A249E" w:rsidRPr="001A249E" w:rsidRDefault="001A249E" w:rsidP="001A249E">
      <w:pPr>
        <w:rPr>
          <w:rFonts w:ascii="Times New Roman" w:eastAsia="Times New Roman" w:hAnsi="Times New Roman" w:cs="Times New Roman"/>
          <w:b/>
          <w:bCs/>
          <w:color w:val="000000" w:themeColor="text1"/>
          <w:sz w:val="32"/>
          <w:szCs w:val="32"/>
        </w:rPr>
      </w:pPr>
      <w:r w:rsidRPr="4C1B8C72">
        <w:rPr>
          <w:rFonts w:ascii="Calibri" w:eastAsia="Calibri" w:hAnsi="Calibri" w:cs="Calibri"/>
          <w:b/>
          <w:bCs/>
          <w:color w:val="000000" w:themeColor="text1"/>
        </w:rPr>
        <w:t>POPIA Compliance</w:t>
      </w:r>
    </w:p>
    <w:p w14:paraId="66C79070" w14:textId="77777777" w:rsidR="001A249E" w:rsidRDefault="001A249E" w:rsidP="001A249E">
      <w:pPr>
        <w:spacing w:before="120" w:after="120"/>
      </w:pPr>
      <w:r w:rsidRPr="4C1B8C72">
        <w:rPr>
          <w:rFonts w:ascii="Calibri" w:eastAsia="Calibri" w:hAnsi="Calibri" w:cs="Calibri"/>
          <w:color w:val="000000" w:themeColor="text1"/>
          <w:sz w:val="22"/>
          <w:szCs w:val="22"/>
        </w:rPr>
        <w:t>All enhanced data management procedures maintain full POPIA compliance:</w:t>
      </w:r>
    </w:p>
    <w:p w14:paraId="10FCFEE5" w14:textId="77777777" w:rsidR="001A249E" w:rsidRDefault="001A249E" w:rsidP="001A249E">
      <w:pPr>
        <w:pStyle w:val="ListParagraph"/>
        <w:numPr>
          <w:ilvl w:val="0"/>
          <w:numId w:val="1"/>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Data stored on secure cloud servers with appropriate cross-border transfer protections</w:t>
      </w:r>
    </w:p>
    <w:p w14:paraId="54CB4160" w14:textId="77777777" w:rsidR="001A249E" w:rsidRDefault="001A249E" w:rsidP="001A249E">
      <w:pPr>
        <w:pStyle w:val="ListParagraph"/>
        <w:numPr>
          <w:ilvl w:val="0"/>
          <w:numId w:val="1"/>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Only the research team will have access to participant data through enhanced authentication protocols</w:t>
      </w:r>
    </w:p>
    <w:p w14:paraId="1497E3D5" w14:textId="77777777" w:rsidR="001A249E" w:rsidRDefault="001A249E" w:rsidP="001A249E">
      <w:pPr>
        <w:pStyle w:val="ListParagraph"/>
        <w:numPr>
          <w:ilvl w:val="0"/>
          <w:numId w:val="1"/>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Data will continue to be anonymized using participant IDs</w:t>
      </w:r>
    </w:p>
    <w:p w14:paraId="220C21B2" w14:textId="77777777" w:rsidR="001A249E" w:rsidRDefault="001A249E" w:rsidP="001A249E">
      <w:pPr>
        <w:pStyle w:val="ListParagraph"/>
        <w:numPr>
          <w:ilvl w:val="0"/>
          <w:numId w:val="1"/>
        </w:numPr>
        <w:spacing w:after="0"/>
        <w:rPr>
          <w:rFonts w:ascii="Calibri" w:eastAsia="Calibri" w:hAnsi="Calibri" w:cs="Calibri"/>
          <w:color w:val="000000" w:themeColor="text1"/>
          <w:sz w:val="22"/>
          <w:szCs w:val="22"/>
        </w:rPr>
      </w:pPr>
      <w:r w:rsidRPr="4C1B8C72">
        <w:rPr>
          <w:rFonts w:ascii="Calibri" w:eastAsia="Calibri" w:hAnsi="Calibri" w:cs="Calibri"/>
          <w:color w:val="000000" w:themeColor="text1"/>
          <w:sz w:val="22"/>
          <w:szCs w:val="22"/>
        </w:rPr>
        <w:t>All cloud infrastructure changes enhance existing compliance standards</w:t>
      </w:r>
    </w:p>
    <w:p w14:paraId="46756FCC" w14:textId="77777777" w:rsidR="001A249E" w:rsidRDefault="001A249E" w:rsidP="001A249E">
      <w:pPr>
        <w:pStyle w:val="Heading3"/>
        <w:spacing w:before="225" w:after="120"/>
      </w:pPr>
      <w:r w:rsidRPr="4C1B8C72">
        <w:rPr>
          <w:rFonts w:ascii="Calibri" w:eastAsia="Calibri" w:hAnsi="Calibri" w:cs="Calibri"/>
          <w:b/>
          <w:bCs/>
          <w:color w:val="000000" w:themeColor="text1"/>
          <w:sz w:val="24"/>
          <w:szCs w:val="24"/>
        </w:rPr>
        <w:t>Implementation</w:t>
      </w:r>
    </w:p>
    <w:p w14:paraId="224EBF8D" w14:textId="77777777" w:rsidR="001A249E" w:rsidRDefault="001A249E" w:rsidP="001A249E">
      <w:pPr>
        <w:spacing w:before="120" w:after="120"/>
      </w:pPr>
      <w:r w:rsidRPr="4C1B8C72">
        <w:rPr>
          <w:rFonts w:ascii="Calibri" w:eastAsia="Calibri" w:hAnsi="Calibri" w:cs="Calibri"/>
          <w:color w:val="000000" w:themeColor="text1"/>
          <w:sz w:val="22"/>
          <w:szCs w:val="22"/>
        </w:rPr>
        <w:t>Upon receiving research ethics committee approval, the cloud migration will be implemented following a structured 5-phase approach during Year 5. All changes enhance rather than compromise participant protection through improved technical infrastructure.</w:t>
      </w:r>
    </w:p>
    <w:p w14:paraId="4DC4A6AD" w14:textId="77777777" w:rsidR="4C1B8C72" w:rsidRDefault="4C1B8C72" w:rsidP="4C1B8C72">
      <w:pPr>
        <w:rPr>
          <w:rFonts w:ascii="Times New Roman" w:eastAsia="Times New Roman" w:hAnsi="Times New Roman" w:cs="Times New Roman"/>
          <w:b/>
          <w:bCs/>
          <w:color w:val="000000" w:themeColor="text1"/>
          <w:sz w:val="32"/>
          <w:szCs w:val="32"/>
        </w:rPr>
      </w:pPr>
    </w:p>
    <w:sectPr w:rsidR="4C1B8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387"/>
    <w:multiLevelType w:val="multilevel"/>
    <w:tmpl w:val="E0C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C77B3"/>
    <w:multiLevelType w:val="multilevel"/>
    <w:tmpl w:val="D0CA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837DB"/>
    <w:multiLevelType w:val="hybridMultilevel"/>
    <w:tmpl w:val="D2208C2E"/>
    <w:lvl w:ilvl="0" w:tplc="5A4A1EB8">
      <w:start w:val="1"/>
      <w:numFmt w:val="bullet"/>
      <w:lvlText w:val=""/>
      <w:lvlJc w:val="left"/>
      <w:pPr>
        <w:ind w:left="720" w:hanging="360"/>
      </w:pPr>
      <w:rPr>
        <w:rFonts w:ascii="Symbol" w:hAnsi="Symbol" w:hint="default"/>
      </w:rPr>
    </w:lvl>
    <w:lvl w:ilvl="1" w:tplc="F5F2DCA4">
      <w:start w:val="1"/>
      <w:numFmt w:val="bullet"/>
      <w:lvlText w:val="o"/>
      <w:lvlJc w:val="left"/>
      <w:pPr>
        <w:ind w:left="1440" w:hanging="360"/>
      </w:pPr>
      <w:rPr>
        <w:rFonts w:ascii="Courier New" w:hAnsi="Courier New" w:hint="default"/>
      </w:rPr>
    </w:lvl>
    <w:lvl w:ilvl="2" w:tplc="24A09710">
      <w:start w:val="1"/>
      <w:numFmt w:val="bullet"/>
      <w:lvlText w:val=""/>
      <w:lvlJc w:val="left"/>
      <w:pPr>
        <w:ind w:left="2160" w:hanging="360"/>
      </w:pPr>
      <w:rPr>
        <w:rFonts w:ascii="Wingdings" w:hAnsi="Wingdings" w:hint="default"/>
      </w:rPr>
    </w:lvl>
    <w:lvl w:ilvl="3" w:tplc="E18EACA6">
      <w:start w:val="1"/>
      <w:numFmt w:val="bullet"/>
      <w:lvlText w:val=""/>
      <w:lvlJc w:val="left"/>
      <w:pPr>
        <w:ind w:left="2880" w:hanging="360"/>
      </w:pPr>
      <w:rPr>
        <w:rFonts w:ascii="Symbol" w:hAnsi="Symbol" w:hint="default"/>
      </w:rPr>
    </w:lvl>
    <w:lvl w:ilvl="4" w:tplc="D2B2B8A0">
      <w:start w:val="1"/>
      <w:numFmt w:val="bullet"/>
      <w:lvlText w:val="o"/>
      <w:lvlJc w:val="left"/>
      <w:pPr>
        <w:ind w:left="3600" w:hanging="360"/>
      </w:pPr>
      <w:rPr>
        <w:rFonts w:ascii="Courier New" w:hAnsi="Courier New" w:hint="default"/>
      </w:rPr>
    </w:lvl>
    <w:lvl w:ilvl="5" w:tplc="7B62EB52">
      <w:start w:val="1"/>
      <w:numFmt w:val="bullet"/>
      <w:lvlText w:val=""/>
      <w:lvlJc w:val="left"/>
      <w:pPr>
        <w:ind w:left="4320" w:hanging="360"/>
      </w:pPr>
      <w:rPr>
        <w:rFonts w:ascii="Wingdings" w:hAnsi="Wingdings" w:hint="default"/>
      </w:rPr>
    </w:lvl>
    <w:lvl w:ilvl="6" w:tplc="51742F7C">
      <w:start w:val="1"/>
      <w:numFmt w:val="bullet"/>
      <w:lvlText w:val=""/>
      <w:lvlJc w:val="left"/>
      <w:pPr>
        <w:ind w:left="5040" w:hanging="360"/>
      </w:pPr>
      <w:rPr>
        <w:rFonts w:ascii="Symbol" w:hAnsi="Symbol" w:hint="default"/>
      </w:rPr>
    </w:lvl>
    <w:lvl w:ilvl="7" w:tplc="FE2C9568">
      <w:start w:val="1"/>
      <w:numFmt w:val="bullet"/>
      <w:lvlText w:val="o"/>
      <w:lvlJc w:val="left"/>
      <w:pPr>
        <w:ind w:left="5760" w:hanging="360"/>
      </w:pPr>
      <w:rPr>
        <w:rFonts w:ascii="Courier New" w:hAnsi="Courier New" w:hint="default"/>
      </w:rPr>
    </w:lvl>
    <w:lvl w:ilvl="8" w:tplc="246A7684">
      <w:start w:val="1"/>
      <w:numFmt w:val="bullet"/>
      <w:lvlText w:val=""/>
      <w:lvlJc w:val="left"/>
      <w:pPr>
        <w:ind w:left="6480" w:hanging="360"/>
      </w:pPr>
      <w:rPr>
        <w:rFonts w:ascii="Wingdings" w:hAnsi="Wingdings" w:hint="default"/>
      </w:rPr>
    </w:lvl>
  </w:abstractNum>
  <w:abstractNum w:abstractNumId="3" w15:restartNumberingAfterBreak="0">
    <w:nsid w:val="42380DB2"/>
    <w:multiLevelType w:val="multilevel"/>
    <w:tmpl w:val="0E7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F03F7"/>
    <w:multiLevelType w:val="hybridMultilevel"/>
    <w:tmpl w:val="F65CAD62"/>
    <w:lvl w:ilvl="0" w:tplc="2986664E">
      <w:start w:val="1"/>
      <w:numFmt w:val="bullet"/>
      <w:lvlText w:val=""/>
      <w:lvlJc w:val="left"/>
      <w:pPr>
        <w:ind w:left="720" w:hanging="360"/>
      </w:pPr>
      <w:rPr>
        <w:rFonts w:ascii="Symbol" w:hAnsi="Symbol" w:hint="default"/>
      </w:rPr>
    </w:lvl>
    <w:lvl w:ilvl="1" w:tplc="22A681D0">
      <w:start w:val="1"/>
      <w:numFmt w:val="bullet"/>
      <w:lvlText w:val="o"/>
      <w:lvlJc w:val="left"/>
      <w:pPr>
        <w:ind w:left="1440" w:hanging="360"/>
      </w:pPr>
      <w:rPr>
        <w:rFonts w:ascii="Courier New" w:hAnsi="Courier New" w:hint="default"/>
      </w:rPr>
    </w:lvl>
    <w:lvl w:ilvl="2" w:tplc="AE961C7C">
      <w:start w:val="1"/>
      <w:numFmt w:val="bullet"/>
      <w:lvlText w:val=""/>
      <w:lvlJc w:val="left"/>
      <w:pPr>
        <w:ind w:left="2160" w:hanging="360"/>
      </w:pPr>
      <w:rPr>
        <w:rFonts w:ascii="Wingdings" w:hAnsi="Wingdings" w:hint="default"/>
      </w:rPr>
    </w:lvl>
    <w:lvl w:ilvl="3" w:tplc="470E559C">
      <w:start w:val="1"/>
      <w:numFmt w:val="bullet"/>
      <w:lvlText w:val=""/>
      <w:lvlJc w:val="left"/>
      <w:pPr>
        <w:ind w:left="2880" w:hanging="360"/>
      </w:pPr>
      <w:rPr>
        <w:rFonts w:ascii="Symbol" w:hAnsi="Symbol" w:hint="default"/>
      </w:rPr>
    </w:lvl>
    <w:lvl w:ilvl="4" w:tplc="B4D6F43E">
      <w:start w:val="1"/>
      <w:numFmt w:val="bullet"/>
      <w:lvlText w:val="o"/>
      <w:lvlJc w:val="left"/>
      <w:pPr>
        <w:ind w:left="3600" w:hanging="360"/>
      </w:pPr>
      <w:rPr>
        <w:rFonts w:ascii="Courier New" w:hAnsi="Courier New" w:hint="default"/>
      </w:rPr>
    </w:lvl>
    <w:lvl w:ilvl="5" w:tplc="8C8E9AFE">
      <w:start w:val="1"/>
      <w:numFmt w:val="bullet"/>
      <w:lvlText w:val=""/>
      <w:lvlJc w:val="left"/>
      <w:pPr>
        <w:ind w:left="4320" w:hanging="360"/>
      </w:pPr>
      <w:rPr>
        <w:rFonts w:ascii="Wingdings" w:hAnsi="Wingdings" w:hint="default"/>
      </w:rPr>
    </w:lvl>
    <w:lvl w:ilvl="6" w:tplc="7040B7BA">
      <w:start w:val="1"/>
      <w:numFmt w:val="bullet"/>
      <w:lvlText w:val=""/>
      <w:lvlJc w:val="left"/>
      <w:pPr>
        <w:ind w:left="5040" w:hanging="360"/>
      </w:pPr>
      <w:rPr>
        <w:rFonts w:ascii="Symbol" w:hAnsi="Symbol" w:hint="default"/>
      </w:rPr>
    </w:lvl>
    <w:lvl w:ilvl="7" w:tplc="0BE25C66">
      <w:start w:val="1"/>
      <w:numFmt w:val="bullet"/>
      <w:lvlText w:val="o"/>
      <w:lvlJc w:val="left"/>
      <w:pPr>
        <w:ind w:left="5760" w:hanging="360"/>
      </w:pPr>
      <w:rPr>
        <w:rFonts w:ascii="Courier New" w:hAnsi="Courier New" w:hint="default"/>
      </w:rPr>
    </w:lvl>
    <w:lvl w:ilvl="8" w:tplc="1E7C0628">
      <w:start w:val="1"/>
      <w:numFmt w:val="bullet"/>
      <w:lvlText w:val=""/>
      <w:lvlJc w:val="left"/>
      <w:pPr>
        <w:ind w:left="6480" w:hanging="360"/>
      </w:pPr>
      <w:rPr>
        <w:rFonts w:ascii="Wingdings" w:hAnsi="Wingdings" w:hint="default"/>
      </w:rPr>
    </w:lvl>
  </w:abstractNum>
  <w:abstractNum w:abstractNumId="5" w15:restartNumberingAfterBreak="0">
    <w:nsid w:val="7E8C18EE"/>
    <w:multiLevelType w:val="multilevel"/>
    <w:tmpl w:val="3E3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85543">
    <w:abstractNumId w:val="2"/>
  </w:num>
  <w:num w:numId="2" w16cid:durableId="1000618159">
    <w:abstractNumId w:val="4"/>
  </w:num>
  <w:num w:numId="3" w16cid:durableId="707493571">
    <w:abstractNumId w:val="3"/>
  </w:num>
  <w:num w:numId="4" w16cid:durableId="193423971">
    <w:abstractNumId w:val="0"/>
  </w:num>
  <w:num w:numId="5" w16cid:durableId="1796944928">
    <w:abstractNumId w:val="1"/>
  </w:num>
  <w:num w:numId="6" w16cid:durableId="1181163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0F"/>
    <w:rsid w:val="00024A8E"/>
    <w:rsid w:val="000C7466"/>
    <w:rsid w:val="001672EA"/>
    <w:rsid w:val="001A249E"/>
    <w:rsid w:val="001A392E"/>
    <w:rsid w:val="003178FC"/>
    <w:rsid w:val="004E0476"/>
    <w:rsid w:val="00511DBD"/>
    <w:rsid w:val="005276F7"/>
    <w:rsid w:val="00597547"/>
    <w:rsid w:val="006B450F"/>
    <w:rsid w:val="006D3929"/>
    <w:rsid w:val="00A659BA"/>
    <w:rsid w:val="00AF1298"/>
    <w:rsid w:val="00B712CD"/>
    <w:rsid w:val="00BD185C"/>
    <w:rsid w:val="00BD73C8"/>
    <w:rsid w:val="00CA2150"/>
    <w:rsid w:val="00E243DA"/>
    <w:rsid w:val="00E40C4E"/>
    <w:rsid w:val="00E71696"/>
    <w:rsid w:val="00EF2BD6"/>
    <w:rsid w:val="00FF4929"/>
    <w:rsid w:val="4C1B8C72"/>
    <w:rsid w:val="7F5E5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24C1"/>
  <w15:chartTrackingRefBased/>
  <w15:docId w15:val="{9664193E-D299-7C4F-92B9-FE3B7000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50F"/>
    <w:rPr>
      <w:rFonts w:eastAsiaTheme="majorEastAsia" w:cstheme="majorBidi"/>
      <w:color w:val="272727" w:themeColor="text1" w:themeTint="D8"/>
    </w:rPr>
  </w:style>
  <w:style w:type="paragraph" w:styleId="Title">
    <w:name w:val="Title"/>
    <w:basedOn w:val="Normal"/>
    <w:next w:val="Normal"/>
    <w:link w:val="TitleChar"/>
    <w:uiPriority w:val="10"/>
    <w:qFormat/>
    <w:rsid w:val="006B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50F"/>
    <w:pPr>
      <w:spacing w:before="160"/>
      <w:jc w:val="center"/>
    </w:pPr>
    <w:rPr>
      <w:i/>
      <w:iCs/>
      <w:color w:val="404040" w:themeColor="text1" w:themeTint="BF"/>
    </w:rPr>
  </w:style>
  <w:style w:type="character" w:customStyle="1" w:styleId="QuoteChar">
    <w:name w:val="Quote Char"/>
    <w:basedOn w:val="DefaultParagraphFont"/>
    <w:link w:val="Quote"/>
    <w:uiPriority w:val="29"/>
    <w:rsid w:val="006B450F"/>
    <w:rPr>
      <w:i/>
      <w:iCs/>
      <w:color w:val="404040" w:themeColor="text1" w:themeTint="BF"/>
    </w:rPr>
  </w:style>
  <w:style w:type="paragraph" w:styleId="ListParagraph">
    <w:name w:val="List Paragraph"/>
    <w:basedOn w:val="Normal"/>
    <w:uiPriority w:val="34"/>
    <w:qFormat/>
    <w:rsid w:val="006B450F"/>
    <w:pPr>
      <w:ind w:left="720"/>
      <w:contextualSpacing/>
    </w:pPr>
  </w:style>
  <w:style w:type="character" w:styleId="IntenseEmphasis">
    <w:name w:val="Intense Emphasis"/>
    <w:basedOn w:val="DefaultParagraphFont"/>
    <w:uiPriority w:val="21"/>
    <w:qFormat/>
    <w:rsid w:val="006B450F"/>
    <w:rPr>
      <w:i/>
      <w:iCs/>
      <w:color w:val="0F4761" w:themeColor="accent1" w:themeShade="BF"/>
    </w:rPr>
  </w:style>
  <w:style w:type="paragraph" w:styleId="IntenseQuote">
    <w:name w:val="Intense Quote"/>
    <w:basedOn w:val="Normal"/>
    <w:next w:val="Normal"/>
    <w:link w:val="IntenseQuoteChar"/>
    <w:uiPriority w:val="30"/>
    <w:qFormat/>
    <w:rsid w:val="006B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50F"/>
    <w:rPr>
      <w:i/>
      <w:iCs/>
      <w:color w:val="0F4761" w:themeColor="accent1" w:themeShade="BF"/>
    </w:rPr>
  </w:style>
  <w:style w:type="character" w:styleId="IntenseReference">
    <w:name w:val="Intense Reference"/>
    <w:basedOn w:val="DefaultParagraphFont"/>
    <w:uiPriority w:val="32"/>
    <w:qFormat/>
    <w:rsid w:val="006B450F"/>
    <w:rPr>
      <w:b/>
      <w:bCs/>
      <w:smallCaps/>
      <w:color w:val="0F4761" w:themeColor="accent1" w:themeShade="BF"/>
      <w:spacing w:val="5"/>
    </w:rPr>
  </w:style>
  <w:style w:type="paragraph" w:styleId="NormalWeb">
    <w:name w:val="Normal (Web)"/>
    <w:basedOn w:val="Normal"/>
    <w:uiPriority w:val="99"/>
    <w:semiHidden/>
    <w:unhideWhenUsed/>
    <w:rsid w:val="006B45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450F"/>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Parker</dc:creator>
  <cp:keywords/>
  <dc:description/>
  <cp:lastModifiedBy>Benjamin Devantier -du Plessis</cp:lastModifiedBy>
  <cp:revision>18</cp:revision>
  <dcterms:created xsi:type="dcterms:W3CDTF">2025-09-11T13:46:00Z</dcterms:created>
  <dcterms:modified xsi:type="dcterms:W3CDTF">2025-09-29T10:08:00Z</dcterms:modified>
</cp:coreProperties>
</file>