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2A6D6E4" w:rsidP="22A6D6E4" w:rsidRDefault="22A6D6E4" w14:paraId="49A75F29" w14:textId="20C3ED75">
      <w:pPr>
        <w:pStyle w:val="Heading1"/>
        <w:spacing w:before="300" w:beforeAutospacing="off" w:after="300" w:afterAutospacing="off"/>
        <w:jc w:val="center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WITS HUMAN RESEARCH ETHICS COMMITTEE (MEDICAL)</w:t>
      </w:r>
    </w:p>
    <w:p w:rsidR="22A6D6E4" w:rsidP="22A6D6E4" w:rsidRDefault="22A6D6E4" w14:paraId="698A56E2" w14:textId="4407F7EF">
      <w:pPr>
        <w:pStyle w:val="Heading1"/>
        <w:spacing w:before="300" w:beforeAutospacing="off" w:after="300" w:afterAutospacing="off"/>
        <w:jc w:val="center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AMENDMENT NOTIFICATION</w:t>
      </w:r>
    </w:p>
    <w:p w:rsidR="22A6D6E4" w:rsidP="22A6D6E4" w:rsidRDefault="22A6D6E4" w14:paraId="4065F19C" w14:textId="35CB4980">
      <w:pPr>
        <w:pStyle w:val="Heading1"/>
        <w:spacing w:before="300" w:beforeAutospacing="off" w:after="300" w:afterAutospacing="off"/>
        <w:jc w:val="center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HE²AT CENTRE DATA MANAGEMENT PLAN VERSION 2.2</w:t>
      </w:r>
    </w:p>
    <w:p w:rsidR="22A6D6E4" w:rsidP="22A6D6E4" w:rsidRDefault="22A6D6E4" w14:paraId="31F96E04" w14:textId="005E5048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Document Title: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NIH HE²AT Centre Data Management Plan - Infrastructure Transition Amendment</w:t>
      </w:r>
    </w:p>
    <w:p w:rsidR="22A6D6E4" w:rsidP="22A6D6E4" w:rsidRDefault="22A6D6E4" w14:paraId="6B24CE7B" w14:textId="3F34595C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Version: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2.2 (Revised)</w:t>
      </w:r>
    </w:p>
    <w:p w:rsidR="22A6D6E4" w:rsidP="22A6D6E4" w:rsidRDefault="22A6D6E4" w14:paraId="1E24985C" w14:textId="65016BB4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Previous Version: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2.1 (September 2024)</w:t>
      </w:r>
    </w:p>
    <w:p w:rsidR="22A6D6E4" w:rsidP="22A6D6E4" w:rsidRDefault="22A6D6E4" w14:paraId="27AC916B" w14:textId="580EEC6A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Amendment Date: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August 2025</w:t>
      </w:r>
    </w:p>
    <w:p w:rsidR="22A6D6E4" w:rsidP="22A6D6E4" w:rsidRDefault="22A6D6E4" w14:paraId="5B44D49E" w14:textId="0AC6CEF4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HREC Reference Numbers: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RP1 (220605), RP2 (220606)</w:t>
      </w:r>
    </w:p>
    <w:p w:rsidR="22A6D6E4" w:rsidP="22A6D6E4" w:rsidRDefault="22A6D6E4" w14:paraId="5544B20D" w14:textId="3ED24264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Principal Investigators: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Matthew Chersich (Wits PHR)</w:t>
      </w:r>
    </w:p>
    <w:p w:rsidR="22A6D6E4" w:rsidP="22A6D6E4" w:rsidRDefault="22A6D6E4" w14:paraId="61BBE45A" w14:textId="0DFA61C2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Contact: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Craig Parker (</w:t>
      </w:r>
      <w:hyperlink r:id="Rc188017a02af41b0">
        <w:r w:rsidRPr="22A6D6E4" w:rsidR="22A6D6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Craig.parker@witsphr.org</w:t>
        </w:r>
      </w:hyperlink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)</w:t>
      </w:r>
    </w:p>
    <w:p w:rsidR="22A6D6E4" w:rsidP="22A6D6E4" w:rsidRDefault="22A6D6E4" w14:paraId="569EDE55" w14:textId="726E76AC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NATURE OF AMENDMENT: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Temporary infrastructure transition during Year 5 to enhance data management capabilities through cloud infrastructure migration. This amendment documents a transition period where dual infrastructure capability (UCT on-premise and WHC-managed cloud) is maintained, with complete migration to cloud by end of Year 5. All existing ethical safeguards are maintained and enhanced.</w:t>
      </w:r>
    </w:p>
    <w:p w:rsidR="22A6D6E4" w:rsidP="22A6D6E4" w:rsidRDefault="22A6D6E4" w14:paraId="73022E4A" w14:textId="5C016D62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PARTICIPANT IMPACT: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No direct impact on participants. Enhanced data protection and security measures only.</w:t>
      </w:r>
    </w:p>
    <w:p w:rsidR="22A6D6E4" w:rsidP="22A6D6E4" w:rsidRDefault="22A6D6E4" w14:paraId="20C485AC" w14:textId="541CEC34">
      <w:pPr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RISK ASSESSMENT: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Risk reduced through enhanced security, 24/7 monitoring, and automated backup capabilities.</w:t>
      </w:r>
    </w:p>
    <w:p w:rsidR="22A6D6E4" w:rsidP="22A6D6E4" w:rsidRDefault="22A6D6E4" w14:paraId="36F62DE2" w14:textId="48CE4717">
      <w:pPr>
        <w:pStyle w:val="Heading2"/>
        <w:spacing w:before="375" w:beforeAutospacing="off" w:after="225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SUMMARY OF CHANGES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21"/>
        <w:gridCol w:w="4857"/>
        <w:gridCol w:w="4857"/>
      </w:tblGrid>
      <w:tr w:rsidR="22A6D6E4" w:rsidTr="27A8EA90" w14:paraId="0B7BB9AE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1F95931" w14:textId="165E4861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DMP Section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73CDF131" w14:textId="1AFA0E9E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Specific Changes Made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A52A39A" w14:textId="7FC16C97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Rationale and Ethical Considerations</w:t>
            </w:r>
          </w:p>
        </w:tc>
      </w:tr>
      <w:tr w:rsidR="22A6D6E4" w:rsidTr="27A8EA90" w14:paraId="6AF2E552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19FD1118" w14:textId="44212589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3.4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Overview of Data Management Workflow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09F5C1DB" w14:textId="579AFD9C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new subsection clarifying Year 5 as a transition period with temporary dual infrastructure capability, ending with complete cloud migration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417E85C4" w14:textId="772702FB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Provides transparent timeline for infrastructure changes. Ensures stakeholder understanding that this is a temporary transition, not permanent hybrid model. No impact on participant data protection.</w:t>
            </w:r>
          </w:p>
        </w:tc>
      </w:tr>
      <w:tr w:rsidR="22A6D6E4" w:rsidTr="27A8EA90" w14:paraId="53B27B64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0ECA8E29" w14:textId="07D79863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4.1.2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Original Study Data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693CF562" w14:textId="4859080B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"during the transition period to WHC-managed cloud infrastructure" and specified dual capability as temporary measure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7451F3BB" w14:textId="462C7668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Clarifies temporary nature of dual infrastructure. Maintains all existing data protections while enhancing security during transition.</w:t>
            </w:r>
          </w:p>
        </w:tc>
      </w:tr>
      <w:tr w:rsidR="22A6D6E4" w:rsidTr="27A8EA90" w14:paraId="3E14E00F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0A401ABD" w14:textId="6EF3A475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4.2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Climate/Weather Data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00564D91" w14:textId="2EA347E2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"during the transition period from WHC-managed cloud services" with emphasis on enhanced auto-scaling and accessibility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37E4B618" w14:textId="2DE5E9EC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Improves research efficiency and data accessibility during transition whilst maintaining all access controls and authentication requirements.</w:t>
            </w:r>
          </w:p>
        </w:tc>
      </w:tr>
      <w:tr w:rsidR="22A6D6E4" w:rsidTr="27A8EA90" w14:paraId="5C20D4E2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039BF6F6" w14:textId="077DC01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6.1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Pre-processing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32269751" w14:textId="08D560C4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"during the transition period to WHC-managed cloud infrastructure with enhanced security and automated backup systems"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89393A2" w14:textId="64A84ED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Strengthens data integrity during processing with automated systems. Provides additional safeguards during transition period.</w:t>
            </w:r>
          </w:p>
        </w:tc>
      </w:tr>
      <w:tr w:rsidR="22A6D6E4" w:rsidTr="27A8EA90" w14:paraId="351B4AF4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04A9792" w14:textId="59594709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6.4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Database Population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33F81168" w14:textId="634B6F5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reference to cloud-native database services during transition with automated backup and enhanced disaster recovery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936C991" w14:textId="68C907CE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Improves data preservation and recovery capabilities, reducing risk of data loss during critical transition period.</w:t>
            </w:r>
          </w:p>
        </w:tc>
      </w:tr>
      <w:tr w:rsidR="22A6D6E4" w:rsidTr="27A8EA90" w14:paraId="2D3D7988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3E5AE832" w14:textId="4D669E6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8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Data Analysis Platform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6D64E30C" w14:textId="6B92C10E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"cloud-based computational resources with GPU acceleration" available during transition period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E92A09B" w14:textId="726A909A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Enhances analytical capabilities for researchers during transition while maintaining all existing access controls and security protocols.</w:t>
            </w:r>
          </w:p>
        </w:tc>
      </w:tr>
      <w:tr w:rsidR="22A6D6E4" w:rsidTr="27A8EA90" w14:paraId="06A5AA3D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48FDA2E2" w14:textId="2C47A861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10.4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Data Sharing Procedures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E96092D" w14:textId="3029522F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NEW CRITICAL CHANGE:</w:t>
            </w: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 xml:space="preserve"> "All projects, regardless of whether they involve internal HE²AT Center Consortium members or external researchers, must go through the DAC for data access approval"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06C9ACEF" w14:textId="3D0F27D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Ensures equitable data sharing and comprehensive tracking of all projects. Strengthens governance by applying consistent standards to all data access requests. Enhances transparency and accountability.</w:t>
            </w:r>
          </w:p>
        </w:tc>
      </w:tr>
      <w:tr w:rsidR="22A6D6E4" w:rsidTr="27A8EA90" w14:paraId="07FC0B59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A316B3E" w14:textId="71938F73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12.3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Data Access Committee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D14FB5E" w14:textId="015CC69C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Updated to emphasize DAC evaluates ALL data access requests (consortium and external) with consistent ethical and scientific standards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4ADC22A3" w14:textId="2C7EDDC8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Removes any perception of preferential access. Ensures uniform application of ethical standards. Strengthens governance framework.</w:t>
            </w:r>
          </w:p>
        </w:tc>
      </w:tr>
      <w:tr w:rsidR="22A6D6E4" w:rsidTr="27A8EA90" w14:paraId="7004EAE2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456CD0A0" w14:textId="0C74AB66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14.1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Data Transfer, Storage and Encryption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8A59D83" w14:textId="7EBB81FB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"during the transition period to WHC-managed cloud infrastructure" and specified "AES-256 encryption standard for both UCT servers and cloud storage"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6342403B" w14:textId="2F55444C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Upgrades encryption standards across all infrastructure. Provides superior data protection during transition with industry-standard encryption.</w:t>
            </w:r>
          </w:p>
        </w:tc>
      </w:tr>
      <w:tr w:rsidR="22A6D6E4" w:rsidTr="27A8EA90" w14:paraId="3216D78C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68B9D41F" w14:textId="6D65D82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14.2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Network Security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4922BD7D" w14:textId="736F660A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"during the transition period from WHC-managed cloud security architecture with 24/7 Security Operations Centre (SOC) monitoring and advanced threat detection systems"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1F9DBFC8" w14:textId="6145C016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Significantly enhances security oversight with professional 24/7 monitoring. Provides superior threat detection compared to standard academic infrastructure.</w:t>
            </w:r>
          </w:p>
        </w:tc>
      </w:tr>
      <w:tr w:rsidR="22A6D6E4" w:rsidTr="27A8EA90" w14:paraId="6CB4FB5D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1B88A903" w14:textId="1DF00DF9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14.3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Local Authentication and Authorisation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7086EE96" w14:textId="359E29E4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Added "alongside cloud-specific access controls and automated compliance reporting for streamlined governance oversight during the transition period"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1F328437" w14:textId="08BE8C02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Enhances access control and provides automated compliance monitoring. Improves audit capabilities and regulatory oversight.</w:t>
            </w:r>
          </w:p>
        </w:tc>
      </w:tr>
      <w:tr w:rsidR="22A6D6E4" w:rsidTr="27A8EA90" w14:paraId="42BD1138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B773735" w14:textId="6D5D3BC4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Section 15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Roles and Responsibilities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C697DE8" w14:textId="17FD8605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Removed individual names and contact details from main table, generalized to institutional roles with key functions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7DC66BDC" w14:textId="2CC08F1B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Facilitates document maintenance without requiring amendments for personnel changes. Contact information maintained separately for easy updates.</w:t>
            </w:r>
          </w:p>
        </w:tc>
      </w:tr>
      <w:tr w:rsidR="22A6D6E4" w:rsidTr="27A8EA90" w14:paraId="1FF0AC6D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4471F942" w14:textId="7B98832E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NEW Annex 1</w:t>
            </w:r>
            <w:r>
              <w:br/>
            </w: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Transition Implementation Details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7DE40F5F" w14:textId="7F6E5FCB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NEW SECTION:</w:t>
            </w: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 xml:space="preserve"> Comprehensive 4-phase transition strategy with timeline, data provider communication framework, and generic email template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2AF1AF51" w14:textId="1D93160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Provides transparent implementation roadmap. Ensures proper stakeholder communication. Documents systematic approach to minimize disruption.</w:t>
            </w:r>
          </w:p>
        </w:tc>
      </w:tr>
      <w:tr w:rsidR="22A6D6E4" w:rsidTr="27A8EA90" w14:paraId="28DBBEBA">
        <w:trPr>
          <w:trHeight w:val="300"/>
        </w:trPr>
        <w:tc>
          <w:tcPr>
            <w:tcW w:w="2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DE371CD" w14:textId="13CD849B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All other sections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767AF1DC" w14:textId="4EEE223D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Document structure simplified from 17 to 16 sections. Removed complex contractual language throughout. Maintained all ethical frameworks and participant protections.</w:t>
            </w:r>
          </w:p>
        </w:tc>
        <w:tc>
          <w:tcPr>
            <w:tcW w:w="4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22A6D6E4" w:rsidP="22A6D6E4" w:rsidRDefault="22A6D6E4" w14:paraId="54B07241" w14:textId="58A27B6C">
            <w:pPr>
              <w:spacing w:before="0" w:beforeAutospacing="off" w:after="0" w:afterAutospacing="off"/>
              <w:jc w:val="left"/>
            </w:pPr>
            <w:r w:rsidRPr="22A6D6E4" w:rsidR="22A6D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Improves readability for ethics review. Focuses on data management procedures rather than legal complexity. No reduction in participant protections.</w:t>
            </w:r>
          </w:p>
        </w:tc>
      </w:tr>
    </w:tbl>
    <w:p w:rsidR="22A6D6E4" w:rsidP="22A6D6E4" w:rsidRDefault="22A6D6E4" w14:paraId="70ABD55A" w14:textId="6E8513CF">
      <w:pPr>
        <w:pStyle w:val="Heading2"/>
        <w:bidi w:val="0"/>
        <w:spacing w:before="375" w:beforeAutospacing="off" w:after="225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ETHICAL IMPACT ASSESSMENT</w:t>
      </w:r>
    </w:p>
    <w:p w:rsidR="22A6D6E4" w:rsidP="22A6D6E4" w:rsidRDefault="22A6D6E4" w14:paraId="05BD6987" w14:textId="51EE50C1">
      <w:pPr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Participant Rights: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All existing participant rights maintained and enhanced through improved security infrastructure during transition period.</w:t>
      </w:r>
    </w:p>
    <w:p w:rsidR="22A6D6E4" w:rsidP="22A6D6E4" w:rsidRDefault="22A6D6E4" w14:paraId="679B3538" w14:textId="63F99644">
      <w:pPr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Data Protection: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Significant enhancement through:</w:t>
      </w:r>
    </w:p>
    <w:p w:rsidR="22A6D6E4" w:rsidP="22A6D6E4" w:rsidRDefault="22A6D6E4" w14:paraId="6CF03196" w14:textId="395D21C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AES-256 encryption across all infrastructure</w:t>
      </w:r>
    </w:p>
    <w:p w:rsidR="22A6D6E4" w:rsidP="22A6D6E4" w:rsidRDefault="22A6D6E4" w14:paraId="5EE08C95" w14:textId="63A5F5D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24/7 professional security monitoring during transition</w:t>
      </w:r>
    </w:p>
    <w:p w:rsidR="22A6D6E4" w:rsidP="22A6D6E4" w:rsidRDefault="22A6D6E4" w14:paraId="401CA769" w14:textId="327F0B9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Automated backup and disaster recovery systems</w:t>
      </w:r>
    </w:p>
    <w:p w:rsidR="22A6D6E4" w:rsidP="22A6D6E4" w:rsidRDefault="22A6D6E4" w14:paraId="28050277" w14:textId="03A22EC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Advanced threat detection capabilities</w:t>
      </w:r>
    </w:p>
    <w:p w:rsidR="22A6D6E4" w:rsidP="22A6D6E4" w:rsidRDefault="22A6D6E4" w14:paraId="327B3877" w14:textId="7FB8795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Dual infrastructure redundancy during transition</w:t>
      </w:r>
    </w:p>
    <w:p w:rsidR="22A6D6E4" w:rsidP="22A6D6E4" w:rsidRDefault="22A6D6E4" w14:paraId="71BA9EF3" w14:textId="4333A34B">
      <w:pPr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Consent and Transparency: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Clear communication framework for data providers about transition. Emphasis on temporary nature of changes with defined endpoint.</w:t>
      </w:r>
    </w:p>
    <w:p w:rsidR="22A6D6E4" w:rsidP="22A6D6E4" w:rsidRDefault="22A6D6E4" w14:paraId="2D07377D" w14:textId="4AACE811">
      <w:pPr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Governance Enhancement: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Universal DAC review requirement strengthens oversight. Consistent application of ethical standards to all data access requests.</w:t>
      </w:r>
    </w:p>
    <w:p w:rsidR="22A6D6E4" w:rsidP="22A6D6E4" w:rsidRDefault="22A6D6E4" w14:paraId="3B61A8BE" w14:textId="27CB95CF">
      <w:pPr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Risk Mitigation:</w:t>
      </w: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Transition period approach minimizes operational risks through:</w:t>
      </w:r>
    </w:p>
    <w:p w:rsidR="22A6D6E4" w:rsidP="22A6D6E4" w:rsidRDefault="22A6D6E4" w14:paraId="6EF8E875" w14:textId="1F6841B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Phased implementation over 12 months</w:t>
      </w:r>
    </w:p>
    <w:p w:rsidR="22A6D6E4" w:rsidP="22A6D6E4" w:rsidRDefault="22A6D6E4" w14:paraId="1F12A8EB" w14:textId="4509837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Dual system operation for continuity</w:t>
      </w:r>
    </w:p>
    <w:p w:rsidR="22A6D6E4" w:rsidP="22A6D6E4" w:rsidRDefault="22A6D6E4" w14:paraId="6A181639" w14:textId="35CA955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Enhanced security throughout transition</w:t>
      </w:r>
    </w:p>
    <w:p w:rsidR="22A6D6E4" w:rsidP="22A6D6E4" w:rsidRDefault="22A6D6E4" w14:paraId="6088C36C" w14:textId="41E57D9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Professional monitoring and support</w:t>
      </w:r>
    </w:p>
    <w:p w:rsidR="22A6D6E4" w:rsidP="22A6D6E4" w:rsidRDefault="22A6D6E4" w14:paraId="03AA62EE" w14:textId="562DD4A7">
      <w:pPr>
        <w:pStyle w:val="Heading2"/>
        <w:bidi w:val="0"/>
        <w:spacing w:before="375" w:beforeAutospacing="off" w:after="225" w:afterAutospacing="off"/>
      </w:pPr>
      <w:r w:rsidRPr="22A6D6E4" w:rsidR="22A6D6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CONFIRMATION</w:t>
      </w:r>
    </w:p>
    <w:p w:rsidR="22A6D6E4" w:rsidP="22A6D6E4" w:rsidRDefault="22A6D6E4" w14:paraId="41DB987C" w14:textId="11F156DE">
      <w:pPr>
        <w:pBdr>
          <w:top w:val="single" w:color="000000" w:sz="6" w:space="11"/>
          <w:left w:val="single" w:color="000000" w:sz="6" w:space="11"/>
          <w:bottom w:val="single" w:color="000000" w:sz="6" w:space="11"/>
          <w:right w:val="single" w:color="000000" w:sz="6" w:space="11"/>
        </w:pBdr>
        <w:shd w:val="clear" w:color="auto" w:fill="F9F9F9"/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These amendments document a temporary infrastructure transition during Year 5 that enhances data protection and research capabilities. The transition will be complete by end of Year 5 with full migration to secure cloud infrastructure. All existing ethical safeguards are maintained and enhanced. No changes to research methodology, participant recruitment, or data collection procedures.</w:t>
      </w:r>
    </w:p>
    <w:p w:rsidR="22A6D6E4" w:rsidP="22A6D6E4" w:rsidRDefault="22A6D6E4" w14:paraId="43225ACF" w14:textId="3C8F7FF7">
      <w:pPr>
        <w:pBdr>
          <w:top w:val="single" w:color="000000" w:sz="6" w:space="11"/>
          <w:left w:val="single" w:color="000000" w:sz="6" w:space="11"/>
          <w:bottom w:val="single" w:color="000000" w:sz="6" w:space="11"/>
          <w:right w:val="single" w:color="000000" w:sz="6" w:space="11"/>
        </w:pBdr>
        <w:shd w:val="clear" w:color="auto" w:fill="F9F9F9"/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The universal DAC review requirement ensures equitable and transparent data governance for all users.</w:t>
      </w:r>
    </w:p>
    <w:p w:rsidR="22A6D6E4" w:rsidP="22A6D6E4" w:rsidRDefault="22A6D6E4" w14:paraId="53774CF8" w14:textId="7FC8371D">
      <w:pPr>
        <w:pBdr>
          <w:top w:val="single" w:color="000000" w:sz="6" w:space="11"/>
          <w:left w:val="single" w:color="000000" w:sz="6" w:space="11"/>
          <w:bottom w:val="single" w:color="000000" w:sz="6" w:space="11"/>
          <w:right w:val="single" w:color="000000" w:sz="6" w:space="11"/>
        </w:pBdr>
        <w:shd w:val="clear" w:color="auto" w:fill="F9F9F9"/>
        <w:bidi w:val="0"/>
        <w:spacing w:before="240" w:beforeAutospacing="off" w:after="240" w:afterAutospacing="off"/>
      </w:pPr>
      <w:r w:rsidRPr="22A6D6E4" w:rsidR="22A6D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All changes maintain full POPIA compliance and enhance alignment with international data protection standards.</w:t>
      </w:r>
    </w:p>
    <w:p w:rsidR="22A6D6E4" w:rsidP="22A6D6E4" w:rsidRDefault="22A6D6E4" w14:paraId="25D0E5E0" w14:textId="5E42387D">
      <w:pPr>
        <w:pStyle w:val="BodyText"/>
        <w:rPr>
          <w:noProof w:val="0"/>
          <w:lang w:val="en-US"/>
        </w:rPr>
        <w:sectPr w:rsidR="00F24988" w:rsidSect="002047FC">
          <w:footerReference w:type="even" r:id="rId7"/>
          <w:footerReference w:type="default" r:id="rId8"/>
          <w:footnotePr>
            <w:numRestart w:val="eachSect"/>
          </w:footnotePr>
          <w:pgSz w:w="15840" w:h="122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:rsidR="16A401ED" w:rsidP="16A401ED" w:rsidRDefault="16A401ED" w14:paraId="746EEF4F" w14:textId="39D7FB85">
      <w:pPr>
        <w:pStyle w:val="Normal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</w:pPr>
    </w:p>
    <w:sectPr w:rsidRPr="00F24988" w:rsidR="003478C9" w:rsidSect="002047FC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38C1" w:rsidP="002047FC" w:rsidRDefault="00B238C1" w14:paraId="3A8BA815" w14:textId="77777777">
      <w:pPr>
        <w:spacing w:after="0"/>
      </w:pPr>
      <w:r>
        <w:separator/>
      </w:r>
    </w:p>
  </w:endnote>
  <w:endnote w:type="continuationSeparator" w:id="0">
    <w:p w:rsidR="00B238C1" w:rsidP="002047FC" w:rsidRDefault="00B238C1" w14:paraId="3B2C701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5217286"/>
      <w:docPartObj>
        <w:docPartGallery w:val="Page Numbers (Bottom of Page)"/>
        <w:docPartUnique/>
      </w:docPartObj>
    </w:sdtPr>
    <w:sdtContent>
      <w:p w:rsidR="002047FC" w:rsidP="0016709F" w:rsidRDefault="002047FC" w14:paraId="643B8371" w14:textId="02E9049F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047FC" w:rsidP="002047FC" w:rsidRDefault="002047FC" w14:paraId="66624D47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8995990"/>
      <w:docPartObj>
        <w:docPartGallery w:val="Page Numbers (Bottom of Page)"/>
        <w:docPartUnique/>
      </w:docPartObj>
    </w:sdtPr>
    <w:sdtContent>
      <w:p w:rsidR="002047FC" w:rsidP="0016709F" w:rsidRDefault="002047FC" w14:paraId="490AAEDD" w14:textId="37B0C730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047FC" w:rsidP="002047FC" w:rsidRDefault="002047FC" w14:paraId="61BA7440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38C1" w:rsidP="002047FC" w:rsidRDefault="00B238C1" w14:paraId="01160C8A" w14:textId="77777777">
      <w:pPr>
        <w:spacing w:after="0"/>
      </w:pPr>
      <w:r>
        <w:separator/>
      </w:r>
    </w:p>
  </w:footnote>
  <w:footnote w:type="continuationSeparator" w:id="0">
    <w:p w:rsidR="00B238C1" w:rsidP="002047FC" w:rsidRDefault="00B238C1" w14:paraId="7F9F3DCC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548c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063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3c2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0"/>
    <w:multiLevelType w:val="multilevel"/>
    <w:tmpl w:val="752A4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A67FB6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8346B62"/>
    <w:multiLevelType w:val="multilevel"/>
    <w:tmpl w:val="CFA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284AB4"/>
    <w:multiLevelType w:val="multilevel"/>
    <w:tmpl w:val="556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A771B8"/>
    <w:multiLevelType w:val="multilevel"/>
    <w:tmpl w:val="D85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B4C0A9C"/>
    <w:multiLevelType w:val="multilevel"/>
    <w:tmpl w:val="74D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5B2D69"/>
    <w:multiLevelType w:val="multilevel"/>
    <w:tmpl w:val="7F8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9">
    <w:abstractNumId w:val="8"/>
  </w:num>
  <w:num w:numId="8">
    <w:abstractNumId w:val="7"/>
  </w:num>
  <w:num w:numId="1" w16cid:durableId="664866729">
    <w:abstractNumId w:val="0"/>
  </w:num>
  <w:num w:numId="2" w16cid:durableId="509418538">
    <w:abstractNumId w:val="1"/>
  </w:num>
  <w:num w:numId="3" w16cid:durableId="755708614">
    <w:abstractNumId w:val="3"/>
  </w:num>
  <w:num w:numId="4" w16cid:durableId="977414866">
    <w:abstractNumId w:val="2"/>
  </w:num>
  <w:num w:numId="5" w16cid:durableId="93333127">
    <w:abstractNumId w:val="6"/>
  </w:num>
  <w:num w:numId="6" w16cid:durableId="908033294">
    <w:abstractNumId w:val="4"/>
  </w:num>
  <w:num w:numId="7" w16cid:durableId="113517886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8C9"/>
    <w:rsid w:val="000C550A"/>
    <w:rsid w:val="002047FC"/>
    <w:rsid w:val="003478C9"/>
    <w:rsid w:val="006C27D9"/>
    <w:rsid w:val="00906D83"/>
    <w:rsid w:val="009401DF"/>
    <w:rsid w:val="00B238C1"/>
    <w:rsid w:val="00F24988"/>
    <w:rsid w:val="16A401ED"/>
    <w:rsid w:val="1C7D9FD6"/>
    <w:rsid w:val="22A6D6E4"/>
    <w:rsid w:val="27A8E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7B85"/>
  <w15:docId w15:val="{65CABFBF-BF50-8F42-B95E-C8CA1A2257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2047FC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rsid w:val="002047FC"/>
  </w:style>
  <w:style w:type="character" w:styleId="PageNumber">
    <w:name w:val="page number"/>
    <w:basedOn w:val="DefaultParagraphFont"/>
    <w:rsid w:val="002047FC"/>
  </w:style>
  <w:style w:type="paragraph" w:styleId="ListParagraph">
    <w:uiPriority w:val="34"/>
    <w:name w:val="List Paragraph"/>
    <w:basedOn w:val="Normal"/>
    <w:qFormat/>
    <w:rsid w:val="1C7D9FD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mailto:Craig.parker@witsphr.org" TargetMode="External" Id="Rc188017a02af41b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Craig Parker</lastModifiedBy>
  <revision>7</revision>
  <dcterms:created xsi:type="dcterms:W3CDTF">2025-08-05T10:21:00.0000000Z</dcterms:created>
  <dcterms:modified xsi:type="dcterms:W3CDTF">2025-08-22T11:36:43.3861848Z</dcterms:modified>
</coreProperties>
</file>