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010D" w:rsidP="61B5ABB9" w:rsidRDefault="00D1010D" w14:paraId="566F8BCF" w14:textId="34D0644A">
      <w:pPr>
        <w:pStyle w:val="Heading1"/>
        <w:spacing w:before="300" w:beforeAutospacing="off" w:after="300" w:afterAutospacing="off"/>
        <w:jc w:val="center"/>
      </w:pPr>
      <w:r w:rsidRPr="61B5ABB9" w:rsidR="61B5ABB9">
        <w:rPr>
          <w:rFonts w:ascii="Calibri" w:hAnsi="Calibri" w:eastAsia="Calibri" w:cs="Calibri"/>
          <w:b w:val="1"/>
          <w:bCs w:val="1"/>
          <w:i w:val="0"/>
          <w:iCs w:val="0"/>
          <w:caps w:val="0"/>
          <w:smallCaps w:val="0"/>
          <w:noProof w:val="0"/>
          <w:color w:val="000000" w:themeColor="text1" w:themeTint="FF" w:themeShade="FF"/>
          <w:sz w:val="28"/>
          <w:szCs w:val="28"/>
          <w:lang w:val="en-US"/>
        </w:rPr>
        <w:t>WITS HUMAN RESEARCH ETHICS COMMITTEE (MEDICAL)</w:t>
      </w:r>
    </w:p>
    <w:p w:rsidR="00D1010D" w:rsidP="61B5ABB9" w:rsidRDefault="00D1010D" w14:paraId="61D0DE7C" w14:textId="32AB36A1">
      <w:pPr>
        <w:pStyle w:val="Heading1"/>
        <w:spacing w:before="300" w:beforeAutospacing="off" w:after="300" w:afterAutospacing="off"/>
        <w:jc w:val="center"/>
      </w:pPr>
      <w:r w:rsidRPr="61B5ABB9" w:rsidR="61B5ABB9">
        <w:rPr>
          <w:rFonts w:ascii="Calibri" w:hAnsi="Calibri" w:eastAsia="Calibri" w:cs="Calibri"/>
          <w:b w:val="1"/>
          <w:bCs w:val="1"/>
          <w:i w:val="0"/>
          <w:iCs w:val="0"/>
          <w:caps w:val="0"/>
          <w:smallCaps w:val="0"/>
          <w:noProof w:val="0"/>
          <w:color w:val="000000" w:themeColor="text1" w:themeTint="FF" w:themeShade="FF"/>
          <w:sz w:val="28"/>
          <w:szCs w:val="28"/>
          <w:lang w:val="en-US"/>
        </w:rPr>
        <w:t>AMENDMENT NOTIFICATION</w:t>
      </w:r>
    </w:p>
    <w:p w:rsidR="00D1010D" w:rsidP="61B5ABB9" w:rsidRDefault="00D1010D" w14:paraId="4A0D32BB" w14:textId="031B498C">
      <w:pPr>
        <w:pStyle w:val="Heading1"/>
        <w:spacing w:before="300" w:beforeAutospacing="off" w:after="300" w:afterAutospacing="off"/>
        <w:jc w:val="center"/>
      </w:pPr>
      <w:r w:rsidRPr="61B5ABB9" w:rsidR="61B5ABB9">
        <w:rPr>
          <w:rFonts w:ascii="Calibri" w:hAnsi="Calibri" w:eastAsia="Calibri" w:cs="Calibri"/>
          <w:b w:val="1"/>
          <w:bCs w:val="1"/>
          <w:i w:val="0"/>
          <w:iCs w:val="0"/>
          <w:caps w:val="0"/>
          <w:smallCaps w:val="0"/>
          <w:noProof w:val="0"/>
          <w:color w:val="000000" w:themeColor="text1" w:themeTint="FF" w:themeShade="FF"/>
          <w:sz w:val="28"/>
          <w:szCs w:val="28"/>
          <w:lang w:val="en-US"/>
        </w:rPr>
        <w:t>HEÂ²AT CENTRE DATA MANAGEMENT PLAN VERSION 2.2</w:t>
      </w:r>
    </w:p>
    <w:p w:rsidR="00D1010D" w:rsidP="61B5ABB9" w:rsidRDefault="00D1010D" w14:paraId="62E23A1D" w14:textId="6A5DCF6F">
      <w:pPr>
        <w:spacing w:before="120" w:beforeAutospacing="off" w:after="120" w:afterAutospacing="off"/>
      </w:pPr>
      <w:r w:rsidRPr="61B5ABB9" w:rsidR="61B5ABB9">
        <w:rPr>
          <w:rFonts w:ascii="Calibri" w:hAnsi="Calibri" w:eastAsia="Calibri" w:cs="Calibri"/>
          <w:b w:val="1"/>
          <w:bCs w:val="1"/>
          <w:i w:val="0"/>
          <w:iCs w:val="0"/>
          <w:caps w:val="0"/>
          <w:smallCaps w:val="0"/>
          <w:noProof w:val="0"/>
          <w:color w:val="000000" w:themeColor="text1" w:themeTint="FF" w:themeShade="FF"/>
          <w:sz w:val="22"/>
          <w:szCs w:val="22"/>
          <w:lang w:val="en-US"/>
        </w:rPr>
        <w:t>Document Title:</w:t>
      </w: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NIH HEÂ²AT Centre Data Management Plan - Cloud Migration Implementation and Transition Framework</w:t>
      </w:r>
    </w:p>
    <w:p w:rsidR="00D1010D" w:rsidP="61B5ABB9" w:rsidRDefault="00D1010D" w14:paraId="7E672B46" w14:textId="5F339CED">
      <w:pPr>
        <w:spacing w:before="120" w:beforeAutospacing="off" w:after="120" w:afterAutospacing="off"/>
      </w:pPr>
      <w:r w:rsidRPr="61B5ABB9" w:rsidR="61B5ABB9">
        <w:rPr>
          <w:rFonts w:ascii="Calibri" w:hAnsi="Calibri" w:eastAsia="Calibri" w:cs="Calibri"/>
          <w:b w:val="1"/>
          <w:bCs w:val="1"/>
          <w:i w:val="0"/>
          <w:iCs w:val="0"/>
          <w:caps w:val="0"/>
          <w:smallCaps w:val="0"/>
          <w:noProof w:val="0"/>
          <w:color w:val="000000" w:themeColor="text1" w:themeTint="FF" w:themeShade="FF"/>
          <w:sz w:val="22"/>
          <w:szCs w:val="22"/>
          <w:lang w:val="en-US"/>
        </w:rPr>
        <w:t>Version:</w:t>
      </w: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2.2 (Revised)</w:t>
      </w:r>
    </w:p>
    <w:p w:rsidR="00D1010D" w:rsidP="61B5ABB9" w:rsidRDefault="00D1010D" w14:paraId="076F9B33" w14:textId="15C9C2F0">
      <w:pPr>
        <w:spacing w:before="120" w:beforeAutospacing="off" w:after="120" w:afterAutospacing="off"/>
      </w:pPr>
      <w:r w:rsidRPr="61B5ABB9" w:rsidR="61B5ABB9">
        <w:rPr>
          <w:rFonts w:ascii="Calibri" w:hAnsi="Calibri" w:eastAsia="Calibri" w:cs="Calibri"/>
          <w:b w:val="1"/>
          <w:bCs w:val="1"/>
          <w:i w:val="0"/>
          <w:iCs w:val="0"/>
          <w:caps w:val="0"/>
          <w:smallCaps w:val="0"/>
          <w:noProof w:val="0"/>
          <w:color w:val="000000" w:themeColor="text1" w:themeTint="FF" w:themeShade="FF"/>
          <w:sz w:val="22"/>
          <w:szCs w:val="22"/>
          <w:lang w:val="en-US"/>
        </w:rPr>
        <w:t>Previous Version:</w:t>
      </w: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2.1 (September 2024)</w:t>
      </w:r>
    </w:p>
    <w:p w:rsidR="00D1010D" w:rsidP="61B5ABB9" w:rsidRDefault="00D1010D" w14:paraId="2B674EBD" w14:textId="3AA90878">
      <w:pPr>
        <w:spacing w:before="120" w:beforeAutospacing="off" w:after="120" w:afterAutospacing="off"/>
      </w:pPr>
      <w:r w:rsidRPr="61B5ABB9" w:rsidR="61B5ABB9">
        <w:rPr>
          <w:rFonts w:ascii="Calibri" w:hAnsi="Calibri" w:eastAsia="Calibri" w:cs="Calibri"/>
          <w:b w:val="1"/>
          <w:bCs w:val="1"/>
          <w:i w:val="0"/>
          <w:iCs w:val="0"/>
          <w:caps w:val="0"/>
          <w:smallCaps w:val="0"/>
          <w:noProof w:val="0"/>
          <w:color w:val="000000" w:themeColor="text1" w:themeTint="FF" w:themeShade="FF"/>
          <w:sz w:val="22"/>
          <w:szCs w:val="22"/>
          <w:lang w:val="en-US"/>
        </w:rPr>
        <w:t>Amendment Date:</w:t>
      </w: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August 2025</w:t>
      </w:r>
    </w:p>
    <w:p w:rsidR="00D1010D" w:rsidP="61B5ABB9" w:rsidRDefault="00D1010D" w14:paraId="435034D3" w14:textId="14C8614D">
      <w:pPr>
        <w:spacing w:before="120" w:beforeAutospacing="off" w:after="120" w:afterAutospacing="off"/>
      </w:pPr>
      <w:r w:rsidRPr="61B5ABB9" w:rsidR="61B5ABB9">
        <w:rPr>
          <w:rFonts w:ascii="Calibri" w:hAnsi="Calibri" w:eastAsia="Calibri" w:cs="Calibri"/>
          <w:b w:val="1"/>
          <w:bCs w:val="1"/>
          <w:i w:val="0"/>
          <w:iCs w:val="0"/>
          <w:caps w:val="0"/>
          <w:smallCaps w:val="0"/>
          <w:noProof w:val="0"/>
          <w:color w:val="000000" w:themeColor="text1" w:themeTint="FF" w:themeShade="FF"/>
          <w:sz w:val="22"/>
          <w:szCs w:val="22"/>
          <w:lang w:val="en-US"/>
        </w:rPr>
        <w:t>HREC Reference Numbers:</w:t>
      </w: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RP1 (220605), RP2 (220606)</w:t>
      </w:r>
    </w:p>
    <w:p w:rsidR="00D1010D" w:rsidP="61B5ABB9" w:rsidRDefault="00D1010D" w14:paraId="3D582ED1" w14:textId="2C5FC63A">
      <w:pPr>
        <w:spacing w:before="120" w:beforeAutospacing="off" w:after="120" w:afterAutospacing="off"/>
      </w:pPr>
      <w:r w:rsidRPr="61B5ABB9" w:rsidR="61B5ABB9">
        <w:rPr>
          <w:rFonts w:ascii="Calibri" w:hAnsi="Calibri" w:eastAsia="Calibri" w:cs="Calibri"/>
          <w:b w:val="1"/>
          <w:bCs w:val="1"/>
          <w:i w:val="0"/>
          <w:iCs w:val="0"/>
          <w:caps w:val="0"/>
          <w:smallCaps w:val="0"/>
          <w:noProof w:val="0"/>
          <w:color w:val="000000" w:themeColor="text1" w:themeTint="FF" w:themeShade="FF"/>
          <w:sz w:val="22"/>
          <w:szCs w:val="22"/>
          <w:lang w:val="en-US"/>
        </w:rPr>
        <w:t>Principal Investigators:</w:t>
      </w: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Matthew Chersich (Wits PHR)</w:t>
      </w:r>
    </w:p>
    <w:p w:rsidR="00D1010D" w:rsidP="61B5ABB9" w:rsidRDefault="00D1010D" w14:paraId="556B6872" w14:textId="5FB529E7">
      <w:pPr>
        <w:spacing w:before="120" w:beforeAutospacing="off" w:after="120" w:afterAutospacing="off"/>
      </w:pPr>
      <w:r w:rsidRPr="61B5ABB9" w:rsidR="61B5ABB9">
        <w:rPr>
          <w:rFonts w:ascii="Calibri" w:hAnsi="Calibri" w:eastAsia="Calibri" w:cs="Calibri"/>
          <w:b w:val="1"/>
          <w:bCs w:val="1"/>
          <w:i w:val="0"/>
          <w:iCs w:val="0"/>
          <w:caps w:val="0"/>
          <w:smallCaps w:val="0"/>
          <w:noProof w:val="0"/>
          <w:color w:val="000000" w:themeColor="text1" w:themeTint="FF" w:themeShade="FF"/>
          <w:sz w:val="22"/>
          <w:szCs w:val="22"/>
          <w:lang w:val="en-US"/>
        </w:rPr>
        <w:t>Contact:</w:t>
      </w: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DMAC Centre (</w:t>
      </w:r>
      <w:hyperlink r:id="R635297ff9ff74ccc">
        <w:r w:rsidRPr="61B5ABB9" w:rsidR="61B5ABB9">
          <w:rPr>
            <w:rStyle w:val="Hyperlink"/>
            <w:rFonts w:ascii="Calibri" w:hAnsi="Calibri" w:eastAsia="Calibri" w:cs="Calibri"/>
            <w:b w:val="0"/>
            <w:bCs w:val="0"/>
            <w:i w:val="0"/>
            <w:iCs w:val="0"/>
            <w:caps w:val="0"/>
            <w:smallCaps w:val="0"/>
            <w:noProof w:val="0"/>
            <w:color w:val="000000" w:themeColor="text1" w:themeTint="FF" w:themeShade="FF"/>
            <w:sz w:val="22"/>
            <w:szCs w:val="22"/>
            <w:lang w:val="en-US"/>
          </w:rPr>
          <w:t>dmac.centre@witsphr.org</w:t>
        </w:r>
      </w:hyperlink>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00D1010D" w:rsidP="61B5ABB9" w:rsidRDefault="00D1010D" w14:paraId="1B1B5FA0" w14:textId="7BE20D2C">
      <w:pPr>
        <w:spacing w:before="120" w:beforeAutospacing="off" w:after="120" w:afterAutospacing="off"/>
      </w:pPr>
      <w:r w:rsidRPr="61B5ABB9" w:rsidR="61B5ABB9">
        <w:rPr>
          <w:rFonts w:ascii="Calibri" w:hAnsi="Calibri" w:eastAsia="Calibri" w:cs="Calibri"/>
          <w:b w:val="1"/>
          <w:bCs w:val="1"/>
          <w:i w:val="0"/>
          <w:iCs w:val="0"/>
          <w:caps w:val="0"/>
          <w:smallCaps w:val="0"/>
          <w:noProof w:val="0"/>
          <w:color w:val="000000" w:themeColor="text1" w:themeTint="FF" w:themeShade="FF"/>
          <w:sz w:val="22"/>
          <w:szCs w:val="22"/>
          <w:lang w:val="en-US"/>
        </w:rPr>
        <w:t>NATURE OF AMENDMENT:</w:t>
      </w: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Implementation of cloud migration infrastructure and establishment of transition framework for Year 5. This amendment introduces WHC-managed cloud infrastructure alongside existing UCT systems, establishes enhanced security measures, implements universal Data Access Committee (DAC) review requirements, and creates a structured transition plan. All existing ethical safeguards are maintained and significantly enhanced.</w:t>
      </w:r>
    </w:p>
    <w:p w:rsidR="00D1010D" w:rsidP="61B5ABB9" w:rsidRDefault="00D1010D" w14:paraId="7AE00688" w14:textId="6202BB5E">
      <w:pPr>
        <w:spacing w:before="120" w:beforeAutospacing="off" w:after="120" w:afterAutospacing="off"/>
      </w:pPr>
      <w:r w:rsidRPr="61B5ABB9" w:rsidR="61B5ABB9">
        <w:rPr>
          <w:rFonts w:ascii="Calibri" w:hAnsi="Calibri" w:eastAsia="Calibri" w:cs="Calibri"/>
          <w:b w:val="1"/>
          <w:bCs w:val="1"/>
          <w:i w:val="0"/>
          <w:iCs w:val="0"/>
          <w:caps w:val="0"/>
          <w:smallCaps w:val="0"/>
          <w:noProof w:val="0"/>
          <w:color w:val="000000" w:themeColor="text1" w:themeTint="FF" w:themeShade="FF"/>
          <w:sz w:val="22"/>
          <w:szCs w:val="22"/>
          <w:lang w:val="en-US"/>
        </w:rPr>
        <w:t>PARTICIPANT IMPACT:</w:t>
      </w: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No direct impact on participants.</w:t>
      </w:r>
    </w:p>
    <w:p w:rsidR="00D1010D" w:rsidP="61B5ABB9" w:rsidRDefault="00D1010D" w14:paraId="04EC5E95" w14:textId="2EC8CFDE">
      <w:pPr>
        <w:spacing w:before="120" w:beforeAutospacing="off" w:after="120" w:afterAutospacing="off"/>
      </w:pPr>
      <w:r w:rsidRPr="61B5ABB9" w:rsidR="61B5ABB9">
        <w:rPr>
          <w:rFonts w:ascii="Calibri" w:hAnsi="Calibri" w:eastAsia="Calibri" w:cs="Calibri"/>
          <w:b w:val="1"/>
          <w:bCs w:val="1"/>
          <w:i w:val="0"/>
          <w:iCs w:val="0"/>
          <w:caps w:val="0"/>
          <w:smallCaps w:val="0"/>
          <w:noProof w:val="0"/>
          <w:color w:val="000000" w:themeColor="text1" w:themeTint="FF" w:themeShade="FF"/>
          <w:sz w:val="22"/>
          <w:szCs w:val="22"/>
          <w:lang w:val="en-US"/>
        </w:rPr>
        <w:t>RISK ASSESSMENT:</w:t>
      </w: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Risk significantly reduced through enhanced security measures including AES-256 encryption, 24/7 SOC monitoring, advanced threat detection, automated backup systems with geographic redundancy, and dual infrastructure capability during transition period ensuring continuity of operations.</w:t>
      </w:r>
    </w:p>
    <w:p w:rsidR="00D1010D" w:rsidP="61B5ABB9" w:rsidRDefault="00D1010D" w14:paraId="51243B48" w14:textId="245135EB">
      <w:pPr>
        <w:pStyle w:val="Heading2"/>
        <w:spacing w:before="225" w:beforeAutospacing="off" w:after="150" w:afterAutospacing="off"/>
      </w:pPr>
      <w:r w:rsidRPr="61B5ABB9" w:rsidR="61B5ABB9">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SUMMARY OF CHANGES</w:t>
      </w:r>
    </w:p>
    <w:tbl>
      <w:tblPr>
        <w:tblStyle w:val="TableNormal"/>
        <w:bidiVisual w:val="0"/>
        <w:tblW w:w="0" w:type="auto"/>
        <w:tblLayout w:type="fixed"/>
        <w:tblLook w:val="06A0" w:firstRow="1" w:lastRow="0" w:firstColumn="1" w:lastColumn="0" w:noHBand="1" w:noVBand="1"/>
      </w:tblPr>
      <w:tblGrid>
        <w:gridCol w:w="1754"/>
        <w:gridCol w:w="3803"/>
        <w:gridCol w:w="3803"/>
      </w:tblGrid>
      <w:tr w:rsidR="61B5ABB9" w:rsidTr="61B5ABB9" w14:paraId="63465D31">
        <w:trPr>
          <w:trHeight w:val="300"/>
        </w:trPr>
        <w:tc>
          <w:tcPr>
            <w:tcW w:w="1754" w:type="dxa"/>
            <w:tcBorders>
              <w:top w:val="single" w:color="000000" w:themeColor="text1" w:sz="6"/>
              <w:left w:val="single" w:color="000000" w:themeColor="text1" w:sz="6"/>
              <w:bottom w:val="single" w:color="000000" w:themeColor="text1" w:sz="6"/>
              <w:right w:val="single" w:color="000000" w:themeColor="text1" w:sz="6"/>
            </w:tcBorders>
            <w:shd w:val="clear" w:color="auto" w:fill="F0F0F0"/>
            <w:tcMar>
              <w:top w:w="120" w:type="dxa"/>
              <w:left w:w="120" w:type="dxa"/>
              <w:bottom w:w="120" w:type="dxa"/>
              <w:right w:w="120" w:type="dxa"/>
            </w:tcMar>
            <w:vAlign w:val="top"/>
          </w:tcPr>
          <w:p w:rsidR="61B5ABB9" w:rsidP="61B5ABB9" w:rsidRDefault="61B5ABB9" w14:paraId="4B491C89" w14:textId="65CBA5AC">
            <w:pPr>
              <w:spacing w:before="0" w:beforeAutospacing="off" w:after="0" w:afterAutospacing="off"/>
              <w:jc w:val="left"/>
            </w:pPr>
            <w:r w:rsidRPr="61B5ABB9" w:rsidR="61B5ABB9">
              <w:rPr>
                <w:rFonts w:ascii="Calibri" w:hAnsi="Calibri" w:eastAsia="Calibri" w:cs="Calibri"/>
                <w:b w:val="1"/>
                <w:bCs w:val="1"/>
                <w:i w:val="0"/>
                <w:iCs w:val="0"/>
                <w:caps w:val="0"/>
                <w:smallCaps w:val="0"/>
                <w:color w:val="000000" w:themeColor="text1" w:themeTint="FF" w:themeShade="FF"/>
                <w:sz w:val="20"/>
                <w:szCs w:val="20"/>
              </w:rPr>
              <w:t>DMP Section</w:t>
            </w:r>
          </w:p>
        </w:tc>
        <w:tc>
          <w:tcPr>
            <w:tcW w:w="3803" w:type="dxa"/>
            <w:tcBorders>
              <w:top w:val="single" w:color="000000" w:themeColor="text1" w:sz="6"/>
              <w:left w:val="single" w:color="000000" w:themeColor="text1" w:sz="6"/>
              <w:bottom w:val="single" w:color="000000" w:themeColor="text1" w:sz="6"/>
              <w:right w:val="single" w:color="000000" w:themeColor="text1" w:sz="6"/>
            </w:tcBorders>
            <w:shd w:val="clear" w:color="auto" w:fill="F0F0F0"/>
            <w:tcMar>
              <w:top w:w="120" w:type="dxa"/>
              <w:left w:w="120" w:type="dxa"/>
              <w:bottom w:w="120" w:type="dxa"/>
              <w:right w:w="120" w:type="dxa"/>
            </w:tcMar>
            <w:vAlign w:val="top"/>
          </w:tcPr>
          <w:p w:rsidR="61B5ABB9" w:rsidP="61B5ABB9" w:rsidRDefault="61B5ABB9" w14:paraId="3E65A6DA" w14:textId="15C16444">
            <w:pPr>
              <w:spacing w:before="0" w:beforeAutospacing="off" w:after="0" w:afterAutospacing="off"/>
              <w:jc w:val="left"/>
            </w:pPr>
            <w:r w:rsidRPr="61B5ABB9" w:rsidR="61B5ABB9">
              <w:rPr>
                <w:rFonts w:ascii="Calibri" w:hAnsi="Calibri" w:eastAsia="Calibri" w:cs="Calibri"/>
                <w:b w:val="1"/>
                <w:bCs w:val="1"/>
                <w:i w:val="0"/>
                <w:iCs w:val="0"/>
                <w:caps w:val="0"/>
                <w:smallCaps w:val="0"/>
                <w:color w:val="000000" w:themeColor="text1" w:themeTint="FF" w:themeShade="FF"/>
                <w:sz w:val="20"/>
                <w:szCs w:val="20"/>
              </w:rPr>
              <w:t>Specific Changes Made</w:t>
            </w:r>
          </w:p>
        </w:tc>
        <w:tc>
          <w:tcPr>
            <w:tcW w:w="3803" w:type="dxa"/>
            <w:tcBorders>
              <w:top w:val="single" w:color="000000" w:themeColor="text1" w:sz="6"/>
              <w:left w:val="single" w:color="000000" w:themeColor="text1" w:sz="6"/>
              <w:bottom w:val="single" w:color="000000" w:themeColor="text1" w:sz="6"/>
              <w:right w:val="single" w:color="000000" w:themeColor="text1" w:sz="6"/>
            </w:tcBorders>
            <w:shd w:val="clear" w:color="auto" w:fill="F0F0F0"/>
            <w:tcMar>
              <w:top w:w="120" w:type="dxa"/>
              <w:left w:w="120" w:type="dxa"/>
              <w:bottom w:w="120" w:type="dxa"/>
              <w:right w:w="120" w:type="dxa"/>
            </w:tcMar>
            <w:vAlign w:val="top"/>
          </w:tcPr>
          <w:p w:rsidR="61B5ABB9" w:rsidP="61B5ABB9" w:rsidRDefault="61B5ABB9" w14:paraId="4663FCB5" w14:textId="29EC5048">
            <w:pPr>
              <w:spacing w:before="0" w:beforeAutospacing="off" w:after="0" w:afterAutospacing="off"/>
              <w:jc w:val="left"/>
            </w:pPr>
            <w:r w:rsidRPr="61B5ABB9" w:rsidR="61B5ABB9">
              <w:rPr>
                <w:rFonts w:ascii="Calibri" w:hAnsi="Calibri" w:eastAsia="Calibri" w:cs="Calibri"/>
                <w:b w:val="1"/>
                <w:bCs w:val="1"/>
                <w:i w:val="0"/>
                <w:iCs w:val="0"/>
                <w:caps w:val="0"/>
                <w:smallCaps w:val="0"/>
                <w:color w:val="000000" w:themeColor="text1" w:themeTint="FF" w:themeShade="FF"/>
                <w:sz w:val="20"/>
                <w:szCs w:val="20"/>
              </w:rPr>
              <w:t>Rationale and Ethical Considerations</w:t>
            </w:r>
          </w:p>
        </w:tc>
      </w:tr>
      <w:tr w:rsidR="61B5ABB9" w:rsidTr="61B5ABB9" w14:paraId="7DE19575">
        <w:trPr>
          <w:trHeight w:val="300"/>
        </w:trPr>
        <w:tc>
          <w:tcPr>
            <w:tcW w:w="17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0C5EB4C7" w14:textId="21581FFA">
            <w:pPr>
              <w:spacing w:before="0" w:beforeAutospacing="off" w:after="0" w:afterAutospacing="off"/>
              <w:jc w:val="left"/>
            </w:pPr>
            <w:r w:rsidRPr="61B5ABB9" w:rsidR="61B5ABB9">
              <w:rPr>
                <w:rFonts w:ascii="Calibri" w:hAnsi="Calibri" w:eastAsia="Calibri" w:cs="Calibri"/>
                <w:b w:val="1"/>
                <w:bCs w:val="1"/>
                <w:i w:val="0"/>
                <w:iCs w:val="0"/>
                <w:caps w:val="0"/>
                <w:smallCaps w:val="0"/>
                <w:color w:val="000000" w:themeColor="text1" w:themeTint="FF" w:themeShade="FF"/>
                <w:sz w:val="20"/>
                <w:szCs w:val="20"/>
              </w:rPr>
              <w:t>Section 3.4</w:t>
            </w:r>
            <w:r>
              <w:br/>
            </w:r>
            <w:r w:rsidRPr="61B5ABB9" w:rsidR="61B5ABB9">
              <w:rPr>
                <w:rFonts w:ascii="Calibri" w:hAnsi="Calibri" w:eastAsia="Calibri" w:cs="Calibri"/>
                <w:b w:val="1"/>
                <w:bCs w:val="1"/>
                <w:i w:val="0"/>
                <w:iCs w:val="0"/>
                <w:caps w:val="0"/>
                <w:smallCaps w:val="0"/>
                <w:color w:val="000000" w:themeColor="text1" w:themeTint="FF" w:themeShade="FF"/>
                <w:sz w:val="20"/>
                <w:szCs w:val="20"/>
              </w:rPr>
              <w:t>Overview of Data Management Workflow</w:t>
            </w:r>
          </w:p>
        </w:tc>
        <w:tc>
          <w:tcPr>
            <w:tcW w:w="3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3A371CE2" w14:textId="141F2DD0">
            <w:pPr>
              <w:spacing w:before="0" w:beforeAutospacing="off" w:after="0" w:afterAutospacing="off"/>
              <w:jc w:val="left"/>
            </w:pPr>
            <w:r w:rsidRPr="61B5ABB9" w:rsidR="61B5ABB9">
              <w:rPr>
                <w:rFonts w:ascii="Calibri" w:hAnsi="Calibri" w:eastAsia="Calibri" w:cs="Calibri"/>
                <w:b w:val="0"/>
                <w:bCs w:val="0"/>
                <w:i w:val="0"/>
                <w:iCs w:val="0"/>
                <w:caps w:val="0"/>
                <w:smallCaps w:val="0"/>
                <w:color w:val="000000" w:themeColor="text1" w:themeTint="FF" w:themeShade="FF"/>
                <w:sz w:val="20"/>
                <w:szCs w:val="20"/>
              </w:rPr>
              <w:t>Added new section emphasizing Year 5 as transition period with goal of complete cloud migration by end of Year 5. Updated workflow diagram for clarity during transition.</w:t>
            </w:r>
          </w:p>
        </w:tc>
        <w:tc>
          <w:tcPr>
            <w:tcW w:w="3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7AA55C09" w14:textId="3F598E48">
            <w:pPr>
              <w:spacing w:before="0" w:beforeAutospacing="off" w:after="0" w:afterAutospacing="off"/>
              <w:jc w:val="left"/>
            </w:pPr>
            <w:r w:rsidRPr="61B5ABB9" w:rsidR="61B5ABB9">
              <w:rPr>
                <w:rFonts w:ascii="Calibri" w:hAnsi="Calibri" w:eastAsia="Calibri" w:cs="Calibri"/>
                <w:b w:val="0"/>
                <w:bCs w:val="0"/>
                <w:i w:val="0"/>
                <w:iCs w:val="0"/>
                <w:caps w:val="0"/>
                <w:smallCaps w:val="0"/>
                <w:color w:val="000000" w:themeColor="text1" w:themeTint="FF" w:themeShade="FF"/>
                <w:sz w:val="20"/>
                <w:szCs w:val="20"/>
              </w:rPr>
              <w:t>Clearly communicates temporary nature of dual infrastructure. Enhanced workflow visualization improves stakeholder understanding while maintaining participant data protection throughout transition.</w:t>
            </w:r>
          </w:p>
        </w:tc>
      </w:tr>
      <w:tr w:rsidR="61B5ABB9" w:rsidTr="61B5ABB9" w14:paraId="453F8CB7">
        <w:trPr>
          <w:trHeight w:val="300"/>
        </w:trPr>
        <w:tc>
          <w:tcPr>
            <w:tcW w:w="17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0F11D824" w14:textId="5E24BFB3">
            <w:pPr>
              <w:spacing w:before="0" w:beforeAutospacing="off" w:after="0" w:afterAutospacing="off"/>
              <w:jc w:val="left"/>
            </w:pPr>
            <w:r w:rsidRPr="61B5ABB9" w:rsidR="61B5ABB9">
              <w:rPr>
                <w:rFonts w:ascii="Calibri" w:hAnsi="Calibri" w:eastAsia="Calibri" w:cs="Calibri"/>
                <w:b w:val="1"/>
                <w:bCs w:val="1"/>
                <w:i w:val="0"/>
                <w:iCs w:val="0"/>
                <w:caps w:val="0"/>
                <w:smallCaps w:val="0"/>
                <w:color w:val="000000" w:themeColor="text1" w:themeTint="FF" w:themeShade="FF"/>
                <w:sz w:val="20"/>
                <w:szCs w:val="20"/>
              </w:rPr>
              <w:t>Section 4.1.2</w:t>
            </w:r>
            <w:r>
              <w:br/>
            </w:r>
            <w:r w:rsidRPr="61B5ABB9" w:rsidR="61B5ABB9">
              <w:rPr>
                <w:rFonts w:ascii="Calibri" w:hAnsi="Calibri" w:eastAsia="Calibri" w:cs="Calibri"/>
                <w:b w:val="1"/>
                <w:bCs w:val="1"/>
                <w:i w:val="0"/>
                <w:iCs w:val="0"/>
                <w:caps w:val="0"/>
                <w:smallCaps w:val="0"/>
                <w:color w:val="000000" w:themeColor="text1" w:themeTint="FF" w:themeShade="FF"/>
                <w:sz w:val="20"/>
                <w:szCs w:val="20"/>
              </w:rPr>
              <w:t>Original Study Data Storage</w:t>
            </w:r>
          </w:p>
        </w:tc>
        <w:tc>
          <w:tcPr>
            <w:tcW w:w="3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786A2A55" w14:textId="6F290593">
            <w:pPr>
              <w:spacing w:before="0" w:beforeAutospacing="off" w:after="0" w:afterAutospacing="off"/>
              <w:jc w:val="left"/>
            </w:pPr>
            <w:r w:rsidRPr="61B5ABB9" w:rsidR="61B5ABB9">
              <w:rPr>
                <w:rFonts w:ascii="Calibri" w:hAnsi="Calibri" w:eastAsia="Calibri" w:cs="Calibri"/>
                <w:b w:val="0"/>
                <w:bCs w:val="0"/>
                <w:i w:val="0"/>
                <w:iCs w:val="0"/>
                <w:caps w:val="0"/>
                <w:smallCaps w:val="0"/>
                <w:color w:val="000000" w:themeColor="text1" w:themeTint="FF" w:themeShade="FF"/>
                <w:sz w:val="20"/>
                <w:szCs w:val="20"/>
              </w:rPr>
              <w:t>Added WHC-managed cloud infrastructure with AES-256 encryption alongside UCT servers during transition period. Enhanced security measures implemented.</w:t>
            </w:r>
          </w:p>
        </w:tc>
        <w:tc>
          <w:tcPr>
            <w:tcW w:w="3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375E1B1A" w14:textId="24A48953">
            <w:pPr>
              <w:spacing w:before="0" w:beforeAutospacing="off" w:after="0" w:afterAutospacing="off"/>
              <w:jc w:val="left"/>
            </w:pPr>
            <w:r w:rsidRPr="61B5ABB9" w:rsidR="61B5ABB9">
              <w:rPr>
                <w:rFonts w:ascii="Calibri" w:hAnsi="Calibri" w:eastAsia="Calibri" w:cs="Calibri"/>
                <w:b w:val="0"/>
                <w:bCs w:val="0"/>
                <w:i w:val="0"/>
                <w:iCs w:val="0"/>
                <w:caps w:val="0"/>
                <w:smallCaps w:val="0"/>
                <w:color w:val="000000" w:themeColor="text1" w:themeTint="FF" w:themeShade="FF"/>
                <w:sz w:val="20"/>
                <w:szCs w:val="20"/>
              </w:rPr>
              <w:t>Significantly strengthens data protection through dual-layer security with enhanced encryption standards. Maintains continuity during transition while improving overall security posture.</w:t>
            </w:r>
          </w:p>
        </w:tc>
      </w:tr>
      <w:tr w:rsidR="61B5ABB9" w:rsidTr="61B5ABB9" w14:paraId="7EC80E8C">
        <w:trPr>
          <w:trHeight w:val="300"/>
        </w:trPr>
        <w:tc>
          <w:tcPr>
            <w:tcW w:w="17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4A869BBF" w14:textId="280966D0">
            <w:pPr>
              <w:spacing w:before="0" w:beforeAutospacing="off" w:after="0" w:afterAutospacing="off"/>
              <w:jc w:val="left"/>
            </w:pPr>
            <w:r w:rsidRPr="61B5ABB9" w:rsidR="61B5ABB9">
              <w:rPr>
                <w:rFonts w:ascii="Calibri" w:hAnsi="Calibri" w:eastAsia="Calibri" w:cs="Calibri"/>
                <w:b w:val="1"/>
                <w:bCs w:val="1"/>
                <w:i w:val="0"/>
                <w:iCs w:val="0"/>
                <w:caps w:val="0"/>
                <w:smallCaps w:val="0"/>
                <w:color w:val="000000" w:themeColor="text1" w:themeTint="FF" w:themeShade="FF"/>
                <w:sz w:val="20"/>
                <w:szCs w:val="20"/>
              </w:rPr>
              <w:t>Section 6.1</w:t>
            </w:r>
            <w:r>
              <w:br/>
            </w:r>
            <w:r w:rsidRPr="61B5ABB9" w:rsidR="61B5ABB9">
              <w:rPr>
                <w:rFonts w:ascii="Calibri" w:hAnsi="Calibri" w:eastAsia="Calibri" w:cs="Calibri"/>
                <w:b w:val="1"/>
                <w:bCs w:val="1"/>
                <w:i w:val="0"/>
                <w:iCs w:val="0"/>
                <w:caps w:val="0"/>
                <w:smallCaps w:val="0"/>
                <w:color w:val="000000" w:themeColor="text1" w:themeTint="FF" w:themeShade="FF"/>
                <w:sz w:val="20"/>
                <w:szCs w:val="20"/>
              </w:rPr>
              <w:t>Data Pre-processing Infrastructure</w:t>
            </w:r>
          </w:p>
        </w:tc>
        <w:tc>
          <w:tcPr>
            <w:tcW w:w="3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4930EB41" w14:textId="3F90F2F6">
            <w:pPr>
              <w:spacing w:before="0" w:beforeAutospacing="off" w:after="0" w:afterAutospacing="off"/>
              <w:jc w:val="left"/>
            </w:pPr>
            <w:r w:rsidRPr="61B5ABB9" w:rsidR="61B5ABB9">
              <w:rPr>
                <w:rFonts w:ascii="Calibri" w:hAnsi="Calibri" w:eastAsia="Calibri" w:cs="Calibri"/>
                <w:b w:val="0"/>
                <w:bCs w:val="0"/>
                <w:i w:val="0"/>
                <w:iCs w:val="0"/>
                <w:caps w:val="0"/>
                <w:smallCaps w:val="0"/>
                <w:color w:val="000000" w:themeColor="text1" w:themeTint="FF" w:themeShade="FF"/>
                <w:sz w:val="20"/>
                <w:szCs w:val="20"/>
              </w:rPr>
              <w:t>Enhanced with WHC-managed cloud infrastructure featuring automated backup systems and enhanced security monitoring capabilities.</w:t>
            </w:r>
          </w:p>
        </w:tc>
        <w:tc>
          <w:tcPr>
            <w:tcW w:w="3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3C706F6F" w14:textId="3C17255E">
            <w:pPr>
              <w:spacing w:before="0" w:beforeAutospacing="off" w:after="0" w:afterAutospacing="off"/>
              <w:jc w:val="left"/>
            </w:pPr>
            <w:r w:rsidRPr="61B5ABB9" w:rsidR="61B5ABB9">
              <w:rPr>
                <w:rFonts w:ascii="Calibri" w:hAnsi="Calibri" w:eastAsia="Calibri" w:cs="Calibri"/>
                <w:b w:val="0"/>
                <w:bCs w:val="0"/>
                <w:i w:val="0"/>
                <w:iCs w:val="0"/>
                <w:caps w:val="0"/>
                <w:smallCaps w:val="0"/>
                <w:color w:val="000000" w:themeColor="text1" w:themeTint="FF" w:themeShade="FF"/>
                <w:sz w:val="20"/>
                <w:szCs w:val="20"/>
              </w:rPr>
              <w:t>Strengthens data integrity protection through automated systems and continuous monitoring. Reduces risk of data loss and improves disaster recovery capabilities.</w:t>
            </w:r>
          </w:p>
        </w:tc>
      </w:tr>
      <w:tr w:rsidR="61B5ABB9" w:rsidTr="61B5ABB9" w14:paraId="1707E95A">
        <w:trPr>
          <w:trHeight w:val="300"/>
        </w:trPr>
        <w:tc>
          <w:tcPr>
            <w:tcW w:w="17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4EEFA75E" w14:textId="1D5C225B">
            <w:pPr>
              <w:spacing w:before="0" w:beforeAutospacing="off" w:after="0" w:afterAutospacing="off"/>
              <w:jc w:val="left"/>
            </w:pPr>
            <w:r w:rsidRPr="61B5ABB9" w:rsidR="61B5ABB9">
              <w:rPr>
                <w:rFonts w:ascii="Calibri" w:hAnsi="Calibri" w:eastAsia="Calibri" w:cs="Calibri"/>
                <w:b w:val="1"/>
                <w:bCs w:val="1"/>
                <w:i w:val="0"/>
                <w:iCs w:val="0"/>
                <w:caps w:val="0"/>
                <w:smallCaps w:val="0"/>
                <w:color w:val="000000" w:themeColor="text1" w:themeTint="FF" w:themeShade="FF"/>
                <w:sz w:val="20"/>
                <w:szCs w:val="20"/>
              </w:rPr>
              <w:t>Section 8</w:t>
            </w:r>
            <w:r>
              <w:br/>
            </w:r>
            <w:r w:rsidRPr="61B5ABB9" w:rsidR="61B5ABB9">
              <w:rPr>
                <w:rFonts w:ascii="Calibri" w:hAnsi="Calibri" w:eastAsia="Calibri" w:cs="Calibri"/>
                <w:b w:val="1"/>
                <w:bCs w:val="1"/>
                <w:i w:val="0"/>
                <w:iCs w:val="0"/>
                <w:caps w:val="0"/>
                <w:smallCaps w:val="0"/>
                <w:color w:val="000000" w:themeColor="text1" w:themeTint="FF" w:themeShade="FF"/>
                <w:sz w:val="20"/>
                <w:szCs w:val="20"/>
              </w:rPr>
              <w:t>Data Analysis Platform</w:t>
            </w:r>
          </w:p>
        </w:tc>
        <w:tc>
          <w:tcPr>
            <w:tcW w:w="3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3D2C782A" w14:textId="6ED1362B">
            <w:pPr>
              <w:spacing w:before="0" w:beforeAutospacing="off" w:after="0" w:afterAutospacing="off"/>
              <w:jc w:val="left"/>
            </w:pPr>
            <w:r w:rsidRPr="61B5ABB9" w:rsidR="61B5ABB9">
              <w:rPr>
                <w:rFonts w:ascii="Calibri" w:hAnsi="Calibri" w:eastAsia="Calibri" w:cs="Calibri"/>
                <w:b w:val="0"/>
                <w:bCs w:val="0"/>
                <w:i w:val="0"/>
                <w:iCs w:val="0"/>
                <w:caps w:val="0"/>
                <w:smallCaps w:val="0"/>
                <w:color w:val="000000" w:themeColor="text1" w:themeTint="FF" w:themeShade="FF"/>
                <w:sz w:val="20"/>
                <w:szCs w:val="20"/>
              </w:rPr>
              <w:t>Added cloud-based computational resources with GPU acceleration and enhanced capabilities while maintaining existing UCT systems.</w:t>
            </w:r>
          </w:p>
        </w:tc>
        <w:tc>
          <w:tcPr>
            <w:tcW w:w="3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2725FE10" w14:textId="348F86B4">
            <w:pPr>
              <w:spacing w:before="0" w:beforeAutospacing="off" w:after="0" w:afterAutospacing="off"/>
              <w:jc w:val="left"/>
            </w:pPr>
            <w:r w:rsidRPr="61B5ABB9" w:rsidR="61B5ABB9">
              <w:rPr>
                <w:rFonts w:ascii="Calibri" w:hAnsi="Calibri" w:eastAsia="Calibri" w:cs="Calibri"/>
                <w:b w:val="0"/>
                <w:bCs w:val="0"/>
                <w:i w:val="0"/>
                <w:iCs w:val="0"/>
                <w:caps w:val="0"/>
                <w:smallCaps w:val="0"/>
                <w:color w:val="000000" w:themeColor="text1" w:themeTint="FF" w:themeShade="FF"/>
                <w:sz w:val="20"/>
                <w:szCs w:val="20"/>
              </w:rPr>
              <w:t>Improves research analytical capabilities while maintaining security standards. Enhanced computational resources support more sophisticated analyses without compromising data protection.</w:t>
            </w:r>
          </w:p>
        </w:tc>
      </w:tr>
      <w:tr w:rsidR="61B5ABB9" w:rsidTr="61B5ABB9" w14:paraId="402E1E54">
        <w:trPr>
          <w:trHeight w:val="300"/>
        </w:trPr>
        <w:tc>
          <w:tcPr>
            <w:tcW w:w="17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1DC4932D" w14:textId="2AD4BFC9">
            <w:pPr>
              <w:spacing w:before="0" w:beforeAutospacing="off" w:after="0" w:afterAutospacing="off"/>
              <w:jc w:val="left"/>
            </w:pPr>
            <w:r w:rsidRPr="61B5ABB9" w:rsidR="61B5ABB9">
              <w:rPr>
                <w:rFonts w:ascii="Calibri" w:hAnsi="Calibri" w:eastAsia="Calibri" w:cs="Calibri"/>
                <w:b w:val="1"/>
                <w:bCs w:val="1"/>
                <w:i w:val="0"/>
                <w:iCs w:val="0"/>
                <w:caps w:val="0"/>
                <w:smallCaps w:val="0"/>
                <w:color w:val="000000" w:themeColor="text1" w:themeTint="FF" w:themeShade="FF"/>
                <w:sz w:val="20"/>
                <w:szCs w:val="20"/>
              </w:rPr>
              <w:t>Section 10</w:t>
            </w:r>
            <w:r>
              <w:br/>
            </w:r>
            <w:r w:rsidRPr="61B5ABB9" w:rsidR="61B5ABB9">
              <w:rPr>
                <w:rFonts w:ascii="Calibri" w:hAnsi="Calibri" w:eastAsia="Calibri" w:cs="Calibri"/>
                <w:b w:val="1"/>
                <w:bCs w:val="1"/>
                <w:i w:val="0"/>
                <w:iCs w:val="0"/>
                <w:caps w:val="0"/>
                <w:smallCaps w:val="0"/>
                <w:color w:val="000000" w:themeColor="text1" w:themeTint="FF" w:themeShade="FF"/>
                <w:sz w:val="20"/>
                <w:szCs w:val="20"/>
              </w:rPr>
              <w:t>Data Sharing</w:t>
            </w:r>
          </w:p>
        </w:tc>
        <w:tc>
          <w:tcPr>
            <w:tcW w:w="3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34FD305E" w14:textId="27AA8D08">
            <w:pPr>
              <w:spacing w:before="0" w:beforeAutospacing="off" w:after="0" w:afterAutospacing="off"/>
              <w:jc w:val="left"/>
            </w:pPr>
            <w:r w:rsidRPr="61B5ABB9" w:rsidR="61B5ABB9">
              <w:rPr>
                <w:rFonts w:ascii="Calibri" w:hAnsi="Calibri" w:eastAsia="Calibri" w:cs="Calibri"/>
                <w:b w:val="0"/>
                <w:bCs w:val="0"/>
                <w:i w:val="0"/>
                <w:iCs w:val="0"/>
                <w:caps w:val="0"/>
                <w:smallCaps w:val="0"/>
                <w:color w:val="000000" w:themeColor="text1" w:themeTint="FF" w:themeShade="FF"/>
                <w:sz w:val="20"/>
                <w:szCs w:val="20"/>
              </w:rPr>
              <w:t>Implemented universal DAC review requirement for ALL projects (internal consortium and external researchers). No exceptions to DAC review process.</w:t>
            </w:r>
          </w:p>
        </w:tc>
        <w:tc>
          <w:tcPr>
            <w:tcW w:w="3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7FA61238" w14:textId="6F9CE5A2">
            <w:pPr>
              <w:spacing w:before="0" w:beforeAutospacing="off" w:after="0" w:afterAutospacing="off"/>
              <w:jc w:val="left"/>
            </w:pPr>
            <w:r w:rsidRPr="61B5ABB9" w:rsidR="61B5ABB9">
              <w:rPr>
                <w:rFonts w:ascii="Calibri" w:hAnsi="Calibri" w:eastAsia="Calibri" w:cs="Calibri"/>
                <w:b w:val="0"/>
                <w:bCs w:val="0"/>
                <w:i w:val="0"/>
                <w:iCs w:val="0"/>
                <w:caps w:val="0"/>
                <w:smallCaps w:val="0"/>
                <w:color w:val="000000" w:themeColor="text1" w:themeTint="FF" w:themeShade="FF"/>
                <w:sz w:val="20"/>
                <w:szCs w:val="20"/>
              </w:rPr>
              <w:t>Ensures equitable data sharing and maintains comprehensive tracking of all projects using the data. Strengthens governance and ethical oversight across all data usage.</w:t>
            </w:r>
          </w:p>
        </w:tc>
      </w:tr>
      <w:tr w:rsidR="61B5ABB9" w:rsidTr="61B5ABB9" w14:paraId="5CF30717">
        <w:trPr>
          <w:trHeight w:val="300"/>
        </w:trPr>
        <w:tc>
          <w:tcPr>
            <w:tcW w:w="17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2D3E40A0" w14:textId="2FA8ED7E">
            <w:pPr>
              <w:spacing w:before="0" w:beforeAutospacing="off" w:after="0" w:afterAutospacing="off"/>
              <w:jc w:val="left"/>
            </w:pPr>
            <w:r w:rsidRPr="61B5ABB9" w:rsidR="61B5ABB9">
              <w:rPr>
                <w:rFonts w:ascii="Calibri" w:hAnsi="Calibri" w:eastAsia="Calibri" w:cs="Calibri"/>
                <w:b w:val="1"/>
                <w:bCs w:val="1"/>
                <w:i w:val="0"/>
                <w:iCs w:val="0"/>
                <w:caps w:val="0"/>
                <w:smallCaps w:val="0"/>
                <w:color w:val="000000" w:themeColor="text1" w:themeTint="FF" w:themeShade="FF"/>
                <w:sz w:val="20"/>
                <w:szCs w:val="20"/>
              </w:rPr>
              <w:t>Section 14</w:t>
            </w:r>
            <w:r>
              <w:br/>
            </w:r>
            <w:r w:rsidRPr="61B5ABB9" w:rsidR="61B5ABB9">
              <w:rPr>
                <w:rFonts w:ascii="Calibri" w:hAnsi="Calibri" w:eastAsia="Calibri" w:cs="Calibri"/>
                <w:b w:val="1"/>
                <w:bCs w:val="1"/>
                <w:i w:val="0"/>
                <w:iCs w:val="0"/>
                <w:caps w:val="0"/>
                <w:smallCaps w:val="0"/>
                <w:color w:val="000000" w:themeColor="text1" w:themeTint="FF" w:themeShade="FF"/>
                <w:sz w:val="20"/>
                <w:szCs w:val="20"/>
              </w:rPr>
              <w:t>Restricted Data Access</w:t>
            </w:r>
          </w:p>
        </w:tc>
        <w:tc>
          <w:tcPr>
            <w:tcW w:w="3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6AB4F722" w14:textId="78957466">
            <w:pPr>
              <w:spacing w:before="0" w:beforeAutospacing="off" w:after="0" w:afterAutospacing="off"/>
              <w:jc w:val="left"/>
            </w:pPr>
            <w:r w:rsidRPr="61B5ABB9" w:rsidR="61B5ABB9">
              <w:rPr>
                <w:rFonts w:ascii="Calibri" w:hAnsi="Calibri" w:eastAsia="Calibri" w:cs="Calibri"/>
                <w:b w:val="0"/>
                <w:bCs w:val="0"/>
                <w:i w:val="0"/>
                <w:iCs w:val="0"/>
                <w:caps w:val="0"/>
                <w:smallCaps w:val="0"/>
                <w:color w:val="000000" w:themeColor="text1" w:themeTint="FF" w:themeShade="FF"/>
                <w:sz w:val="20"/>
                <w:szCs w:val="20"/>
              </w:rPr>
              <w:t>Enhanced security measures: AES-256 encryption, 24/7 SOC monitoring, advanced threat detection, automated compliance reporting, cloud-native firewall services.</w:t>
            </w:r>
          </w:p>
        </w:tc>
        <w:tc>
          <w:tcPr>
            <w:tcW w:w="3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065C2CF1" w14:textId="7BE515F4">
            <w:pPr>
              <w:spacing w:before="0" w:beforeAutospacing="off" w:after="0" w:afterAutospacing="off"/>
              <w:jc w:val="left"/>
            </w:pPr>
            <w:r w:rsidRPr="61B5ABB9" w:rsidR="61B5ABB9">
              <w:rPr>
                <w:rFonts w:ascii="Calibri" w:hAnsi="Calibri" w:eastAsia="Calibri" w:cs="Calibri"/>
                <w:b w:val="0"/>
                <w:bCs w:val="0"/>
                <w:i w:val="0"/>
                <w:iCs w:val="0"/>
                <w:caps w:val="0"/>
                <w:smallCaps w:val="0"/>
                <w:color w:val="000000" w:themeColor="text1" w:themeTint="FF" w:themeShade="FF"/>
                <w:sz w:val="20"/>
                <w:szCs w:val="20"/>
              </w:rPr>
              <w:t>Significantly strengthens data protection through professional-grade security monitoring and enhanced encryption. Provides proactive threat detection and incident response capabilities.</w:t>
            </w:r>
          </w:p>
        </w:tc>
      </w:tr>
      <w:tr w:rsidR="61B5ABB9" w:rsidTr="61B5ABB9" w14:paraId="35C2AE52">
        <w:trPr>
          <w:trHeight w:val="300"/>
        </w:trPr>
        <w:tc>
          <w:tcPr>
            <w:tcW w:w="17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3DD1E2CD" w14:textId="18D84784">
            <w:pPr>
              <w:spacing w:before="0" w:beforeAutospacing="off" w:after="0" w:afterAutospacing="off"/>
              <w:jc w:val="left"/>
            </w:pPr>
            <w:r w:rsidRPr="61B5ABB9" w:rsidR="61B5ABB9">
              <w:rPr>
                <w:rFonts w:ascii="Calibri" w:hAnsi="Calibri" w:eastAsia="Calibri" w:cs="Calibri"/>
                <w:b w:val="1"/>
                <w:bCs w:val="1"/>
                <w:i w:val="0"/>
                <w:iCs w:val="0"/>
                <w:caps w:val="0"/>
                <w:smallCaps w:val="0"/>
                <w:color w:val="000000" w:themeColor="text1" w:themeTint="FF" w:themeShade="FF"/>
                <w:sz w:val="20"/>
                <w:szCs w:val="20"/>
              </w:rPr>
              <w:t>Section 15</w:t>
            </w:r>
            <w:r>
              <w:br/>
            </w:r>
            <w:r w:rsidRPr="61B5ABB9" w:rsidR="61B5ABB9">
              <w:rPr>
                <w:rFonts w:ascii="Calibri" w:hAnsi="Calibri" w:eastAsia="Calibri" w:cs="Calibri"/>
                <w:b w:val="1"/>
                <w:bCs w:val="1"/>
                <w:i w:val="0"/>
                <w:iCs w:val="0"/>
                <w:caps w:val="0"/>
                <w:smallCaps w:val="0"/>
                <w:color w:val="000000" w:themeColor="text1" w:themeTint="FF" w:themeShade="FF"/>
                <w:sz w:val="20"/>
                <w:szCs w:val="20"/>
              </w:rPr>
              <w:t>Roles and Responsibilities</w:t>
            </w:r>
          </w:p>
        </w:tc>
        <w:tc>
          <w:tcPr>
            <w:tcW w:w="3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40BC3C74" w14:textId="604041F7">
            <w:pPr>
              <w:spacing w:before="0" w:beforeAutospacing="off" w:after="0" w:afterAutospacing="off"/>
              <w:jc w:val="left"/>
            </w:pPr>
            <w:r w:rsidRPr="61B5ABB9" w:rsidR="61B5ABB9">
              <w:rPr>
                <w:rFonts w:ascii="Calibri" w:hAnsi="Calibri" w:eastAsia="Calibri" w:cs="Calibri"/>
                <w:b w:val="0"/>
                <w:bCs w:val="0"/>
                <w:i w:val="0"/>
                <w:iCs w:val="0"/>
                <w:caps w:val="0"/>
                <w:smallCaps w:val="0"/>
                <w:color w:val="000000" w:themeColor="text1" w:themeTint="FF" w:themeShade="FF"/>
                <w:sz w:val="20"/>
                <w:szCs w:val="20"/>
              </w:rPr>
              <w:t>Added WHC responsibilities in data management infrastructure. Updated to generalized institutional roles with contact information maintained separately.</w:t>
            </w:r>
          </w:p>
        </w:tc>
        <w:tc>
          <w:tcPr>
            <w:tcW w:w="3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01E270A2" w14:textId="5711A5BE">
            <w:pPr>
              <w:spacing w:before="0" w:beforeAutospacing="off" w:after="0" w:afterAutospacing="off"/>
              <w:jc w:val="left"/>
            </w:pPr>
            <w:r w:rsidRPr="61B5ABB9" w:rsidR="61B5ABB9">
              <w:rPr>
                <w:rFonts w:ascii="Calibri" w:hAnsi="Calibri" w:eastAsia="Calibri" w:cs="Calibri"/>
                <w:b w:val="0"/>
                <w:bCs w:val="0"/>
                <w:i w:val="0"/>
                <w:iCs w:val="0"/>
                <w:caps w:val="0"/>
                <w:smallCaps w:val="0"/>
                <w:color w:val="000000" w:themeColor="text1" w:themeTint="FF" w:themeShade="FF"/>
                <w:sz w:val="20"/>
                <w:szCs w:val="20"/>
              </w:rPr>
              <w:t>Clarifies operational responsibilities during transition. Improves document maintenance by separating contact details, reducing need for future amendments due to personnel changes.</w:t>
            </w:r>
          </w:p>
        </w:tc>
      </w:tr>
      <w:tr w:rsidR="61B5ABB9" w:rsidTr="61B5ABB9" w14:paraId="19DE7EE2">
        <w:trPr>
          <w:trHeight w:val="300"/>
        </w:trPr>
        <w:tc>
          <w:tcPr>
            <w:tcW w:w="17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09BEEB22" w14:textId="05EF1B09">
            <w:pPr>
              <w:spacing w:before="0" w:beforeAutospacing="off" w:after="0" w:afterAutospacing="off"/>
              <w:jc w:val="left"/>
            </w:pPr>
            <w:r w:rsidRPr="61B5ABB9" w:rsidR="61B5ABB9">
              <w:rPr>
                <w:rFonts w:ascii="Calibri" w:hAnsi="Calibri" w:eastAsia="Calibri" w:cs="Calibri"/>
                <w:b w:val="1"/>
                <w:bCs w:val="1"/>
                <w:i w:val="0"/>
                <w:iCs w:val="0"/>
                <w:caps w:val="0"/>
                <w:smallCaps w:val="0"/>
                <w:color w:val="000000" w:themeColor="text1" w:themeTint="FF" w:themeShade="FF"/>
                <w:sz w:val="20"/>
                <w:szCs w:val="20"/>
              </w:rPr>
              <w:t>Annex 1</w:t>
            </w:r>
            <w:r>
              <w:br/>
            </w:r>
            <w:r w:rsidRPr="61B5ABB9" w:rsidR="61B5ABB9">
              <w:rPr>
                <w:rFonts w:ascii="Calibri" w:hAnsi="Calibri" w:eastAsia="Calibri" w:cs="Calibri"/>
                <w:b w:val="1"/>
                <w:bCs w:val="1"/>
                <w:i w:val="0"/>
                <w:iCs w:val="0"/>
                <w:caps w:val="0"/>
                <w:smallCaps w:val="0"/>
                <w:color w:val="000000" w:themeColor="text1" w:themeTint="FF" w:themeShade="FF"/>
                <w:sz w:val="20"/>
                <w:szCs w:val="20"/>
              </w:rPr>
              <w:t>Transition Implementation</w:t>
            </w:r>
          </w:p>
        </w:tc>
        <w:tc>
          <w:tcPr>
            <w:tcW w:w="3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3CB06DDF" w14:textId="48FC0591">
            <w:pPr>
              <w:spacing w:before="0" w:beforeAutospacing="off" w:after="0" w:afterAutospacing="off"/>
              <w:jc w:val="left"/>
            </w:pPr>
            <w:r w:rsidRPr="61B5ABB9" w:rsidR="61B5ABB9">
              <w:rPr>
                <w:rFonts w:ascii="Calibri" w:hAnsi="Calibri" w:eastAsia="Calibri" w:cs="Calibri"/>
                <w:b w:val="0"/>
                <w:bCs w:val="0"/>
                <w:i w:val="0"/>
                <w:iCs w:val="0"/>
                <w:caps w:val="0"/>
                <w:smallCaps w:val="0"/>
                <w:color w:val="000000" w:themeColor="text1" w:themeTint="FF" w:themeShade="FF"/>
                <w:sz w:val="20"/>
                <w:szCs w:val="20"/>
              </w:rPr>
              <w:t>New comprehensive transition framework including 5-phase migration strategy, data provider communication template, and systematic approach to cloud migration.</w:t>
            </w:r>
          </w:p>
        </w:tc>
        <w:tc>
          <w:tcPr>
            <w:tcW w:w="38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top"/>
          </w:tcPr>
          <w:p w:rsidR="61B5ABB9" w:rsidP="61B5ABB9" w:rsidRDefault="61B5ABB9" w14:paraId="3F31C191" w14:textId="4C045475">
            <w:pPr>
              <w:spacing w:before="0" w:beforeAutospacing="off" w:after="0" w:afterAutospacing="off"/>
              <w:jc w:val="left"/>
            </w:pPr>
            <w:r w:rsidRPr="61B5ABB9" w:rsidR="61B5ABB9">
              <w:rPr>
                <w:rFonts w:ascii="Calibri" w:hAnsi="Calibri" w:eastAsia="Calibri" w:cs="Calibri"/>
                <w:b w:val="0"/>
                <w:bCs w:val="0"/>
                <w:i w:val="0"/>
                <w:iCs w:val="0"/>
                <w:caps w:val="0"/>
                <w:smallCaps w:val="0"/>
                <w:color w:val="000000" w:themeColor="text1" w:themeTint="FF" w:themeShade="FF"/>
                <w:sz w:val="20"/>
                <w:szCs w:val="20"/>
              </w:rPr>
              <w:t>Ensures systematic and ethical approach to migration. Provides transparency to data providers and maintains participant protection throughout the transition process.</w:t>
            </w:r>
          </w:p>
        </w:tc>
      </w:tr>
    </w:tbl>
    <w:p w:rsidR="00D1010D" w:rsidP="61B5ABB9" w:rsidRDefault="00D1010D" w14:paraId="3AA0825B" w14:textId="558F1C12">
      <w:pPr>
        <w:pStyle w:val="Heading2"/>
        <w:bidi w:val="0"/>
        <w:spacing w:before="225" w:beforeAutospacing="off" w:after="150" w:afterAutospacing="off"/>
      </w:pPr>
      <w:r w:rsidRPr="61B5ABB9" w:rsidR="61B5ABB9">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ETHICAL IMPACT ASSESSMENT</w:t>
      </w:r>
    </w:p>
    <w:p w:rsidR="00D1010D" w:rsidP="61B5ABB9" w:rsidRDefault="00D1010D" w14:paraId="156A0C63" w14:textId="17B01547">
      <w:pPr>
        <w:bidi w:val="0"/>
        <w:spacing w:before="120" w:beforeAutospacing="off" w:after="120" w:afterAutospacing="off"/>
      </w:pPr>
      <w:r w:rsidRPr="61B5ABB9" w:rsidR="61B5ABB9">
        <w:rPr>
          <w:rFonts w:ascii="Calibri" w:hAnsi="Calibri" w:eastAsia="Calibri" w:cs="Calibri"/>
          <w:b w:val="1"/>
          <w:bCs w:val="1"/>
          <w:i w:val="0"/>
          <w:iCs w:val="0"/>
          <w:caps w:val="0"/>
          <w:smallCaps w:val="0"/>
          <w:noProof w:val="0"/>
          <w:color w:val="000000" w:themeColor="text1" w:themeTint="FF" w:themeShade="FF"/>
          <w:sz w:val="22"/>
          <w:szCs w:val="22"/>
          <w:lang w:val="en-US"/>
        </w:rPr>
        <w:t>Participant Rights:</w:t>
      </w: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All existing participant rights maintained and significantly enhanced through implementation of dual infrastructure with enhanced security measures during transition period.</w:t>
      </w:r>
    </w:p>
    <w:p w:rsidR="00D1010D" w:rsidP="61B5ABB9" w:rsidRDefault="00D1010D" w14:paraId="2B6012B0" w14:textId="2745FA1E">
      <w:pPr>
        <w:bidi w:val="0"/>
        <w:spacing w:before="120" w:beforeAutospacing="off" w:after="120" w:afterAutospacing="off"/>
      </w:pPr>
      <w:r w:rsidRPr="61B5ABB9" w:rsidR="61B5ABB9">
        <w:rPr>
          <w:rFonts w:ascii="Calibri" w:hAnsi="Calibri" w:eastAsia="Calibri" w:cs="Calibri"/>
          <w:b w:val="1"/>
          <w:bCs w:val="1"/>
          <w:i w:val="0"/>
          <w:iCs w:val="0"/>
          <w:caps w:val="0"/>
          <w:smallCaps w:val="0"/>
          <w:noProof w:val="0"/>
          <w:color w:val="000000" w:themeColor="text1" w:themeTint="FF" w:themeShade="FF"/>
          <w:sz w:val="22"/>
          <w:szCs w:val="22"/>
          <w:lang w:val="en-US"/>
        </w:rPr>
        <w:t>Data Protection:</w:t>
      </w: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Substantial enhancement achieved through:</w:t>
      </w:r>
    </w:p>
    <w:p w:rsidR="00D1010D" w:rsidP="61B5ABB9" w:rsidRDefault="00D1010D" w14:paraId="75B4A052" w14:textId="1C977B58">
      <w:pPr>
        <w:pStyle w:val="ListParagraph"/>
        <w:numPr>
          <w:ilvl w:val="0"/>
          <w:numId w:val="1"/>
        </w:numPr>
        <w:bidi w:val="0"/>
        <w:spacing w:before="220" w:beforeAutospacing="off" w:after="22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AES-256 encryption standard for all data in transit and at rest</w:t>
      </w:r>
    </w:p>
    <w:p w:rsidR="00D1010D" w:rsidP="61B5ABB9" w:rsidRDefault="00D1010D" w14:paraId="17A0F8D5" w14:textId="097B1320">
      <w:pPr>
        <w:pStyle w:val="ListParagraph"/>
        <w:numPr>
          <w:ilvl w:val="0"/>
          <w:numId w:val="1"/>
        </w:numPr>
        <w:bidi w:val="0"/>
        <w:spacing w:before="220" w:beforeAutospacing="off" w:after="22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24/7 Security Operations Centre (SOC) monitoring with advanced threat detection</w:t>
      </w:r>
    </w:p>
    <w:p w:rsidR="00D1010D" w:rsidP="61B5ABB9" w:rsidRDefault="00D1010D" w14:paraId="02D3F85F" w14:textId="5D385125">
      <w:pPr>
        <w:pStyle w:val="ListParagraph"/>
        <w:numPr>
          <w:ilvl w:val="0"/>
          <w:numId w:val="1"/>
        </w:numPr>
        <w:bidi w:val="0"/>
        <w:spacing w:before="220" w:beforeAutospacing="off" w:after="22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Dual infrastructure capability ensuring continuity during transition</w:t>
      </w:r>
    </w:p>
    <w:p w:rsidR="00D1010D" w:rsidP="61B5ABB9" w:rsidRDefault="00D1010D" w14:paraId="7B2094B9" w14:textId="6E691306">
      <w:pPr>
        <w:pStyle w:val="ListParagraph"/>
        <w:numPr>
          <w:ilvl w:val="0"/>
          <w:numId w:val="1"/>
        </w:numPr>
        <w:bidi w:val="0"/>
        <w:spacing w:before="220" w:beforeAutospacing="off" w:after="22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Automated backup systems with geographic redundancy</w:t>
      </w:r>
    </w:p>
    <w:p w:rsidR="00D1010D" w:rsidP="61B5ABB9" w:rsidRDefault="00D1010D" w14:paraId="1A40820F" w14:textId="3F88D9D4">
      <w:pPr>
        <w:pStyle w:val="ListParagraph"/>
        <w:numPr>
          <w:ilvl w:val="0"/>
          <w:numId w:val="1"/>
        </w:numPr>
        <w:bidi w:val="0"/>
        <w:spacing w:before="220" w:beforeAutospacing="off" w:after="22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Enhanced disaster recovery capabilities</w:t>
      </w:r>
    </w:p>
    <w:p w:rsidR="00D1010D" w:rsidP="61B5ABB9" w:rsidRDefault="00D1010D" w14:paraId="7B2A4C6A" w14:textId="03F36B94">
      <w:pPr>
        <w:pStyle w:val="ListParagraph"/>
        <w:numPr>
          <w:ilvl w:val="0"/>
          <w:numId w:val="1"/>
        </w:numPr>
        <w:bidi w:val="0"/>
        <w:spacing w:before="220" w:beforeAutospacing="off" w:after="22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Cloud-native firewall services alongside existing security measures</w:t>
      </w:r>
    </w:p>
    <w:p w:rsidR="00D1010D" w:rsidP="61B5ABB9" w:rsidRDefault="00D1010D" w14:paraId="6FC0FFD6" w14:textId="1C16A857">
      <w:pPr>
        <w:bidi w:val="0"/>
        <w:spacing w:before="120" w:beforeAutospacing="off" w:after="120" w:afterAutospacing="off"/>
      </w:pPr>
      <w:r w:rsidRPr="61B5ABB9" w:rsidR="61B5ABB9">
        <w:rPr>
          <w:rFonts w:ascii="Calibri" w:hAnsi="Calibri" w:eastAsia="Calibri" w:cs="Calibri"/>
          <w:b w:val="1"/>
          <w:bCs w:val="1"/>
          <w:i w:val="0"/>
          <w:iCs w:val="0"/>
          <w:caps w:val="0"/>
          <w:smallCaps w:val="0"/>
          <w:noProof w:val="0"/>
          <w:color w:val="000000" w:themeColor="text1" w:themeTint="FF" w:themeShade="FF"/>
          <w:sz w:val="22"/>
          <w:szCs w:val="22"/>
          <w:lang w:val="en-US"/>
        </w:rPr>
        <w:t>Consent and Transparency:</w:t>
      </w: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Maintained provider consent framework with enhanced communication template. Systematic approach to data provider notification regarding transition. All migrations require explicit provider agreement.</w:t>
      </w:r>
    </w:p>
    <w:p w:rsidR="00D1010D" w:rsidP="61B5ABB9" w:rsidRDefault="00D1010D" w14:paraId="74CC550A" w14:textId="2218943D">
      <w:pPr>
        <w:bidi w:val="0"/>
        <w:spacing w:before="120" w:beforeAutospacing="off" w:after="120" w:afterAutospacing="off"/>
      </w:pPr>
      <w:r w:rsidRPr="61B5ABB9" w:rsidR="61B5ABB9">
        <w:rPr>
          <w:rFonts w:ascii="Calibri" w:hAnsi="Calibri" w:eastAsia="Calibri" w:cs="Calibri"/>
          <w:b w:val="1"/>
          <w:bCs w:val="1"/>
          <w:i w:val="0"/>
          <w:iCs w:val="0"/>
          <w:caps w:val="0"/>
          <w:smallCaps w:val="0"/>
          <w:noProof w:val="0"/>
          <w:color w:val="000000" w:themeColor="text1" w:themeTint="FF" w:themeShade="FF"/>
          <w:sz w:val="22"/>
          <w:szCs w:val="22"/>
          <w:lang w:val="en-US"/>
        </w:rPr>
        <w:t>Governance Enhancement:</w:t>
      </w: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Universal DAC review requirement implemented for ALL projects including internal consortium members. No exceptions to comprehensive data access review process. Enhanced audit trails and compliance reporting.</w:t>
      </w:r>
    </w:p>
    <w:p w:rsidR="00D1010D" w:rsidP="61B5ABB9" w:rsidRDefault="00D1010D" w14:paraId="4595C558" w14:textId="57EAE437">
      <w:pPr>
        <w:bidi w:val="0"/>
        <w:spacing w:before="120" w:beforeAutospacing="off" w:after="120" w:afterAutospacing="off"/>
      </w:pPr>
      <w:r w:rsidRPr="61B5ABB9" w:rsidR="61B5ABB9">
        <w:rPr>
          <w:rFonts w:ascii="Calibri" w:hAnsi="Calibri" w:eastAsia="Calibri" w:cs="Calibri"/>
          <w:b w:val="1"/>
          <w:bCs w:val="1"/>
          <w:i w:val="0"/>
          <w:iCs w:val="0"/>
          <w:caps w:val="0"/>
          <w:smallCaps w:val="0"/>
          <w:noProof w:val="0"/>
          <w:color w:val="000000" w:themeColor="text1" w:themeTint="FF" w:themeShade="FF"/>
          <w:sz w:val="22"/>
          <w:szCs w:val="22"/>
          <w:lang w:val="en-US"/>
        </w:rPr>
        <w:t>Risk Mitigation:</w:t>
      </w: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Transition approach significantly reduces operational risks through:</w:t>
      </w:r>
    </w:p>
    <w:p w:rsidR="00D1010D" w:rsidP="61B5ABB9" w:rsidRDefault="00D1010D" w14:paraId="1D49378E" w14:textId="105E8C6A">
      <w:pPr>
        <w:pStyle w:val="ListParagraph"/>
        <w:numPr>
          <w:ilvl w:val="0"/>
          <w:numId w:val="2"/>
        </w:numPr>
        <w:bidi w:val="0"/>
        <w:spacing w:before="220" w:beforeAutospacing="off" w:after="22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Systematic 5-phase migration strategy with validation at each stage</w:t>
      </w:r>
    </w:p>
    <w:p w:rsidR="00D1010D" w:rsidP="61B5ABB9" w:rsidRDefault="00D1010D" w14:paraId="0071C226" w14:textId="07F169BA">
      <w:pPr>
        <w:pStyle w:val="ListParagraph"/>
        <w:numPr>
          <w:ilvl w:val="0"/>
          <w:numId w:val="2"/>
        </w:numPr>
        <w:bidi w:val="0"/>
        <w:spacing w:before="220" w:beforeAutospacing="off" w:after="22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Dual infrastructure capability ensuring service continuity</w:t>
      </w:r>
    </w:p>
    <w:p w:rsidR="00D1010D" w:rsidP="61B5ABB9" w:rsidRDefault="00D1010D" w14:paraId="6F65A770" w14:textId="558CED0D">
      <w:pPr>
        <w:pStyle w:val="ListParagraph"/>
        <w:numPr>
          <w:ilvl w:val="0"/>
          <w:numId w:val="2"/>
        </w:numPr>
        <w:bidi w:val="0"/>
        <w:spacing w:before="220" w:beforeAutospacing="off" w:after="22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Enhanced professional-grade security monitoring</w:t>
      </w:r>
    </w:p>
    <w:p w:rsidR="00D1010D" w:rsidP="61B5ABB9" w:rsidRDefault="00D1010D" w14:paraId="79ABE429" w14:textId="14CEDD08">
      <w:pPr>
        <w:pStyle w:val="ListParagraph"/>
        <w:numPr>
          <w:ilvl w:val="0"/>
          <w:numId w:val="2"/>
        </w:numPr>
        <w:bidi w:val="0"/>
        <w:spacing w:before="220" w:beforeAutospacing="off" w:after="22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Automated compliance reporting and audit capabilities</w:t>
      </w:r>
    </w:p>
    <w:p w:rsidR="00D1010D" w:rsidP="61B5ABB9" w:rsidRDefault="00D1010D" w14:paraId="5912EB1F" w14:textId="18549B4D">
      <w:pPr>
        <w:pStyle w:val="ListParagraph"/>
        <w:numPr>
          <w:ilvl w:val="0"/>
          <w:numId w:val="2"/>
        </w:numPr>
        <w:bidi w:val="0"/>
        <w:spacing w:before="220" w:beforeAutospacing="off" w:after="22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Geographic redundancy and improved disaster recovery</w:t>
      </w:r>
    </w:p>
    <w:p w:rsidR="00D1010D" w:rsidP="61B5ABB9" w:rsidRDefault="00D1010D" w14:paraId="549287F8" w14:textId="35E6C1F2">
      <w:pPr>
        <w:pStyle w:val="Heading2"/>
        <w:bidi w:val="0"/>
        <w:spacing w:before="225" w:beforeAutospacing="off" w:after="150" w:afterAutospacing="off"/>
      </w:pPr>
      <w:r w:rsidRPr="61B5ABB9" w:rsidR="61B5ABB9">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CONFIRMATION</w:t>
      </w:r>
    </w:p>
    <w:p w:rsidR="00D1010D" w:rsidP="61B5ABB9" w:rsidRDefault="00D1010D" w14:paraId="62A61E0A" w14:textId="780A6F8A">
      <w:pPr>
        <w:bidi w:val="0"/>
        <w:spacing w:before="120" w:beforeAutospacing="off" w:after="120" w:afterAutospacing="off"/>
      </w:pP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These amendments document the implementation of cloud migration infrastructure and establishment of systematic transition framework for Year 5. The transition maintains enhanced data protection through dual infrastructure capability, significantly strengthened security measures, and systematic migration approach. All existing ethical safeguards are maintained and substantially enhanced. No changes to research methodology, participant recruitment, or data collection procedures.</w:t>
      </w:r>
    </w:p>
    <w:p w:rsidR="00D1010D" w:rsidP="61B5ABB9" w:rsidRDefault="00D1010D" w14:paraId="4A622212" w14:textId="64361730">
      <w:pPr>
        <w:bidi w:val="0"/>
        <w:spacing w:before="120" w:beforeAutospacing="off" w:after="120" w:afterAutospacing="off"/>
      </w:pP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The universal DAC review requirement has been implemented to ensure equitable and transparent data governance for ALL users, including internal consortium members, with no exceptions.</w:t>
      </w:r>
    </w:p>
    <w:p w:rsidR="00D1010D" w:rsidP="61B5ABB9" w:rsidRDefault="00D1010D" w14:paraId="18EF76A2" w14:textId="1008E300">
      <w:pPr>
        <w:bidi w:val="0"/>
        <w:spacing w:before="120" w:beforeAutospacing="off" w:after="120" w:afterAutospacing="off"/>
      </w:pPr>
      <w:r w:rsidRPr="61B5ABB9" w:rsidR="61B5ABB9">
        <w:rPr>
          <w:rFonts w:ascii="Calibri" w:hAnsi="Calibri" w:eastAsia="Calibri" w:cs="Calibri"/>
          <w:b w:val="0"/>
          <w:bCs w:val="0"/>
          <w:i w:val="0"/>
          <w:iCs w:val="0"/>
          <w:caps w:val="0"/>
          <w:smallCaps w:val="0"/>
          <w:noProof w:val="0"/>
          <w:color w:val="000000" w:themeColor="text1" w:themeTint="FF" w:themeShade="FF"/>
          <w:sz w:val="22"/>
          <w:szCs w:val="22"/>
          <w:lang w:val="en-US"/>
        </w:rPr>
        <w:t>All changes maintain full POPIA compliance and enhance alignment with international data protection standards through professional-grade security measures and comprehensive audit capabilities.</w:t>
      </w:r>
    </w:p>
    <w:p w:rsidR="00D1010D" w:rsidRDefault="00D1010D" w14:paraId="01D2B4C8" w14:textId="75385486"/>
    <w:sectPr w:rsidR="00D1010D" w:rsidSect="00EE6E4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0000000000000000000"/>
    <w:charset w:val="4D"/>
    <w:family w:val="roman"/>
    <w:notTrueType/>
    <w:pitch w:val="variable"/>
    <w:sig w:usb0="00000003" w:usb1="00000000" w:usb2="00000000" w:usb3="00000000" w:csb0="00000001" w:csb1="00000000"/>
  </w:font>
  <w:font w:name="Arial">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bd61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a299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10D"/>
    <w:rsid w:val="00D1010D"/>
    <w:rsid w:val="00EE6E42"/>
    <w:rsid w:val="61B5A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1B5ABB9"/>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61B5ABB9"/>
    <w:rPr>
      <w:color w:val="0563C1"/>
      <w:u w:val="single"/>
    </w:rPr>
  </w:style>
  <w:style w:type="paragraph" w:styleId="Heading2">
    <w:uiPriority w:val="9"/>
    <w:name w:val="heading 2"/>
    <w:basedOn w:val="Normal"/>
    <w:next w:val="Normal"/>
    <w:unhideWhenUsed/>
    <w:qFormat/>
    <w:rsid w:val="61B5ABB9"/>
    <w:rPr>
      <w:rFonts w:ascii="Calibri Light" w:hAnsi="Calibri Light" w:eastAsia="" w:cs="" w:asciiTheme="majorAscii" w:hAnsiTheme="majorAscii" w:eastAsiaTheme="majorEastAsia" w:cstheme="majorBidi"/>
      <w:color w:val="2E74B5"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1B5ABB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fontTable" Target="fontTable.xml" Id="rId4" /><Relationship Type="http://schemas.openxmlformats.org/officeDocument/2006/relationships/theme" Target="theme/theme1.xml" Id="rId5" /><Relationship Type="http://schemas.openxmlformats.org/officeDocument/2006/relationships/styles" Target="styles.xml" Id="rId1" /><Relationship Type="http://schemas.openxmlformats.org/officeDocument/2006/relationships/settings" Target="settings.xml" Id="rId2" /><Relationship Type="http://schemas.openxmlformats.org/officeDocument/2006/relationships/hyperlink" Target="mailto:dmac.centre@witsphr.org" TargetMode="External" Id="R635297ff9ff74ccc" /><Relationship Type="http://schemas.openxmlformats.org/officeDocument/2006/relationships/numbering" Target="numbering.xml" Id="R024141a097ad47a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Craig Parker</lastModifiedBy>
  <revision>2</revision>
  <dcterms:created xsi:type="dcterms:W3CDTF">2018-02-09T21:34:00.0000000Z</dcterms:created>
  <dcterms:modified xsi:type="dcterms:W3CDTF">2025-09-05T10:50:53.8750699Z</dcterms:modified>
</coreProperties>
</file>