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22A6D6E4" w:rsidP="22A6D6E4" w:rsidRDefault="22A6D6E4" w14:paraId="49A75F29" w14:textId="20C3ED75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WITS HUMAN RESEARCH ETHICS COMMITTEE (MEDICAL)</w:t>
      </w:r>
    </w:p>
    <w:p w:rsidR="22A6D6E4" w:rsidP="22A6D6E4" w:rsidRDefault="22A6D6E4" w14:paraId="698A56E2" w14:textId="4407F7EF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AMENDMENT NOTIFICATION</w:t>
      </w:r>
    </w:p>
    <w:p w:rsidR="22A6D6E4" w:rsidP="22A6D6E4" w:rsidRDefault="22A6D6E4" w14:paraId="4065F19C" w14:textId="35CB4980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HE²AT CENTRE DATA MANAGEMENT PLAN VERSION 2.2</w:t>
      </w:r>
    </w:p>
    <w:p w:rsidR="22A6D6E4" w:rsidP="22A6D6E4" w:rsidRDefault="22A6D6E4" w14:paraId="31F96E04" w14:textId="005E5048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Document Title: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NIH HE²AT Centre Data Management Plan - Infrastructure Transition Amendment</w:t>
      </w:r>
    </w:p>
    <w:p w:rsidR="22A6D6E4" w:rsidP="22A6D6E4" w:rsidRDefault="22A6D6E4" w14:paraId="6B24CE7B" w14:textId="3F34595C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Version: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2.2 (Revised)</w:t>
      </w:r>
    </w:p>
    <w:p w:rsidR="22A6D6E4" w:rsidP="22A6D6E4" w:rsidRDefault="22A6D6E4" w14:paraId="1E24985C" w14:textId="65016BB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Previous Version: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2.1 (September 2024)</w:t>
      </w:r>
    </w:p>
    <w:p w:rsidR="22A6D6E4" w:rsidP="22A6D6E4" w:rsidRDefault="22A6D6E4" w14:paraId="27AC916B" w14:textId="4D6C3E26">
      <w:pPr>
        <w:spacing w:before="240" w:beforeAutospacing="off" w:after="240" w:afterAutospacing="off"/>
      </w:pPr>
      <w:r w:rsidRPr="74A62214" w:rsidR="74A6221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Amendment Date:</w:t>
      </w:r>
      <w:r w:rsidRPr="74A62214" w:rsidR="74A622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September 2025</w:t>
      </w:r>
    </w:p>
    <w:p w:rsidR="22A6D6E4" w:rsidP="22A6D6E4" w:rsidRDefault="22A6D6E4" w14:paraId="5B44D49E" w14:textId="0AC6CEF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HREC Reference Numbers: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RP1 (220605), RP2 (220606)</w:t>
      </w:r>
    </w:p>
    <w:p w:rsidR="22A6D6E4" w:rsidP="22A6D6E4" w:rsidRDefault="22A6D6E4" w14:paraId="5544B20D" w14:textId="3ED2426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Principal Investigators: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Matthew Chersich (Wits PHR)</w:t>
      </w:r>
    </w:p>
    <w:p w:rsidR="22A6D6E4" w:rsidP="22A6D6E4" w:rsidRDefault="22A6D6E4" w14:paraId="61BBE45A" w14:textId="0DFA61C2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Contact: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Craig Parker (</w:t>
      </w:r>
      <w:hyperlink r:id="Rc188017a02af41b0">
        <w:r w:rsidRPr="22A6D6E4" w:rsidR="22A6D6E4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lang w:val="en-US"/>
          </w:rPr>
          <w:t>Craig.parker@witsphr.org</w:t>
        </w:r>
      </w:hyperlink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)</w:t>
      </w:r>
    </w:p>
    <w:p w:rsidR="22A6D6E4" w:rsidP="2A566DF1" w:rsidRDefault="22A6D6E4" w14:paraId="569EDE55" w14:textId="2CD2D28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A566DF1" w:rsidR="2A566DF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NATURE OF AMENDMENT: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 Infrastructure transition during Year 5 to enhance data management capabilities through migration from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on-premise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to cloud infrastructure. This amendment documents a transition period where dual infrastructure capability (UCT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on-premise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WHC-managed cloud) is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, with complete migration to cloud by end of Year 5. All existing ethical safeguards are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enhanced.</w:t>
      </w:r>
    </w:p>
    <w:p w:rsidR="22A6D6E4" w:rsidP="2A566DF1" w:rsidRDefault="22A6D6E4" w14:paraId="73022E4A" w14:textId="7AE9567E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A566DF1" w:rsidR="2A566DF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PARTICIPANT IMPACT: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No direct impact on participants. </w:t>
      </w:r>
    </w:p>
    <w:p w:rsidR="22A6D6E4" w:rsidP="22A6D6E4" w:rsidRDefault="22A6D6E4" w14:paraId="20C485AC" w14:textId="541CEC3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RISK ASSESSMENT: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Risk reduced through enhanced security, 24/7 monitoring, and automated backup capabilities.</w:t>
      </w:r>
    </w:p>
    <w:p w:rsidR="22A6D6E4" w:rsidP="22A6D6E4" w:rsidRDefault="22A6D6E4" w14:paraId="36F62DE2" w14:textId="48CE4717">
      <w:pPr>
        <w:pStyle w:val="Heading2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SUMMARY OF CHANGES</w:t>
      </w:r>
    </w:p>
    <w:tbl>
      <w:tblPr>
        <w:tblStyle w:val="Table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421"/>
        <w:gridCol w:w="4857"/>
        <w:gridCol w:w="4857"/>
      </w:tblGrid>
      <w:tr w:rsidR="22A6D6E4" w:rsidTr="6AEDBE1F" w14:paraId="0B7BB9AE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1F95931" w14:textId="165E4861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DMP Section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3CDF131" w14:textId="1AFA0E9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Specific Changes Made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A52A39A" w14:textId="7FC16C97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Rationale and Ethical Considerations</w:t>
            </w:r>
          </w:p>
        </w:tc>
      </w:tr>
      <w:tr w:rsidR="22A6D6E4" w:rsidTr="6AEDBE1F" w14:paraId="6AF2E55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9FD1118" w14:textId="4421258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3.4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Overview of Data Management Workflow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37AA25B1" w:rsidRDefault="22A6D6E4" w14:paraId="09F5C1DB" w14:textId="0A2289AD">
            <w:pPr>
              <w:spacing w:before="0" w:beforeAutospacing="off" w:after="0" w:afterAutospacing="off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</w:pPr>
            <w:r w:rsidRPr="37AA25B1" w:rsidR="37AA25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new subsection clarifying Year 5 as a transition period with temporary dual infrastructure capability, ending with complete cloud migration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17E85C4" w14:textId="5402488F">
            <w:pPr>
              <w:spacing w:before="0" w:beforeAutospacing="off" w:after="0" w:afterAutospacing="off"/>
              <w:jc w:val="left"/>
            </w:pPr>
            <w:r w:rsidRPr="2A566DF1" w:rsidR="2A566DF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Provides transparent timeline for infrastructure changes. Ensures stakeholder understanding that this is a temporary  situation, not permanent hybrid model. No impact on participant data protection.</w:t>
            </w:r>
          </w:p>
        </w:tc>
      </w:tr>
      <w:tr w:rsidR="22A6D6E4" w:rsidTr="6AEDBE1F" w14:paraId="53B27B64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ECA8E29" w14:textId="07D79863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4.1.2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Original Study Data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93CF562" w14:textId="2F97EF97">
            <w:pPr>
              <w:spacing w:before="0" w:beforeAutospacing="off" w:after="0" w:afterAutospacing="off"/>
              <w:jc w:val="left"/>
            </w:pPr>
            <w:r w:rsidRPr="6AEDBE1F" w:rsidR="6AEDBE1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infrastructure" and specified dual capability as temporary measure during year 5 as health datasets are transferred.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451F3BB" w14:textId="462C7668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Clarifies temporary nature of dual infrastructure. Maintains all existing data protections while enhancing security during transition.</w:t>
            </w:r>
          </w:p>
        </w:tc>
      </w:tr>
      <w:tr w:rsidR="22A6D6E4" w:rsidTr="6AEDBE1F" w14:paraId="3E14E00F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A401ABD" w14:textId="6EF3A475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4.2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Climate/Weather Data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0564D91" w14:textId="2EA347E2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from WHC-managed cloud services" with emphasis on enhanced auto-scaling and accessibility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7E4B618" w14:textId="2DE5E9E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research efficiency and data accessibility during transition whilst maintaining all access controls and authentication requirements.</w:t>
            </w:r>
          </w:p>
        </w:tc>
      </w:tr>
      <w:tr w:rsidR="22A6D6E4" w:rsidTr="6AEDBE1F" w14:paraId="5C20D4E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39BF6F6" w14:textId="077DC01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6.1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Pre-processing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2269751" w14:textId="08D560C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 with enhanced security and automated backup systems"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89393A2" w14:textId="64A84ED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Strengthens data integrity during processing with automated systems. Provides additional safeguards during transition period.</w:t>
            </w:r>
          </w:p>
        </w:tc>
      </w:tr>
      <w:tr w:rsidR="22A6D6E4" w:rsidTr="6AEDBE1F" w14:paraId="351B4AF4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04A9792" w14:textId="5959470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6.4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Database Population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3F81168" w14:textId="634B6F5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reference to cloud-native database services during transition with automated backup and enhanced disaster recovery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936C991" w14:textId="68C907C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data preservation and recovery capabilities, reducing risk of data loss during critical transition period.</w:t>
            </w:r>
          </w:p>
        </w:tc>
      </w:tr>
      <w:tr w:rsidR="22A6D6E4" w:rsidTr="6AEDBE1F" w14:paraId="2D3D7988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E5AE832" w14:textId="4D669E6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8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Analysis Platform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D64E30C" w14:textId="6B92C10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"cloud-based computational resources with GPU acceleration" available during transition period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E92A09B" w14:textId="726A909A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Enhances analytical capabilities for researchers during transition while maintaining all existing access controls and security protocols.</w:t>
            </w:r>
          </w:p>
        </w:tc>
      </w:tr>
      <w:tr w:rsidR="22A6D6E4" w:rsidTr="6AEDBE1F" w14:paraId="06A5AA3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8FDA2E2" w14:textId="2C47A861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10.4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Sharing Procedures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E96092D" w14:textId="221B6AF3">
            <w:pPr>
              <w:spacing w:before="0" w:beforeAutospacing="off" w:after="0" w:afterAutospacing="off"/>
              <w:jc w:val="left"/>
            </w:pPr>
            <w:r w:rsidRPr="6AEDBE1F" w:rsidR="6AEDBE1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"All projects, regardless of whether they involve internal HE²AT Center Consortium members or external researchers, must go through the DAC for data access approval"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6C9ACEF" w14:textId="3D0F27D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Ensures equitable data sharing and comprehensive tracking of all projects. Strengthens governance by applying consistent standards to all data access requests. Enhances transparency and accountability.</w:t>
            </w:r>
          </w:p>
        </w:tc>
      </w:tr>
      <w:tr w:rsidR="22A6D6E4" w:rsidTr="6AEDBE1F" w14:paraId="07FC0B59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A316B3E" w14:textId="71938F73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12.3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Access Committee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D14FB5E" w14:textId="015CC69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Updated to emphasize DAC evaluates ALL data access requests (consortium and external) with consistent ethical and scientific standards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ADC22A3" w14:textId="2C7EDDC8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Removes any perception of preferential access. Ensures uniform application of ethical standards. Strengthens governance framework.</w:t>
            </w:r>
          </w:p>
        </w:tc>
      </w:tr>
      <w:tr w:rsidR="22A6D6E4" w:rsidTr="6AEDBE1F" w14:paraId="7004EAE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56CD0A0" w14:textId="0C74AB66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Transfer, Storage and Encryption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8A59D83" w14:textId="7EBB81F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infrastructure" and specified "AES-256 encryption standard for both UCT servers and cloud storage"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342403B" w14:textId="2F55444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Upgrades encryption standards across all infrastructure. Provides superior data protection during transition with industry-standard encryption.</w:t>
            </w:r>
          </w:p>
        </w:tc>
      </w:tr>
      <w:tr w:rsidR="22A6D6E4" w:rsidTr="6AEDBE1F" w14:paraId="3216D78C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8B9D41F" w14:textId="6D65D82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Network Security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922BD7D" w14:textId="736F660A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from WHC-managed cloud security architecture with 24/7 Security Operations Centre (SOC) monitoring and advanced threat detection systems"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F9DBFC8" w14:textId="6145C016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Significantly enhances security oversight with professional 24/7 monitoring. Provides superior threat detection compared to standard academic infrastructure.</w:t>
            </w:r>
          </w:p>
        </w:tc>
      </w:tr>
      <w:tr w:rsidR="22A6D6E4" w:rsidTr="6AEDBE1F" w14:paraId="6CB4FB5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B88A903" w14:textId="1DF00DF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14.3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Local Authentication and Authorisation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086EE96" w14:textId="359E29E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"alongside cloud-specific access controls and automated compliance reporting for streamlined governance oversight during the transition period"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F328437" w14:textId="08BE8C02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Enhances access control and provides automated compliance monitoring. Improves audit capabilities and regulatory oversight.</w:t>
            </w:r>
          </w:p>
        </w:tc>
      </w:tr>
      <w:tr w:rsidR="22A6D6E4" w:rsidTr="6AEDBE1F" w14:paraId="42BD1138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B773735" w14:textId="6D5D3BC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15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Roles and Responsibilities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C697DE8" w14:textId="17FD8605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Removed individual names and contact details from main table, generalized to institutional roles with key functions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DC66BDC" w14:textId="2CC08F1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Facilitates document maintenance without requiring amendments for personnel changes. Contact information maintained separately for easy updates.</w:t>
            </w:r>
          </w:p>
        </w:tc>
      </w:tr>
      <w:tr w:rsidR="22A6D6E4" w:rsidTr="6AEDBE1F" w14:paraId="1FF0AC6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471F942" w14:textId="7B98832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NEW Annex 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Transition Implementation Details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DE40F5F" w14:textId="7F6E5FC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NEW SECTION:</w:t>
            </w: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 xml:space="preserve"> Comprehensive 4-phase transition strategy with timeline, data provider communication framework, and generic email template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AF1AF51" w14:textId="1D93160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Provides transparent implementation roadmap. Ensures proper stakeholder communication. Documents systematic approach to minimize disruption.</w:t>
            </w:r>
          </w:p>
        </w:tc>
      </w:tr>
      <w:tr w:rsidR="22A6D6E4" w:rsidTr="6AEDBE1F" w14:paraId="28DBBEBA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DE371CD" w14:textId="13CD849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All other sections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67AF1DC" w14:textId="4EEE223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Document structure simplified from 17 to 16 sections. Removed complex contractual language throughout. Maintained all ethical frameworks and participant protections.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4B07241" w14:textId="58A27B6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readability for ethics review. Focuses on data management procedures rather than legal complexity. No reduction in participant protections.</w:t>
            </w:r>
          </w:p>
        </w:tc>
      </w:tr>
    </w:tbl>
    <w:p w:rsidR="22A6D6E4" w:rsidP="22A6D6E4" w:rsidRDefault="22A6D6E4" w14:paraId="70ABD55A" w14:textId="6E8513CF">
      <w:pPr>
        <w:pStyle w:val="Heading2"/>
        <w:bidi w:val="0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ETHICAL IMPACT ASSESSMENT</w:t>
      </w:r>
    </w:p>
    <w:p w:rsidR="22A6D6E4" w:rsidP="22A6D6E4" w:rsidRDefault="22A6D6E4" w14:paraId="05BD6987" w14:textId="51EE50C1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Participant Rights: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All existing participant rights maintained and enhanced through improved security infrastructure during transition period.</w:t>
      </w:r>
    </w:p>
    <w:p w:rsidR="22A6D6E4" w:rsidP="22A6D6E4" w:rsidRDefault="22A6D6E4" w14:paraId="679B3538" w14:textId="63F99644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Data Protection: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Significant enhancement through:</w:t>
      </w:r>
    </w:p>
    <w:p w:rsidR="22A6D6E4" w:rsidP="22A6D6E4" w:rsidRDefault="22A6D6E4" w14:paraId="6CF03196" w14:textId="395D21C8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AES-256 encryption across all infrastructure</w:t>
      </w:r>
    </w:p>
    <w:p w:rsidR="22A6D6E4" w:rsidP="22A6D6E4" w:rsidRDefault="22A6D6E4" w14:paraId="5EE08C95" w14:textId="63A5F5D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24/7 professional security monitoring during transition</w:t>
      </w:r>
    </w:p>
    <w:p w:rsidR="22A6D6E4" w:rsidP="22A6D6E4" w:rsidRDefault="22A6D6E4" w14:paraId="401CA769" w14:textId="327F0B90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Automated backup and disaster recovery systems</w:t>
      </w:r>
    </w:p>
    <w:p w:rsidR="22A6D6E4" w:rsidP="22A6D6E4" w:rsidRDefault="22A6D6E4" w14:paraId="28050277" w14:textId="03A22EC7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Advanced threat detection capabilities</w:t>
      </w:r>
    </w:p>
    <w:p w:rsidR="22A6D6E4" w:rsidP="22A6D6E4" w:rsidRDefault="22A6D6E4" w14:paraId="327B3877" w14:textId="7FB87953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Dual infrastructure redundancy during transition</w:t>
      </w:r>
    </w:p>
    <w:p w:rsidR="22A6D6E4" w:rsidP="22A6D6E4" w:rsidRDefault="22A6D6E4" w14:paraId="71BA9EF3" w14:textId="4333A34B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Consent and Transparency: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Clear communication framework for data providers about transition. Emphasis on temporary nature of changes with defined endpoint.</w:t>
      </w:r>
    </w:p>
    <w:p w:rsidR="22A6D6E4" w:rsidP="22A6D6E4" w:rsidRDefault="22A6D6E4" w14:paraId="2D07377D" w14:textId="4AACE811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Governance Enhancement: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Universal DAC review requirement strengthens oversight. Consistent application of ethical standards to all data access requests.</w:t>
      </w:r>
    </w:p>
    <w:p w:rsidR="22A6D6E4" w:rsidP="22A6D6E4" w:rsidRDefault="22A6D6E4" w14:paraId="3B61A8BE" w14:textId="27CB95CF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Risk Mitigation: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Transition period approach minimizes operational risks through:</w:t>
      </w:r>
    </w:p>
    <w:p w:rsidR="22A6D6E4" w:rsidP="22A6D6E4" w:rsidRDefault="22A6D6E4" w14:paraId="6EF8E875" w14:textId="1F6841B8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Phased implementation over 12 months</w:t>
      </w:r>
    </w:p>
    <w:p w:rsidR="22A6D6E4" w:rsidP="22A6D6E4" w:rsidRDefault="22A6D6E4" w14:paraId="1F12A8EB" w14:textId="45098377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Dual system operation for continuity</w:t>
      </w:r>
    </w:p>
    <w:p w:rsidR="22A6D6E4" w:rsidP="22A6D6E4" w:rsidRDefault="22A6D6E4" w14:paraId="6A181639" w14:textId="35CA9550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Enhanced security throughout transition</w:t>
      </w:r>
    </w:p>
    <w:p w:rsidR="22A6D6E4" w:rsidP="22A6D6E4" w:rsidRDefault="22A6D6E4" w14:paraId="6088C36C" w14:textId="41E57D95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Professional monitoring and support</w:t>
      </w:r>
    </w:p>
    <w:p w:rsidR="22A6D6E4" w:rsidP="22A6D6E4" w:rsidRDefault="22A6D6E4" w14:paraId="03AA62EE" w14:textId="562DD4A7">
      <w:pPr>
        <w:pStyle w:val="Heading2"/>
        <w:bidi w:val="0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CONFIRMATION</w:t>
      </w:r>
    </w:p>
    <w:p w:rsidR="22A6D6E4" w:rsidP="2A566DF1" w:rsidRDefault="22A6D6E4" w14:paraId="41DB987C" w14:textId="3F252CA5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These amendments document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 infrastructure transition during Year 5 that enhances data protection and research capabilities. The transition will be complete by end of Year 5 with full migration to secure cloud infrastructure. All existing ethical safeguards are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enhanced. No changes to research 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methodology</w:t>
      </w:r>
      <w:r w:rsidRPr="2A566DF1" w:rsidR="2A566DF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, participant recruitment, or data collection procedures.</w:t>
      </w:r>
    </w:p>
    <w:p w:rsidR="22A6D6E4" w:rsidP="22A6D6E4" w:rsidRDefault="22A6D6E4" w14:paraId="43225ACF" w14:textId="3C8F7FF7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The universal DAC review requirement ensures equitable and transparent data governance for all users.</w:t>
      </w:r>
    </w:p>
    <w:p w:rsidR="22A6D6E4" w:rsidP="22A6D6E4" w:rsidRDefault="22A6D6E4" w14:paraId="53774CF8" w14:textId="7FC8371D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All changes maintain full POPIA compliance and enhance alignment with international data protection standards.</w:t>
      </w:r>
    </w:p>
    <w:p w:rsidR="22A6D6E4" w:rsidP="22A6D6E4" w:rsidRDefault="22A6D6E4" w14:paraId="25D0E5E0" w14:textId="5E42387D">
      <w:pPr>
        <w:pStyle w:val="BodyText"/>
        <w:rPr>
          <w:noProof w:val="0"/>
          <w:lang w:val="en-US"/>
        </w:rPr>
        <w:sectPr w:rsidR="00F24988" w:rsidSect="002047FC">
          <w:footerReference w:type="even" r:id="rId7"/>
          <w:footerReference w:type="default" r:id="rId8"/>
          <w:footnotePr>
            <w:numRestart w:val="eachSect"/>
          </w:footnotePr>
          <w:pgSz w:w="15840" w:h="12240" w:orient="landscape"/>
          <w:pgMar w:top="1440" w:right="1440" w:bottom="1440" w:left="1440" w:header="720" w:footer="720" w:gutter="0"/>
          <w:cols w:space="720"/>
          <w:docGrid w:linePitch="326"/>
        </w:sectPr>
      </w:pPr>
    </w:p>
    <w:p w:rsidR="16A401ED" w:rsidP="16A401ED" w:rsidRDefault="16A401ED" w14:paraId="746EEF4F" w14:textId="39D7FB85">
      <w:pPr>
        <w:pStyle w:val="Normal"/>
        <w:rPr>
          <w:rFonts w:ascii="Arial" w:hAnsi="Arial" w:eastAsia="Times New Roman" w:cs="Arial"/>
          <w:b w:val="1"/>
          <w:bCs w:val="1"/>
          <w:color w:val="000000" w:themeColor="text1" w:themeTint="FF" w:themeShade="FF"/>
          <w:sz w:val="28"/>
          <w:szCs w:val="28"/>
        </w:rPr>
      </w:pPr>
    </w:p>
    <w:sectPr w:rsidRPr="00F24988" w:rsidR="003478C9" w:rsidSect="002047FC">
      <w:footnotePr>
        <w:numRestart w:val="eachSect"/>
      </w:footnotePr>
      <w:pgSz w:w="15840" w:h="12240" w:orient="landscape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238C1" w:rsidP="002047FC" w:rsidRDefault="00B238C1" w14:paraId="3A8BA815" w14:textId="77777777">
      <w:pPr>
        <w:spacing w:after="0"/>
      </w:pPr>
      <w:r>
        <w:separator/>
      </w:r>
    </w:p>
  </w:endnote>
  <w:endnote w:type="continuationSeparator" w:id="0">
    <w:p w:rsidR="00B238C1" w:rsidP="002047FC" w:rsidRDefault="00B238C1" w14:paraId="3B2C701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55217286"/>
      <w:docPartObj>
        <w:docPartGallery w:val="Page Numbers (Bottom of Page)"/>
        <w:docPartUnique/>
      </w:docPartObj>
    </w:sdtPr>
    <w:sdtContent>
      <w:p w:rsidR="002047FC" w:rsidP="0016709F" w:rsidRDefault="002047FC" w14:paraId="643B8371" w14:textId="02E9049F">
        <w:pPr>
          <w:pStyle w:val="Foot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2047FC" w:rsidP="002047FC" w:rsidRDefault="002047FC" w14:paraId="66624D47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8995990"/>
      <w:docPartObj>
        <w:docPartGallery w:val="Page Numbers (Bottom of Page)"/>
        <w:docPartUnique/>
      </w:docPartObj>
    </w:sdtPr>
    <w:sdtContent>
      <w:p w:rsidR="002047FC" w:rsidP="0016709F" w:rsidRDefault="002047FC" w14:paraId="490AAEDD" w14:textId="37B0C730">
        <w:pPr>
          <w:pStyle w:val="Foot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2047FC" w:rsidP="002047FC" w:rsidRDefault="002047FC" w14:paraId="61BA7440" w14:textId="7777777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238C1" w:rsidP="002047FC" w:rsidRDefault="00B238C1" w14:paraId="01160C8A" w14:textId="77777777">
      <w:pPr>
        <w:spacing w:after="0"/>
      </w:pPr>
      <w:r>
        <w:separator/>
      </w:r>
    </w:p>
  </w:footnote>
  <w:footnote w:type="continuationSeparator" w:id="0">
    <w:p w:rsidR="00B238C1" w:rsidP="002047FC" w:rsidRDefault="00B238C1" w14:paraId="7F9F3DCC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9">
    <w:nsid w:val="7548c1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d0632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e3c23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A990"/>
    <w:multiLevelType w:val="multilevel"/>
    <w:tmpl w:val="752A45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A67FB6"/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 w15:restartNumberingAfterBreak="0">
    <w:nsid w:val="08346B62"/>
    <w:multiLevelType w:val="multilevel"/>
    <w:tmpl w:val="CFA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8284AB4"/>
    <w:multiLevelType w:val="multilevel"/>
    <w:tmpl w:val="556E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6A771B8"/>
    <w:multiLevelType w:val="multilevel"/>
    <w:tmpl w:val="D854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6B4C0A9C"/>
    <w:multiLevelType w:val="multilevel"/>
    <w:tmpl w:val="74DA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705B2D69"/>
    <w:multiLevelType w:val="multilevel"/>
    <w:tmpl w:val="7F8EE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0">
    <w:abstractNumId w:val="9"/>
  </w:num>
  <w:num w:numId="9">
    <w:abstractNumId w:val="8"/>
  </w:num>
  <w:num w:numId="8">
    <w:abstractNumId w:val="7"/>
  </w:num>
  <w:num w:numId="1" w16cid:durableId="664866729">
    <w:abstractNumId w:val="0"/>
  </w:num>
  <w:num w:numId="2" w16cid:durableId="509418538">
    <w:abstractNumId w:val="1"/>
  </w:num>
  <w:num w:numId="3" w16cid:durableId="755708614">
    <w:abstractNumId w:val="3"/>
  </w:num>
  <w:num w:numId="4" w16cid:durableId="977414866">
    <w:abstractNumId w:val="2"/>
  </w:num>
  <w:num w:numId="5" w16cid:durableId="93333127">
    <w:abstractNumId w:val="6"/>
  </w:num>
  <w:num w:numId="6" w16cid:durableId="908033294">
    <w:abstractNumId w:val="4"/>
  </w:num>
  <w:num w:numId="7" w16cid:durableId="1135178864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78C9"/>
    <w:rsid w:val="000C550A"/>
    <w:rsid w:val="002047FC"/>
    <w:rsid w:val="003478C9"/>
    <w:rsid w:val="006C27D9"/>
    <w:rsid w:val="00906D83"/>
    <w:rsid w:val="009401DF"/>
    <w:rsid w:val="00B238C1"/>
    <w:rsid w:val="00F24988"/>
    <w:rsid w:val="0162C4A0"/>
    <w:rsid w:val="16A401ED"/>
    <w:rsid w:val="1C7D9FD6"/>
    <w:rsid w:val="1DC464B8"/>
    <w:rsid w:val="1FFF22F7"/>
    <w:rsid w:val="22A6D6E4"/>
    <w:rsid w:val="27A8EA90"/>
    <w:rsid w:val="2A566DF1"/>
    <w:rsid w:val="37AA25B1"/>
    <w:rsid w:val="5772B87B"/>
    <w:rsid w:val="5FF1BDFD"/>
    <w:rsid w:val="6AEDBE1F"/>
    <w:rsid w:val="74A6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C7B85"/>
  <w15:docId w15:val="{65CABFBF-BF50-8F42-B95E-C8CA1A2257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styleId="Table" w:customStyle="1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color="auto" w:sz="0" w:space="0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CaptionChar" w:customStyle="1">
    <w:name w:val="Caption Char"/>
    <w:basedOn w:val="DefaultParagraphFont"/>
    <w:link w:val="Caption"/>
  </w:style>
  <w:style w:type="character" w:styleId="VerbatimChar" w:customStyle="1">
    <w:name w:val="Verbatim Char"/>
    <w:basedOn w:val="CaptionChar"/>
    <w:link w:val="SourceCode"/>
    <w:rPr>
      <w:rFonts w:ascii="Consolas" w:hAnsi="Consolas"/>
      <w:sz w:val="22"/>
    </w:rPr>
  </w:style>
  <w:style w:type="character" w:styleId="SectionNumber" w:customStyle="1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2047FC"/>
    <w:pPr>
      <w:tabs>
        <w:tab w:val="center" w:pos="4680"/>
        <w:tab w:val="right" w:pos="9360"/>
      </w:tabs>
      <w:spacing w:after="0"/>
    </w:pPr>
  </w:style>
  <w:style w:type="character" w:styleId="FooterChar" w:customStyle="1">
    <w:name w:val="Footer Char"/>
    <w:basedOn w:val="DefaultParagraphFont"/>
    <w:link w:val="Footer"/>
    <w:rsid w:val="002047FC"/>
  </w:style>
  <w:style w:type="character" w:styleId="PageNumber">
    <w:name w:val="page number"/>
    <w:basedOn w:val="DefaultParagraphFont"/>
    <w:rsid w:val="002047FC"/>
  </w:style>
  <w:style w:type="paragraph" w:styleId="ListParagraph">
    <w:uiPriority w:val="34"/>
    <w:name w:val="List Paragraph"/>
    <w:basedOn w:val="Normal"/>
    <w:qFormat/>
    <w:rsid w:val="1C7D9FD6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yperlink" Target="mailto:Craig.parker@witsphr.org" TargetMode="External" Id="Rc188017a02af41b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Craig Parker</lastModifiedBy>
  <revision>16</revision>
  <dcterms:created xsi:type="dcterms:W3CDTF">2025-08-05T10:21:00.0000000Z</dcterms:created>
  <dcterms:modified xsi:type="dcterms:W3CDTF">2025-09-09T10:09:51.2196103Z</dcterms:modified>
</coreProperties>
</file>