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HE²AT Center Data Management Plan Version 2.0 - Complete Track Changes</w:t>
      </w:r>
    </w:p>
    <w:bookmarkStart w:id="9" w:name="he²at-center-data-management-plan"/>
    <w:p>
      <w:pPr>
        <w:pStyle w:val="Heading1"/>
      </w:pPr>
      <w:r>
        <w:t xml:space="preserve">HE²AT Center Data Management Plan</w:t>
      </w:r>
    </w:p>
    <w:p>
      <w:pPr>
        <w:pStyle w:val="FirstParagraph"/>
      </w:pPr>
      <w:r>
        <w:rPr>
          <w:b/>
          <w:bCs/>
        </w:rPr>
        <w:t xml:space="preserve">Heat and Health in Africa Transdisciplinary Center</w:t>
      </w:r>
    </w:p>
    <w:p>
      <w:pPr>
        <w:pStyle w:val="BodyText"/>
      </w:pPr>
      <w:r>
        <w:rPr>
          <w:b/>
          <w:bCs/>
        </w:rPr>
        <w:t xml:space="preserve">NIH U54 Cooperation Agreement (2021-2026)</w:t>
      </w:r>
    </w:p>
    <w:p>
      <w:r>
        <w:pict>
          <v:rect style="width:0;height:1.5pt" o:hralign="center" o:hrstd="t" o:hr="t"/>
        </w:pict>
      </w:r>
    </w:p>
    <w:p>
      <w:pPr>
        <w:pStyle w:val="FirstParagraph"/>
      </w:pPr>
      <w:r>
        <w:rPr>
          <w:b/>
          <w:bCs/>
        </w:rPr>
        <w:t xml:space="preserve">Document version number:</w:t>
      </w:r>
      <w:r>
        <w:t xml:space="preserve"> </w:t>
      </w:r>
      <w:r>
        <w:rPr>
          <w:strike/>
        </w:rPr>
        <w:t xml:space="preserve">1.0</w:t>
      </w:r>
      <w:r>
        <w:t xml:space="preserve"> </w:t>
      </w:r>
      <w:r>
        <w:rPr>
          <w:u w:val="single"/>
        </w:rPr>
        <w:t xml:space="preserve">2.0</w:t>
      </w:r>
    </w:p>
    <w:p>
      <w:pPr>
        <w:pStyle w:val="BodyText"/>
      </w:pPr>
      <w:r>
        <w:rPr>
          <w:b/>
          <w:bCs/>
        </w:rPr>
        <w:t xml:space="preserve">Version Date:</w:t>
      </w:r>
      <w:r>
        <w:t xml:space="preserve"> </w:t>
      </w:r>
      <w:r>
        <w:rPr>
          <w:strike/>
        </w:rPr>
        <w:t xml:space="preserve">30 August 2022</w:t>
      </w:r>
      <w:r>
        <w:t xml:space="preserve"> </w:t>
      </w:r>
      <w:r>
        <w:rPr>
          <w:u w:val="single"/>
        </w:rPr>
        <w:t xml:space="preserve">15 August 2024</w:t>
      </w:r>
    </w:p>
    <w:p>
      <w:pPr>
        <w:pStyle w:val="BodyText"/>
      </w:pPr>
      <w:r>
        <w:rPr>
          <w:b/>
          <w:bCs/>
        </w:rPr>
        <w:t xml:space="preserve">Developed by:</w:t>
      </w:r>
      <w:r>
        <w:t xml:space="preserve"> </w:t>
      </w:r>
      <w:r>
        <w:rPr>
          <w:strike/>
        </w:rPr>
        <w:t xml:space="preserve">Chris Jack (UCT)</w:t>
      </w:r>
      <w:r>
        <w:t xml:space="preserve"> </w:t>
      </w:r>
      <w:r>
        <w:rPr>
          <w:u w:val="single"/>
        </w:rPr>
        <w:t xml:space="preserve">C Jack (UCT), C Parker (Wits PHR)</w:t>
      </w:r>
    </w:p>
    <w:p>
      <w:pPr>
        <w:pStyle w:val="BodyText"/>
      </w:pPr>
      <w:r>
        <w:rPr>
          <w:b/>
          <w:bCs/>
        </w:rPr>
        <w:t xml:space="preserve">Ethics Reference:</w:t>
      </w:r>
      <w:r>
        <w:t xml:space="preserve"> </w:t>
      </w:r>
      <w:r>
        <w:rPr>
          <w:u w:val="single"/>
        </w:rPr>
        <w:t xml:space="preserve">RP1-220605 and RP2-220606</w:t>
      </w:r>
    </w:p>
    <w:p>
      <w:pPr>
        <w:pStyle w:val="BodyText"/>
      </w:pPr>
      <w:r>
        <w:rPr>
          <w:b/>
          <w:bCs/>
        </w:rPr>
        <w:t xml:space="preserve">Approved by:</w:t>
      </w:r>
      <w:r>
        <w:t xml:space="preserve"> </w:t>
      </w:r>
      <w:r>
        <w:rPr>
          <w:strike/>
        </w:rPr>
        <w:t xml:space="preserve">DMAC Steering Committee</w:t>
      </w:r>
      <w:r>
        <w:t xml:space="preserve"> </w:t>
      </w:r>
      <w:r>
        <w:rPr>
          <w:u w:val="single"/>
        </w:rPr>
        <w:t xml:space="preserve">DMAC Co-PIs and WHC Leadership</w:t>
      </w:r>
    </w:p>
    <w:p>
      <w:pPr>
        <w:pStyle w:val="BodyText"/>
      </w:pPr>
      <w:r>
        <w:rPr>
          <w:b/>
          <w:bCs/>
        </w:rPr>
        <w:t xml:space="preserve">Next Review Date:</w:t>
      </w:r>
      <w:r>
        <w:t xml:space="preserve"> </w:t>
      </w:r>
      <w:r>
        <w:rPr>
          <w:strike/>
        </w:rPr>
        <w:t xml:space="preserve">February 2023</w:t>
      </w:r>
      <w:r>
        <w:t xml:space="preserve"> </w:t>
      </w:r>
      <w:r>
        <w:rPr>
          <w:u w:val="single"/>
        </w:rPr>
        <w:t xml:space="preserve">February 2025</w:t>
      </w:r>
    </w:p>
    <w:bookmarkEnd w:id="9"/>
    <w:bookmarkStart w:id="1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scope">
        <w:r>
          <w:rPr>
            <w:rStyle w:val="Hyperlink"/>
          </w:rPr>
          <w:t xml:space="preserve">Scope and Applicability</w:t>
        </w:r>
      </w:hyperlink>
    </w:p>
    <w:p>
      <w:pPr>
        <w:pStyle w:val="Compact"/>
        <w:numPr>
          <w:ilvl w:val="0"/>
          <w:numId w:val="1001"/>
        </w:numPr>
      </w:pPr>
      <w:hyperlink w:anchor="purpose">
        <w:r>
          <w:rPr>
            <w:rStyle w:val="Hyperlink"/>
          </w:rPr>
          <w:t xml:space="preserve">Purpose and Objectives</w:t>
        </w:r>
      </w:hyperlink>
    </w:p>
    <w:p>
      <w:pPr>
        <w:pStyle w:val="Compact"/>
        <w:numPr>
          <w:ilvl w:val="0"/>
          <w:numId w:val="1001"/>
        </w:numPr>
      </w:pPr>
      <w:hyperlink w:anchor="definitions">
        <w:r>
          <w:rPr>
            <w:rStyle w:val="Hyperlink"/>
          </w:rPr>
          <w:t xml:space="preserve">Definitions and Abbreviations</w:t>
        </w:r>
      </w:hyperlink>
    </w:p>
    <w:p>
      <w:pPr>
        <w:pStyle w:val="Compact"/>
        <w:numPr>
          <w:ilvl w:val="0"/>
          <w:numId w:val="1001"/>
        </w:numPr>
      </w:pPr>
      <w:hyperlink w:anchor="background">
        <w:r>
          <w:rPr>
            <w:rStyle w:val="Hyperlink"/>
          </w:rPr>
          <w:t xml:space="preserve">Background and Context</w:t>
        </w:r>
      </w:hyperlink>
    </w:p>
    <w:p>
      <w:pPr>
        <w:pStyle w:val="Compact"/>
        <w:numPr>
          <w:ilvl w:val="0"/>
          <w:numId w:val="1001"/>
        </w:numPr>
      </w:pPr>
      <w:hyperlink w:anchor="data-categories">
        <w:r>
          <w:rPr>
            <w:rStyle w:val="Hyperlink"/>
          </w:rPr>
          <w:t xml:space="preserve">Data Categories and Types</w:t>
        </w:r>
      </w:hyperlink>
    </w:p>
    <w:p>
      <w:pPr>
        <w:pStyle w:val="Compact"/>
        <w:numPr>
          <w:ilvl w:val="0"/>
          <w:numId w:val="1001"/>
        </w:numPr>
      </w:pPr>
      <w:hyperlink w:anchor="data-workflow">
        <w:r>
          <w:rPr>
            <w:rStyle w:val="Hyperlink"/>
          </w:rPr>
          <w:t xml:space="preserve">Data Management Workflow</w:t>
        </w:r>
      </w:hyperlink>
    </w:p>
    <w:p>
      <w:pPr>
        <w:pStyle w:val="Compact"/>
        <w:numPr>
          <w:ilvl w:val="0"/>
          <w:numId w:val="1001"/>
        </w:numPr>
      </w:pPr>
      <w:hyperlink w:anchor="infrastructure">
        <w:r>
          <w:rPr>
            <w:rStyle w:val="Hyperlink"/>
          </w:rPr>
          <w:t xml:space="preserve">Data Infrastructure and Architecture</w:t>
        </w:r>
      </w:hyperlink>
    </w:p>
    <w:p>
      <w:pPr>
        <w:pStyle w:val="Compact"/>
        <w:numPr>
          <w:ilvl w:val="0"/>
          <w:numId w:val="1001"/>
        </w:numPr>
      </w:pPr>
      <w:hyperlink w:anchor="data-management">
        <w:r>
          <w:rPr>
            <w:rStyle w:val="Hyperlink"/>
          </w:rPr>
          <w:t xml:space="preserve">Data Management, Documentation and Curation</w:t>
        </w:r>
      </w:hyperlink>
    </w:p>
    <w:p>
      <w:pPr>
        <w:pStyle w:val="Compact"/>
        <w:numPr>
          <w:ilvl w:val="0"/>
          <w:numId w:val="1001"/>
        </w:numPr>
      </w:pPr>
      <w:hyperlink w:anchor="security">
        <w:r>
          <w:rPr>
            <w:rStyle w:val="Hyperlink"/>
          </w:rPr>
          <w:t xml:space="preserve">Data Security and Confidentiality</w:t>
        </w:r>
      </w:hyperlink>
    </w:p>
    <w:p>
      <w:pPr>
        <w:pStyle w:val="Compact"/>
        <w:numPr>
          <w:ilvl w:val="0"/>
          <w:numId w:val="1001"/>
        </w:numPr>
      </w:pPr>
      <w:hyperlink w:anchor="quality">
        <w:r>
          <w:rPr>
            <w:rStyle w:val="Hyperlink"/>
          </w:rPr>
          <w:t xml:space="preserve">Data Quality Assurance</w:t>
        </w:r>
      </w:hyperlink>
    </w:p>
    <w:p>
      <w:pPr>
        <w:pStyle w:val="Compact"/>
        <w:numPr>
          <w:ilvl w:val="0"/>
          <w:numId w:val="1001"/>
        </w:numPr>
      </w:pPr>
      <w:hyperlink w:anchor="data-sharing">
        <w:r>
          <w:rPr>
            <w:rStyle w:val="Hyperlink"/>
          </w:rPr>
          <w:t xml:space="preserve">Data Sharing and Open Access</w:t>
        </w:r>
      </w:hyperlink>
    </w:p>
    <w:p>
      <w:pPr>
        <w:pStyle w:val="Compact"/>
        <w:numPr>
          <w:ilvl w:val="0"/>
          <w:numId w:val="1001"/>
        </w:numPr>
      </w:pPr>
      <w:hyperlink w:anchor="popia">
        <w:r>
          <w:rPr>
            <w:rStyle w:val="Hyperlink"/>
          </w:rPr>
          <w:t xml:space="preserve">POPIA Compliance and Protection of Personal Information</w:t>
        </w:r>
      </w:hyperlink>
    </w:p>
    <w:p>
      <w:pPr>
        <w:pStyle w:val="Compact"/>
        <w:numPr>
          <w:ilvl w:val="0"/>
          <w:numId w:val="1001"/>
        </w:numPr>
      </w:pPr>
      <w:hyperlink w:anchor="governance">
        <w:r>
          <w:rPr>
            <w:rStyle w:val="Hyperlink"/>
          </w:rPr>
          <w:t xml:space="preserve">Data Governance Framework</w:t>
        </w:r>
      </w:hyperlink>
    </w:p>
    <w:p>
      <w:pPr>
        <w:pStyle w:val="Compact"/>
        <w:numPr>
          <w:ilvl w:val="0"/>
          <w:numId w:val="1001"/>
        </w:numPr>
      </w:pPr>
      <w:hyperlink w:anchor="roles">
        <w:r>
          <w:rPr>
            <w:rStyle w:val="Hyperlink"/>
          </w:rPr>
          <w:t xml:space="preserve">Roles and Responsibilities</w:t>
        </w:r>
      </w:hyperlink>
    </w:p>
    <w:p>
      <w:pPr>
        <w:pStyle w:val="Compact"/>
        <w:numPr>
          <w:ilvl w:val="0"/>
          <w:numId w:val="1001"/>
        </w:numPr>
      </w:pPr>
      <w:hyperlink w:anchor="training">
        <w:r>
          <w:rPr>
            <w:rStyle w:val="Hyperlink"/>
          </w:rPr>
          <w:t xml:space="preserve">Training and Capacity Building</w:t>
        </w:r>
      </w:hyperlink>
    </w:p>
    <w:p>
      <w:pPr>
        <w:pStyle w:val="Compact"/>
        <w:numPr>
          <w:ilvl w:val="0"/>
          <w:numId w:val="1001"/>
        </w:numPr>
      </w:pPr>
      <w:hyperlink w:anchor="risk-management">
        <w:r>
          <w:rPr>
            <w:rStyle w:val="Hyperlink"/>
          </w:rPr>
          <w:t xml:space="preserve">Risk Management and Mitigation</w:t>
        </w:r>
      </w:hyperlink>
    </w:p>
    <w:p>
      <w:pPr>
        <w:pStyle w:val="Compact"/>
        <w:numPr>
          <w:ilvl w:val="0"/>
          <w:numId w:val="1001"/>
        </w:numPr>
      </w:pPr>
      <w:hyperlink w:anchor="assessment">
        <w:r>
          <w:rPr>
            <w:rStyle w:val="Hyperlink"/>
          </w:rPr>
          <w:t xml:space="preserve">Assessment and Revision</w:t>
        </w:r>
      </w:hyperlink>
    </w:p>
    <w:p>
      <w:pPr>
        <w:pStyle w:val="Compact"/>
        <w:numPr>
          <w:ilvl w:val="0"/>
          <w:numId w:val="1001"/>
        </w:numPr>
      </w:pPr>
      <w:hyperlink w:anchor="implementation">
        <w:r>
          <w:rPr>
            <w:rStyle w:val="Hyperlink"/>
          </w:rPr>
          <w:t xml:space="preserve">Implementation Timeline</w:t>
        </w:r>
      </w:hyperlink>
    </w:p>
    <w:p>
      <w:pPr>
        <w:pStyle w:val="Compact"/>
        <w:numPr>
          <w:ilvl w:val="0"/>
          <w:numId w:val="1001"/>
        </w:numPr>
      </w:pPr>
      <w:hyperlink w:anchor="compliance">
        <w:r>
          <w:rPr>
            <w:rStyle w:val="Hyperlink"/>
          </w:rPr>
          <w:t xml:space="preserve">Compliance and Legal Framework</w:t>
        </w:r>
      </w:hyperlink>
    </w:p>
    <w:p>
      <w:pPr>
        <w:pStyle w:val="Compact"/>
        <w:numPr>
          <w:ilvl w:val="0"/>
          <w:numId w:val="1001"/>
        </w:numPr>
      </w:pPr>
      <w:hyperlink w:anchor="appendices">
        <w:r>
          <w:rPr>
            <w:rStyle w:val="Hyperlink"/>
          </w:rPr>
          <w:t xml:space="preserve">Appendices</w:t>
        </w:r>
      </w:hyperlink>
    </w:p>
    <w:bookmarkEnd w:id="10"/>
    <w:bookmarkStart w:id="11" w:name="executive-summary"/>
    <w:p>
      <w:pPr>
        <w:pStyle w:val="Heading2"/>
      </w:pPr>
      <w:r>
        <w:t xml:space="preserve">1. Executive Summary</w:t>
      </w:r>
    </w:p>
    <w:p>
      <w:pPr>
        <w:pStyle w:val="FirstParagraph"/>
      </w:pPr>
      <w:r>
        <w:rPr>
          <w:b/>
          <w:bCs/>
        </w:rPr>
        <w:t xml:space="preserve">Enhanced Executive Summary:</w:t>
      </w:r>
    </w:p>
    <w:p>
      <w:pPr>
        <w:pStyle w:val="BodyText"/>
      </w:pPr>
      <w:r>
        <w:rPr>
          <w:strike/>
        </w:rPr>
        <w:t xml:space="preserve">This Data Management Plan outlines procedures for data handling within the HE²AT Center's research activities.</w:t>
      </w:r>
      <w:r>
        <w:t xml:space="preserve"> </w:t>
      </w:r>
      <w:r>
        <w:rPr>
          <w:u w:val="single"/>
        </w:rPr>
        <w:t xml:space="preserve">This comprehensive Data Management Plan defines enhanced procedures and standards for data acquisition, processing, storage, and sharing within the HE²AT Center Project, incorporating strategic cloud infrastructure migration to improve security, scalability, and operational efficiency.</w:t>
      </w:r>
    </w:p>
    <w:p>
      <w:pPr>
        <w:pStyle w:val="BodyText"/>
      </w:pPr>
      <w:r>
        <w:rPr>
          <w:u w:val="single"/>
        </w:rPr>
        <w:t xml:space="preserve">Key enhancements in Version 2.0 include:</w:t>
      </w:r>
    </w:p>
    <w:p>
      <w:pPr>
        <w:pStyle w:val="Compact"/>
        <w:numPr>
          <w:ilvl w:val="0"/>
          <w:numId w:val="1002"/>
        </w:numPr>
      </w:pPr>
      <w:r>
        <w:rPr>
          <w:u w:val="single"/>
        </w:rPr>
        <w:t xml:space="preserve">Strategic transition from UCT on-premise to WHC-managed cloud infrastructure during Year 5</w:t>
      </w:r>
    </w:p>
    <w:p>
      <w:pPr>
        <w:pStyle w:val="Compact"/>
        <w:numPr>
          <w:ilvl w:val="0"/>
          <w:numId w:val="1002"/>
        </w:numPr>
      </w:pPr>
      <w:r>
        <w:rPr>
          <w:u w:val="single"/>
        </w:rPr>
        <w:t xml:space="preserve">Implementation of AES-256 encryption for all data at rest and in transit</w:t>
      </w:r>
    </w:p>
    <w:p>
      <w:pPr>
        <w:pStyle w:val="Compact"/>
        <w:numPr>
          <w:ilvl w:val="0"/>
          <w:numId w:val="1002"/>
        </w:numPr>
      </w:pPr>
      <w:r>
        <w:rPr>
          <w:u w:val="single"/>
        </w:rPr>
        <w:t xml:space="preserve">24/7 Security Operations Centre (SOC) monitoring and threat detection</w:t>
      </w:r>
    </w:p>
    <w:p>
      <w:pPr>
        <w:pStyle w:val="Compact"/>
        <w:numPr>
          <w:ilvl w:val="0"/>
          <w:numId w:val="1002"/>
        </w:numPr>
      </w:pPr>
      <w:r>
        <w:rPr>
          <w:u w:val="single"/>
        </w:rPr>
        <w:t xml:space="preserve">Enhanced Data Access Committee (DAC) governance framework</w:t>
      </w:r>
    </w:p>
    <w:p>
      <w:pPr>
        <w:pStyle w:val="Compact"/>
        <w:numPr>
          <w:ilvl w:val="0"/>
          <w:numId w:val="1002"/>
        </w:numPr>
      </w:pPr>
      <w:r>
        <w:rPr>
          <w:u w:val="single"/>
        </w:rPr>
        <w:t xml:space="preserve">Streamlined institutional responsibilities and role definitions</w:t>
      </w:r>
    </w:p>
    <w:p>
      <w:pPr>
        <w:pStyle w:val="Compact"/>
        <w:numPr>
          <w:ilvl w:val="0"/>
          <w:numId w:val="1002"/>
        </w:numPr>
      </w:pPr>
      <w:r>
        <w:rPr>
          <w:u w:val="single"/>
        </w:rPr>
        <w:t xml:space="preserve">Automated backup and disaster recovery systems</w:t>
      </w:r>
    </w:p>
    <w:p>
      <w:pPr>
        <w:pStyle w:val="Compact"/>
        <w:numPr>
          <w:ilvl w:val="0"/>
          <w:numId w:val="1002"/>
        </w:numPr>
      </w:pPr>
      <w:r>
        <w:rPr>
          <w:u w:val="single"/>
        </w:rPr>
        <w:t xml:space="preserve">GPU-accelerated computational resources for complex analyses</w:t>
      </w:r>
    </w:p>
    <w:bookmarkEnd w:id="11"/>
    <w:bookmarkStart w:id="12" w:name="scope"/>
    <w:p>
      <w:pPr>
        <w:pStyle w:val="Heading2"/>
      </w:pPr>
      <w:r>
        <w:t xml:space="preserve">2. Scope and Applicability</w:t>
      </w:r>
    </w:p>
    <w:p>
      <w:pPr>
        <w:pStyle w:val="FirstParagraph"/>
      </w:pPr>
      <w:r>
        <w:t xml:space="preserve">This Data Management Plan (DMP) applies to all data acquired and produced as part of the activities of the HE²AT Center</w:t>
      </w:r>
      <w:r>
        <w:t xml:space="preserve"> </w:t>
      </w:r>
      <w:r>
        <w:rPr>
          <w:u w:val="single"/>
        </w:rPr>
        <w:t xml:space="preserve">Project</w:t>
      </w:r>
      <w:r>
        <w:t xml:space="preserve"> </w:t>
      </w:r>
      <w:r>
        <w:t xml:space="preserve">including</w:t>
      </w:r>
      <w:r>
        <w:t xml:space="preserve"> </w:t>
      </w:r>
      <w:r>
        <w:rPr>
          <w:strike/>
        </w:rPr>
        <w:t xml:space="preserve">all associated</w:t>
      </w:r>
      <w:r>
        <w:t xml:space="preserve"> </w:t>
      </w:r>
      <w:r>
        <w:rPr>
          <w:u w:val="single"/>
        </w:rPr>
        <w:t xml:space="preserve">Pilot projects and collaborative research initiatives conducted under the NIH U54 Cooperation Agreement</w:t>
      </w:r>
      <w:r>
        <w:t xml:space="preserve">.</w:t>
      </w:r>
    </w:p>
    <w:p>
      <w:pPr>
        <w:pStyle w:val="BodyText"/>
      </w:pPr>
      <w:r>
        <w:rPr>
          <w:b/>
          <w:bCs/>
          <w:u w:val="single"/>
        </w:rPr>
        <w:t xml:space="preserve">Enhanced scope includes:</w:t>
      </w:r>
    </w:p>
    <w:p>
      <w:pPr>
        <w:pStyle w:val="Compact"/>
        <w:numPr>
          <w:ilvl w:val="0"/>
          <w:numId w:val="1003"/>
        </w:numPr>
      </w:pPr>
      <w:r>
        <w:rPr>
          <w:u w:val="single"/>
        </w:rPr>
        <w:t xml:space="preserve">All health-related data collected under RP1 and RP2 ethics approvals</w:t>
      </w:r>
    </w:p>
    <w:p>
      <w:pPr>
        <w:pStyle w:val="Compact"/>
        <w:numPr>
          <w:ilvl w:val="0"/>
          <w:numId w:val="1003"/>
        </w:numPr>
      </w:pPr>
      <w:r>
        <w:rPr>
          <w:u w:val="single"/>
        </w:rPr>
        <w:t xml:space="preserve">Climate and environmental datasets from institutional partners</w:t>
      </w:r>
    </w:p>
    <w:p>
      <w:pPr>
        <w:pStyle w:val="Compact"/>
        <w:numPr>
          <w:ilvl w:val="0"/>
          <w:numId w:val="1003"/>
        </w:numPr>
      </w:pPr>
      <w:r>
        <w:rPr>
          <w:u w:val="single"/>
        </w:rPr>
        <w:t xml:space="preserve">Socio-economic and geospatial data for population health analyses</w:t>
      </w:r>
    </w:p>
    <w:p>
      <w:pPr>
        <w:pStyle w:val="Compact"/>
        <w:numPr>
          <w:ilvl w:val="0"/>
          <w:numId w:val="1003"/>
        </w:numPr>
      </w:pPr>
      <w:r>
        <w:rPr>
          <w:u w:val="single"/>
        </w:rPr>
        <w:t xml:space="preserve">Remote sensing and satellite data products</w:t>
      </w:r>
    </w:p>
    <w:p>
      <w:pPr>
        <w:pStyle w:val="Compact"/>
        <w:numPr>
          <w:ilvl w:val="0"/>
          <w:numId w:val="1003"/>
        </w:numPr>
      </w:pPr>
      <w:r>
        <w:rPr>
          <w:u w:val="single"/>
        </w:rPr>
        <w:t xml:space="preserve">Derived and synthetic datasets created through HE²AT Center analyses</w:t>
      </w:r>
    </w:p>
    <w:p>
      <w:pPr>
        <w:pStyle w:val="Compact"/>
        <w:numPr>
          <w:ilvl w:val="0"/>
          <w:numId w:val="1003"/>
        </w:numPr>
      </w:pPr>
      <w:r>
        <w:rPr>
          <w:u w:val="single"/>
        </w:rPr>
        <w:t xml:space="preserve">Data shared with external researchers through DAC-approved projects</w:t>
      </w:r>
    </w:p>
    <w:bookmarkEnd w:id="12"/>
    <w:bookmarkStart w:id="13" w:name="purpose"/>
    <w:p>
      <w:pPr>
        <w:pStyle w:val="Heading2"/>
      </w:pPr>
      <w:r>
        <w:t xml:space="preserve">3. Purpose and Objectives</w:t>
      </w:r>
    </w:p>
    <w:p>
      <w:pPr>
        <w:pStyle w:val="FirstParagraph"/>
      </w:pPr>
      <w:r>
        <w:t xml:space="preserve">The purpose of the DMP is to define procedures and standards for the acquisition, transfer, processing, storage, and access to data within the</w:t>
      </w:r>
      <w:r>
        <w:t xml:space="preserve"> </w:t>
      </w:r>
      <w:r>
        <w:rPr>
          <w:strike/>
        </w:rPr>
        <w:t xml:space="preserve">program</w:t>
      </w:r>
      <w:r>
        <w:t xml:space="preserve"> </w:t>
      </w:r>
      <w:r>
        <w:rPr>
          <w:u w:val="single"/>
        </w:rPr>
        <w:t xml:space="preserve">HE²AT Center Project</w:t>
      </w:r>
      <w:r>
        <w:t xml:space="preserve">.</w:t>
      </w:r>
      <w:r>
        <w:t xml:space="preserve"> </w:t>
      </w:r>
      <w:r>
        <w:rPr>
          <w:u w:val="single"/>
        </w:rPr>
        <w:t xml:space="preserve">This plan ensures data integrity and security whilst facilitating effective data sharing and stakeholder collaboration in accordance with FAIR data principles.</w:t>
      </w:r>
    </w:p>
    <w:p>
      <w:pPr>
        <w:pStyle w:val="BodyText"/>
      </w:pPr>
      <w:r>
        <w:rPr>
          <w:b/>
          <w:bCs/>
          <w:u w:val="single"/>
        </w:rPr>
        <w:t xml:space="preserve">Primary objectives include:</w:t>
      </w:r>
    </w:p>
    <w:p>
      <w:pPr>
        <w:pStyle w:val="Compact"/>
        <w:numPr>
          <w:ilvl w:val="0"/>
          <w:numId w:val="1004"/>
        </w:numPr>
      </w:pPr>
      <w:r>
        <w:rPr>
          <w:u w:val="single"/>
        </w:rPr>
        <w:t xml:space="preserve">Ensure robust data security and regulatory compliance throughout the cloud migration</w:t>
      </w:r>
    </w:p>
    <w:p>
      <w:pPr>
        <w:pStyle w:val="Compact"/>
        <w:numPr>
          <w:ilvl w:val="0"/>
          <w:numId w:val="1004"/>
        </w:numPr>
      </w:pPr>
      <w:r>
        <w:rPr>
          <w:u w:val="single"/>
        </w:rPr>
        <w:t xml:space="preserve">Facilitate efficient data sharing while maintaining appropriate access controls</w:t>
      </w:r>
    </w:p>
    <w:p>
      <w:pPr>
        <w:pStyle w:val="Compact"/>
        <w:numPr>
          <w:ilvl w:val="0"/>
          <w:numId w:val="1004"/>
        </w:numPr>
      </w:pPr>
      <w:r>
        <w:rPr>
          <w:u w:val="single"/>
        </w:rPr>
        <w:t xml:space="preserve">Implement scalable infrastructure to support growing data volumes and computational needs</w:t>
      </w:r>
    </w:p>
    <w:p>
      <w:pPr>
        <w:pStyle w:val="Compact"/>
        <w:numPr>
          <w:ilvl w:val="0"/>
          <w:numId w:val="1004"/>
        </w:numPr>
      </w:pPr>
      <w:r>
        <w:rPr>
          <w:u w:val="single"/>
        </w:rPr>
        <w:t xml:space="preserve">Maintain data integrity and availability through enhanced backup and recovery systems</w:t>
      </w:r>
    </w:p>
    <w:p>
      <w:pPr>
        <w:pStyle w:val="Compact"/>
        <w:numPr>
          <w:ilvl w:val="0"/>
          <w:numId w:val="1004"/>
        </w:numPr>
      </w:pPr>
      <w:r>
        <w:rPr>
          <w:u w:val="single"/>
        </w:rPr>
        <w:t xml:space="preserve">Support FAIR data principles for improved research reproducibility and collaboration</w:t>
      </w:r>
    </w:p>
    <w:p>
      <w:pPr>
        <w:pStyle w:val="FirstParagraph"/>
      </w:pPr>
      <w:r>
        <w:t xml:space="preserve">While the DMP includes details of access to data by external parties, data sharing outside of the consortium is further supported by the associated Data</w:t>
      </w:r>
      <w:r>
        <w:t xml:space="preserve"> </w:t>
      </w:r>
      <w:r>
        <w:rPr>
          <w:strike/>
        </w:rPr>
        <w:t xml:space="preserve">Sharing</w:t>
      </w:r>
      <w:r>
        <w:t xml:space="preserve"> </w:t>
      </w:r>
      <w:r>
        <w:rPr>
          <w:u w:val="single"/>
        </w:rPr>
        <w:t xml:space="preserve">Transfer</w:t>
      </w:r>
      <w:r>
        <w:t xml:space="preserve"> </w:t>
      </w:r>
      <w:r>
        <w:t xml:space="preserve">Agreements (DTAs).</w:t>
      </w:r>
    </w:p>
    <w:bookmarkEnd w:id="13"/>
    <w:bookmarkStart w:id="14" w:name="definitions"/>
    <w:p>
      <w:pPr>
        <w:pStyle w:val="Heading2"/>
      </w:pPr>
      <w:r>
        <w:t xml:space="preserve">4. Definitions and Abbreviations</w:t>
      </w:r>
    </w:p>
    <w:p>
      <w:pPr>
        <w:pStyle w:val="FirstParagraph"/>
      </w:pPr>
      <w:r>
        <w:rPr>
          <w:b/>
          <w:bCs/>
        </w:rPr>
        <w:t xml:space="preserve">Enhanced definitions table with new terminology: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CSAG</w:t>
            </w:r>
          </w:p>
        </w:tc>
        <w:tc>
          <w:tcPr/>
          <w:p>
            <w:pPr>
              <w:pStyle w:val="Compact"/>
            </w:pPr>
            <w:r>
              <w:t xml:space="preserve">Climate System Analysis Group</w:t>
            </w:r>
          </w:p>
        </w:tc>
      </w:tr>
      <w:tr>
        <w:tc>
          <w:tcPr/>
          <w:p>
            <w:pPr>
              <w:pStyle w:val="Compact"/>
            </w:pPr>
            <w:r>
              <w:rPr>
                <w:u w:val="single"/>
              </w:rPr>
              <w:t xml:space="preserve">DAC</w:t>
            </w:r>
          </w:p>
        </w:tc>
        <w:tc>
          <w:tcPr/>
          <w:p>
            <w:pPr>
              <w:pStyle w:val="Compact"/>
            </w:pPr>
            <w:r>
              <w:rPr>
                <w:u w:val="single"/>
              </w:rPr>
              <w:t xml:space="preserve">Data Access Committee</w:t>
            </w:r>
          </w:p>
        </w:tc>
      </w:tr>
      <w:tr>
        <w:tc>
          <w:tcPr/>
          <w:p>
            <w:pPr>
              <w:pStyle w:val="Compact"/>
            </w:pPr>
            <w:r>
              <w:t xml:space="preserve">DMAC</w:t>
            </w:r>
          </w:p>
        </w:tc>
        <w:tc>
          <w:tcPr/>
          <w:p>
            <w:pPr>
              <w:pStyle w:val="Compact"/>
            </w:pPr>
            <w:r>
              <w:t xml:space="preserve">Data Management and Analysis Core</w:t>
            </w:r>
          </w:p>
        </w:tc>
      </w:tr>
      <w:tr>
        <w:tc>
          <w:tcPr/>
          <w:p>
            <w:pPr>
              <w:pStyle w:val="Compact"/>
            </w:pPr>
            <w:r>
              <w:rPr>
                <w:strike/>
              </w:rPr>
              <w:t xml:space="preserve">DSA</w:t>
            </w:r>
            <w:r>
              <w:t xml:space="preserve"> </w:t>
            </w:r>
            <w:r>
              <w:rPr>
                <w:u w:val="single"/>
              </w:rPr>
              <w:t xml:space="preserve">DTA</w:t>
            </w:r>
          </w:p>
        </w:tc>
        <w:tc>
          <w:tcPr/>
          <w:p>
            <w:pPr>
              <w:pStyle w:val="Compact"/>
            </w:pPr>
            <w:r>
              <w:rPr>
                <w:strike/>
              </w:rPr>
              <w:t xml:space="preserve">Data Sharing Agreement</w:t>
            </w:r>
            <w:r>
              <w:t xml:space="preserve"> </w:t>
            </w:r>
            <w:r>
              <w:rPr>
                <w:u w:val="single"/>
              </w:rPr>
              <w:t xml:space="preserve">Data Transfer Agreement</w:t>
            </w:r>
          </w:p>
        </w:tc>
      </w:tr>
      <w:tr>
        <w:tc>
          <w:tcPr/>
          <w:p>
            <w:pPr>
              <w:pStyle w:val="Compact"/>
            </w:pPr>
            <w:r>
              <w:rPr>
                <w:u w:val="single"/>
              </w:rPr>
              <w:t xml:space="preserve">FAIR</w:t>
            </w:r>
          </w:p>
        </w:tc>
        <w:tc>
          <w:tcPr/>
          <w:p>
            <w:pPr>
              <w:pStyle w:val="Compact"/>
            </w:pPr>
            <w:r>
              <w:rPr>
                <w:u w:val="single"/>
              </w:rPr>
              <w:t xml:space="preserve">Findable, Accessible, Interoperable, and Reusable</w:t>
            </w:r>
          </w:p>
        </w:tc>
      </w:tr>
      <w:tr>
        <w:tc>
          <w:tcPr/>
          <w:p>
            <w:pPr>
              <w:pStyle w:val="Compact"/>
            </w:pPr>
            <w:r>
              <w:t xml:space="preserve">HE²AT</w:t>
            </w:r>
          </w:p>
        </w:tc>
        <w:tc>
          <w:tcPr/>
          <w:p>
            <w:pPr>
              <w:pStyle w:val="Compact"/>
            </w:pPr>
            <w:r>
              <w:t xml:space="preserve">Heat and Health in Africa Transdisciplinary Center</w:t>
            </w:r>
          </w:p>
        </w:tc>
      </w:tr>
      <w:tr>
        <w:tc>
          <w:tcPr/>
          <w:p>
            <w:pPr>
              <w:pStyle w:val="Compact"/>
            </w:pPr>
            <w:r>
              <w:t xml:space="preserve">HREC</w:t>
            </w:r>
          </w:p>
        </w:tc>
        <w:tc>
          <w:tcPr/>
          <w:p>
            <w:pPr>
              <w:pStyle w:val="Compact"/>
            </w:pPr>
            <w:r>
              <w:t xml:space="preserve">Human Research Ethics Committee</w:t>
            </w:r>
          </w:p>
        </w:tc>
      </w:tr>
      <w:tr>
        <w:tc>
          <w:tcPr/>
          <w:p>
            <w:pPr>
              <w:pStyle w:val="Compact"/>
            </w:pPr>
            <w:r>
              <w:t xml:space="preserve">NIH</w:t>
            </w:r>
          </w:p>
        </w:tc>
        <w:tc>
          <w:tcPr/>
          <w:p>
            <w:pPr>
              <w:pStyle w:val="Compact"/>
            </w:pPr>
            <w:r>
              <w:t xml:space="preserve">National Institutes of Health</w:t>
            </w:r>
          </w:p>
        </w:tc>
      </w:tr>
      <w:tr>
        <w:tc>
          <w:tcPr/>
          <w:p>
            <w:pPr>
              <w:pStyle w:val="Compact"/>
            </w:pPr>
            <w:r>
              <w:t xml:space="preserve">POPIA</w:t>
            </w:r>
          </w:p>
        </w:tc>
        <w:tc>
          <w:tcPr/>
          <w:p>
            <w:pPr>
              <w:pStyle w:val="Compact"/>
            </w:pPr>
            <w:r>
              <w:t xml:space="preserve">Protection of Personal Information Act</w:t>
            </w:r>
          </w:p>
        </w:tc>
      </w:tr>
      <w:tr>
        <w:tc>
          <w:tcPr/>
          <w:p>
            <w:pPr>
              <w:pStyle w:val="Compact"/>
            </w:pPr>
            <w:r>
              <w:rPr>
                <w:u w:val="single"/>
              </w:rPr>
              <w:t xml:space="preserve">SOC</w:t>
            </w:r>
          </w:p>
        </w:tc>
        <w:tc>
          <w:tcPr/>
          <w:p>
            <w:pPr>
              <w:pStyle w:val="Compact"/>
            </w:pPr>
            <w:r>
              <w:rPr>
                <w:u w:val="single"/>
              </w:rPr>
              <w:t xml:space="preserve">Security Operations Centre</w:t>
            </w:r>
          </w:p>
        </w:tc>
      </w:tr>
      <w:tr>
        <w:tc>
          <w:tcPr/>
          <w:p>
            <w:pPr>
              <w:pStyle w:val="Compact"/>
            </w:pPr>
            <w:r>
              <w:t xml:space="preserve">UCT</w:t>
            </w:r>
          </w:p>
        </w:tc>
        <w:tc>
          <w:tcPr/>
          <w:p>
            <w:pPr>
              <w:pStyle w:val="Compact"/>
            </w:pPr>
            <w:r>
              <w:t xml:space="preserve">University of Cape Town</w:t>
            </w:r>
          </w:p>
        </w:tc>
      </w:tr>
      <w:tr>
        <w:tc>
          <w:tcPr/>
          <w:p>
            <w:pPr>
              <w:pStyle w:val="Compact"/>
            </w:pPr>
            <w:r>
              <w:rPr>
                <w:u w:val="single"/>
              </w:rPr>
              <w:t xml:space="preserve">WHC</w:t>
            </w:r>
          </w:p>
        </w:tc>
        <w:tc>
          <w:tcPr/>
          <w:p>
            <w:pPr>
              <w:pStyle w:val="Compact"/>
            </w:pPr>
            <w:r>
              <w:rPr>
                <w:u w:val="single"/>
              </w:rPr>
              <w:t xml:space="preserve">Wits Health Consortium Pty (Ltd)</w:t>
            </w:r>
          </w:p>
        </w:tc>
      </w:tr>
      <w:tr>
        <w:tc>
          <w:tcPr/>
          <w:p>
            <w:pPr>
              <w:pStyle w:val="Compact"/>
            </w:pPr>
            <w:r>
              <w:rPr>
                <w:u w:val="single"/>
              </w:rPr>
              <w:t xml:space="preserve">Wits PHR</w:t>
            </w:r>
          </w:p>
        </w:tc>
        <w:tc>
          <w:tcPr/>
          <w:p>
            <w:pPr>
              <w:pStyle w:val="Compact"/>
            </w:pPr>
            <w:r>
              <w:rPr>
                <w:u w:val="single"/>
              </w:rPr>
              <w:t xml:space="preserve">Wits Planetary Health Research, a division of Wits Health Consortium (Pty) Ltd</w:t>
            </w:r>
          </w:p>
        </w:tc>
      </w:tr>
    </w:tbl>
    <w:bookmarkEnd w:id="14"/>
    <w:bookmarkStart w:id="17" w:name="background"/>
    <w:p>
      <w:pPr>
        <w:pStyle w:val="Heading2"/>
      </w:pPr>
      <w:r>
        <w:t xml:space="preserve">5. Background and Context</w:t>
      </w:r>
    </w:p>
    <w:p>
      <w:pPr>
        <w:pStyle w:val="FirstParagraph"/>
      </w:pPr>
      <w:r>
        <w:t xml:space="preserve">The Heat and Health</w:t>
      </w:r>
      <w:r>
        <w:t xml:space="preserve"> </w:t>
      </w:r>
      <w:r>
        <w:rPr>
          <w:strike/>
        </w:rPr>
        <w:t xml:space="preserve">in</w:t>
      </w:r>
      <w:r>
        <w:t xml:space="preserve"> </w:t>
      </w:r>
      <w:r>
        <w:rPr>
          <w:u w:val="single"/>
        </w:rPr>
        <w:t xml:space="preserve">Africa Transdisciplinary</w:t>
      </w:r>
      <w:r>
        <w:t xml:space="preserve"> </w:t>
      </w:r>
      <w:r>
        <w:t xml:space="preserve">Center</w:t>
      </w:r>
      <w:r>
        <w:t xml:space="preserve"> </w:t>
      </w:r>
      <w:r>
        <w:rPr>
          <w:strike/>
        </w:rPr>
        <w:t xml:space="preserve">(</w:t>
      </w:r>
      <w:r>
        <w:t xml:space="preserve">HE²AT Center</w:t>
      </w:r>
      <w:r>
        <w:rPr>
          <w:strike/>
        </w:rPr>
        <w:t xml:space="preserve">)</w:t>
      </w:r>
      <w:r>
        <w:t xml:space="preserve"> </w:t>
      </w:r>
      <w:r>
        <w:t xml:space="preserve">is a U54 Cooperation agreement with the NIH (2021-2026). The HE²AT Center aspires to become a Center of Excellence in heat-health research, capacity building and engagement, using</w:t>
      </w:r>
      <w:r>
        <w:t xml:space="preserve"> </w:t>
      </w:r>
      <w:r>
        <w:rPr>
          <w:u w:val="single"/>
        </w:rPr>
        <w:t xml:space="preserve">a</w:t>
      </w:r>
      <w:r>
        <w:t xml:space="preserve"> </w:t>
      </w:r>
      <w:r>
        <w:t xml:space="preserve">population health science</w:t>
      </w:r>
      <w:r>
        <w:t xml:space="preserve"> </w:t>
      </w:r>
      <w:r>
        <w:rPr>
          <w:u w:val="single"/>
        </w:rPr>
        <w:t xml:space="preserve">approach</w:t>
      </w:r>
      <w:r>
        <w:t xml:space="preserve"> </w:t>
      </w:r>
      <w:r>
        <w:t xml:space="preserve">and applying data science methodologies to improve the health of populations in Africa and beyond.</w:t>
      </w:r>
    </w:p>
    <w:bookmarkStart w:id="15" w:name="Xcc4c64a448c0d0dd670f4b3fc74d4c0cefcb64c"/>
    <w:p>
      <w:pPr>
        <w:pStyle w:val="Heading3"/>
      </w:pPr>
      <w:r>
        <w:t xml:space="preserve">5.1 Enhanced Cloud Infrastructure Implementation</w:t>
      </w:r>
    </w:p>
    <w:p>
      <w:pPr>
        <w:pStyle w:val="FirstParagraph"/>
      </w:pPr>
      <w:r>
        <w:rPr>
          <w:b/>
          <w:bCs/>
        </w:rPr>
        <w:t xml:space="preserve">New Section:</w:t>
      </w:r>
      <w:r>
        <w:t xml:space="preserve"> </w:t>
      </w:r>
      <w:r>
        <w:t xml:space="preserve">The HE²AT Center is implementing a strategic transition from UCT on-premise infrastructure to WHC-managed cloud infrastructure during Year 5, with the goal of complete migration of all sensitive health data to the cloud by the end of Year 5. This transition enhances security, scalability, and operational efficiency whilst maintaining full regulatory compliance.</w:t>
      </w:r>
    </w:p>
    <w:p>
      <w:pPr>
        <w:pStyle w:val="BodyText"/>
      </w:pPr>
      <w:r>
        <w:rPr>
          <w:b/>
          <w:bCs/>
        </w:rPr>
        <w:t xml:space="preserve">Strategic benefits include:</w:t>
      </w:r>
    </w:p>
    <w:p>
      <w:pPr>
        <w:pStyle w:val="Compact"/>
        <w:numPr>
          <w:ilvl w:val="0"/>
          <w:numId w:val="1005"/>
        </w:numPr>
      </w:pPr>
      <w:r>
        <w:t xml:space="preserve">Enhanced data security through AES-256 encryption and 24/7 SOC monitoring</w:t>
      </w:r>
    </w:p>
    <w:p>
      <w:pPr>
        <w:pStyle w:val="Compact"/>
        <w:numPr>
          <w:ilvl w:val="0"/>
          <w:numId w:val="1005"/>
        </w:numPr>
      </w:pPr>
      <w:r>
        <w:t xml:space="preserve">Improved disaster recovery and business continuity capabilities</w:t>
      </w:r>
    </w:p>
    <w:p>
      <w:pPr>
        <w:pStyle w:val="Compact"/>
        <w:numPr>
          <w:ilvl w:val="0"/>
          <w:numId w:val="1005"/>
        </w:numPr>
      </w:pPr>
      <w:r>
        <w:t xml:space="preserve">Scalable computational resources to support growing research demands</w:t>
      </w:r>
    </w:p>
    <w:p>
      <w:pPr>
        <w:pStyle w:val="Compact"/>
        <w:numPr>
          <w:ilvl w:val="0"/>
          <w:numId w:val="1005"/>
        </w:numPr>
      </w:pPr>
      <w:r>
        <w:t xml:space="preserve">Automated compliance monitoring and reporting</w:t>
      </w:r>
    </w:p>
    <w:p>
      <w:pPr>
        <w:pStyle w:val="Compact"/>
        <w:numPr>
          <w:ilvl w:val="0"/>
          <w:numId w:val="1005"/>
        </w:numPr>
      </w:pPr>
      <w:r>
        <w:t xml:space="preserve">Cost-effective long-term infrastructure management</w:t>
      </w:r>
    </w:p>
    <w:bookmarkEnd w:id="15"/>
    <w:bookmarkStart w:id="16" w:name="research-context-and-ethics-framework"/>
    <w:p>
      <w:pPr>
        <w:pStyle w:val="Heading3"/>
      </w:pPr>
      <w:r>
        <w:t xml:space="preserve">5.2 Research Context and Ethics Framework</w:t>
      </w:r>
    </w:p>
    <w:p>
      <w:pPr>
        <w:pStyle w:val="FirstParagraph"/>
      </w:pPr>
      <w:r>
        <w:rPr>
          <w:b/>
          <w:bCs/>
          <w:u w:val="single"/>
        </w:rPr>
        <w:t xml:space="preserve">Enhanced research framework:</w:t>
      </w:r>
      <w:r>
        <w:rPr>
          <w:u w:val="single"/>
        </w:rPr>
        <w:t xml:space="preserve"> </w:t>
      </w:r>
      <w:r>
        <w:rPr>
          <w:u w:val="single"/>
        </w:rPr>
        <w:t xml:space="preserve">The HE²AT Center operates under comprehensive ethics approvals (RP1-220605 and RP2-220606) that encompass all data collection, processing, and sharing activities. The enhanced data management procedures maintain full compliance with these approvals whilst improving technical capabilities.</w:t>
      </w:r>
    </w:p>
    <w:bookmarkEnd w:id="16"/>
    <w:bookmarkEnd w:id="17"/>
    <w:bookmarkStart w:id="22" w:name="data-categories"/>
    <w:p>
      <w:pPr>
        <w:pStyle w:val="Heading2"/>
      </w:pPr>
      <w:r>
        <w:t xml:space="preserve">6. Data Categories and Types</w:t>
      </w:r>
    </w:p>
    <w:p>
      <w:pPr>
        <w:pStyle w:val="FirstParagraph"/>
      </w:pPr>
      <w:r>
        <w:t xml:space="preserve">Multiple categories of data will be used across the project broadly divided into</w:t>
      </w:r>
      <w:r>
        <w:t xml:space="preserve"> </w:t>
      </w:r>
      <w:r>
        <w:rPr>
          <w:strike/>
        </w:rPr>
        <w:t xml:space="preserve">three</w:t>
      </w:r>
      <w:r>
        <w:t xml:space="preserve"> </w:t>
      </w:r>
      <w:r>
        <w:rPr>
          <w:u w:val="single"/>
        </w:rPr>
        <w:t xml:space="preserve">four</w:t>
      </w:r>
      <w:r>
        <w:t xml:space="preserve"> </w:t>
      </w:r>
      <w:r>
        <w:t xml:space="preserve">categories:</w:t>
      </w:r>
    </w:p>
    <w:bookmarkStart w:id="18" w:name="health-related-data"/>
    <w:p>
      <w:pPr>
        <w:pStyle w:val="Heading3"/>
      </w:pPr>
      <w:r>
        <w:t xml:space="preserve">6.1 Health-related Data</w:t>
      </w:r>
    </w:p>
    <w:p>
      <w:pPr>
        <w:pStyle w:val="FirstParagraph"/>
      </w:pPr>
      <w:r>
        <w:rPr>
          <w:b/>
          <w:bCs/>
        </w:rPr>
        <w:t xml:space="preserve">Enhanced categorization with detailed access controls: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Type</w:t>
            </w:r>
          </w:p>
        </w:tc>
        <w:tc>
          <w:tcPr/>
          <w:p>
            <w:pPr>
              <w:pStyle w:val="Compact"/>
            </w:pPr>
            <w:r>
              <w:t xml:space="preserve">Description</w:t>
            </w:r>
          </w:p>
        </w:tc>
        <w:tc>
          <w:tcPr/>
          <w:p>
            <w:pPr>
              <w:pStyle w:val="Compact"/>
            </w:pPr>
            <w:r>
              <w:t xml:space="preserve">Storage Location</w:t>
            </w:r>
          </w:p>
        </w:tc>
        <w:tc>
          <w:tcPr/>
          <w:p>
            <w:pPr>
              <w:pStyle w:val="Compact"/>
            </w:pPr>
            <w:r>
              <w:t xml:space="preserve">Access Level</w:t>
            </w:r>
          </w:p>
        </w:tc>
      </w:tr>
      <w:tr>
        <w:tc>
          <w:tcPr/>
          <w:p>
            <w:pPr>
              <w:pStyle w:val="Compact"/>
            </w:pPr>
            <w:r>
              <w:rPr>
                <w:u w:val="single"/>
              </w:rPr>
              <w:t xml:space="preserve">Original Study Data</w:t>
            </w:r>
          </w:p>
        </w:tc>
        <w:tc>
          <w:tcPr/>
          <w:p>
            <w:pPr>
              <w:pStyle w:val="Compact"/>
            </w:pPr>
            <w:r>
              <w:t xml:space="preserve">Raw, unprocessed data held under strong access control</w:t>
            </w:r>
          </w:p>
        </w:tc>
        <w:tc>
          <w:tcPr/>
          <w:p>
            <w:pPr>
              <w:pStyle w:val="Compact"/>
            </w:pPr>
            <w:r>
              <w:rPr>
                <w:strike/>
              </w:rPr>
              <w:t xml:space="preserve">UCT servers only</w:t>
            </w:r>
            <w:r>
              <w:t xml:space="preserve"> </w:t>
            </w:r>
            <w:r>
              <w:rPr>
                <w:u w:val="single"/>
              </w:rPr>
              <w:t xml:space="preserve">UCT servers, transitioning to WHC-managed cloud infrastructure with AES-256 encryption from Year 5</w:t>
            </w:r>
          </w:p>
        </w:tc>
        <w:tc>
          <w:tcPr/>
          <w:p>
            <w:pPr>
              <w:pStyle w:val="Compact"/>
            </w:pPr>
            <w:r>
              <w:rPr>
                <w:u w:val="single"/>
              </w:rPr>
              <w:t xml:space="preserve">Restricted - Core Data Team only</w:t>
            </w:r>
          </w:p>
        </w:tc>
      </w:tr>
      <w:tr>
        <w:tc>
          <w:tcPr/>
          <w:p>
            <w:pPr>
              <w:pStyle w:val="Compact"/>
            </w:pPr>
            <w:r>
              <w:rPr>
                <w:u w:val="single"/>
              </w:rPr>
              <w:t xml:space="preserve">Consortium Shared Data</w:t>
            </w:r>
          </w:p>
        </w:tc>
        <w:tc>
          <w:tcPr/>
          <w:p>
            <w:pPr>
              <w:pStyle w:val="Compact"/>
            </w:pPr>
            <w:r>
              <w:t xml:space="preserve">Data processed, harmonised, and integrated for HE²AT Center Consortium analysis</w:t>
            </w:r>
          </w:p>
        </w:tc>
        <w:tc>
          <w:tcPr/>
          <w:p>
            <w:pPr>
              <w:pStyle w:val="Compact"/>
            </w:pPr>
            <w:r>
              <w:rPr>
                <w:u w:val="single"/>
              </w:rPr>
              <w:t xml:space="preserve">CSAG/UCT platform and WHC cloud infrastructure</w:t>
            </w:r>
          </w:p>
        </w:tc>
        <w:tc>
          <w:tcPr/>
          <w:p>
            <w:pPr>
              <w:pStyle w:val="Compact"/>
            </w:pPr>
            <w:r>
              <w:rPr>
                <w:u w:val="single"/>
              </w:rPr>
              <w:t xml:space="preserve">Consortium members via DAC approval</w:t>
            </w:r>
          </w:p>
        </w:tc>
      </w:tr>
      <w:tr>
        <w:tc>
          <w:tcPr/>
          <w:p>
            <w:pPr>
              <w:pStyle w:val="Compact"/>
            </w:pPr>
            <w:r>
              <w:rPr>
                <w:u w:val="single"/>
              </w:rPr>
              <w:t xml:space="preserve">RP1/RP2 De-identified Data</w:t>
            </w:r>
          </w:p>
        </w:tc>
        <w:tc>
          <w:tcPr/>
          <w:p>
            <w:pPr>
              <w:pStyle w:val="Compact"/>
            </w:pPr>
            <w:r>
              <w:t xml:space="preserve">Further processed and de-identified data available to external researchers</w:t>
            </w:r>
          </w:p>
        </w:tc>
        <w:tc>
          <w:tcPr/>
          <w:p>
            <w:pPr>
              <w:pStyle w:val="Compact"/>
            </w:pPr>
            <w:r>
              <w:rPr>
                <w:u w:val="single"/>
              </w:rPr>
              <w:t xml:space="preserve">WHC cloud infrastructure with enhanced access controls</w:t>
            </w:r>
          </w:p>
        </w:tc>
        <w:tc>
          <w:tcPr/>
          <w:p>
            <w:pPr>
              <w:pStyle w:val="Compact"/>
            </w:pPr>
            <w:r>
              <w:rPr>
                <w:u w:val="single"/>
              </w:rPr>
              <w:t xml:space="preserve">External researchers via DAC approval</w:t>
            </w:r>
          </w:p>
        </w:tc>
      </w:tr>
      <w:tr>
        <w:tc>
          <w:tcPr/>
          <w:p>
            <w:pPr>
              <w:pStyle w:val="Compact"/>
            </w:pPr>
            <w:r>
              <w:rPr>
                <w:u w:val="single"/>
              </w:rPr>
              <w:t xml:space="preserve">Inferential Data</w:t>
            </w:r>
          </w:p>
        </w:tc>
        <w:tc>
          <w:tcPr/>
          <w:p>
            <w:pPr>
              <w:pStyle w:val="Compact"/>
            </w:pPr>
            <w:r>
              <w:t xml:space="preserve">Aggregated or synthetic data derived from analyses</w:t>
            </w:r>
          </w:p>
        </w:tc>
        <w:tc>
          <w:tcPr/>
          <w:p>
            <w:pPr>
              <w:pStyle w:val="Compact"/>
            </w:pPr>
            <w:r>
              <w:rPr>
                <w:u w:val="single"/>
              </w:rPr>
              <w:t xml:space="preserve">Public repositories and institutional platforms</w:t>
            </w:r>
          </w:p>
        </w:tc>
        <w:tc>
          <w:tcPr/>
          <w:p>
            <w:pPr>
              <w:pStyle w:val="Compact"/>
            </w:pPr>
            <w:r>
              <w:rPr>
                <w:u w:val="single"/>
              </w:rPr>
              <w:t xml:space="preserve">Open access with appropriate attribution</w:t>
            </w:r>
          </w:p>
        </w:tc>
      </w:tr>
    </w:tbl>
    <w:bookmarkEnd w:id="18"/>
    <w:bookmarkStart w:id="19" w:name="climate-and-weather-data"/>
    <w:p>
      <w:pPr>
        <w:pStyle w:val="Heading3"/>
      </w:pPr>
      <w:r>
        <w:t xml:space="preserve">6.2 Climate and Weather Data</w:t>
      </w:r>
    </w:p>
    <w:p>
      <w:pPr>
        <w:pStyle w:val="FirstParagraph"/>
      </w:pPr>
      <w:r>
        <w:t xml:space="preserve">These data include both observational based datasets (weather station observations, satellite proxy observations, and processed/gridded observations).</w:t>
      </w:r>
      <w:r>
        <w:t xml:space="preserve"> </w:t>
      </w:r>
      <w:r>
        <w:rPr>
          <w:u w:val="single"/>
        </w:rPr>
        <w:t xml:space="preserve">The data will be stored on IBM Research Africa and CSAG/UCT systems, with relevant datasets or subsets also stored on the WHC-managed cloud services to allow for association/linkage with health datasets.</w:t>
      </w:r>
    </w:p>
    <w:p>
      <w:pPr>
        <w:pStyle w:val="BodyText"/>
      </w:pPr>
      <w:r>
        <w:rPr>
          <w:b/>
          <w:bCs/>
        </w:rPr>
        <w:t xml:space="preserve">Climate data categories include:</w:t>
      </w:r>
    </w:p>
    <w:p>
      <w:pPr>
        <w:pStyle w:val="Compact"/>
        <w:numPr>
          <w:ilvl w:val="0"/>
          <w:numId w:val="1006"/>
        </w:numPr>
      </w:pPr>
      <w:r>
        <w:t xml:space="preserve">Real-time meteorological observations from weather station networks</w:t>
      </w:r>
    </w:p>
    <w:p>
      <w:pPr>
        <w:pStyle w:val="Compact"/>
        <w:numPr>
          <w:ilvl w:val="0"/>
          <w:numId w:val="1006"/>
        </w:numPr>
      </w:pPr>
      <w:r>
        <w:t xml:space="preserve">Historical climate datasets spanning multiple decades</w:t>
      </w:r>
    </w:p>
    <w:p>
      <w:pPr>
        <w:pStyle w:val="Compact"/>
        <w:numPr>
          <w:ilvl w:val="0"/>
          <w:numId w:val="1006"/>
        </w:numPr>
      </w:pPr>
      <w:r>
        <w:t xml:space="preserve">Climate model outputs and projections</w:t>
      </w:r>
    </w:p>
    <w:p>
      <w:pPr>
        <w:pStyle w:val="Compact"/>
        <w:numPr>
          <w:ilvl w:val="0"/>
          <w:numId w:val="1006"/>
        </w:numPr>
      </w:pPr>
      <w:r>
        <w:t xml:space="preserve">Satellite-derived atmospheric and surface measurements</w:t>
      </w:r>
    </w:p>
    <w:p>
      <w:pPr>
        <w:pStyle w:val="Compact"/>
        <w:numPr>
          <w:ilvl w:val="0"/>
          <w:numId w:val="1006"/>
        </w:numPr>
      </w:pPr>
      <w:r>
        <w:t xml:space="preserve">Processed and quality-controlled gridded climate products</w:t>
      </w:r>
    </w:p>
    <w:bookmarkEnd w:id="19"/>
    <w:bookmarkStart w:id="20" w:name="X944c7090fd375985ee8c6c2a23503c8387ef163"/>
    <w:p>
      <w:pPr>
        <w:pStyle w:val="Heading3"/>
      </w:pPr>
      <w:r>
        <w:t xml:space="preserve">6.3</w:t>
      </w:r>
      <w:r>
        <w:t xml:space="preserve"> </w:t>
      </w:r>
      <w:r>
        <w:rPr>
          <w:strike/>
        </w:rPr>
        <w:t xml:space="preserve">Remote sensing data</w:t>
      </w:r>
      <w:r>
        <w:t xml:space="preserve"> </w:t>
      </w:r>
      <w:r>
        <w:rPr>
          <w:u w:val="single"/>
        </w:rPr>
        <w:t xml:space="preserve">Areal/Geospatial Socio-economic Data</w:t>
      </w:r>
    </w:p>
    <w:p>
      <w:pPr>
        <w:pStyle w:val="FirstParagraph"/>
      </w:pPr>
      <w:r>
        <w:rPr>
          <w:u w:val="single"/>
        </w:rPr>
        <w:t xml:space="preserve">These data represent measures of socio-economic and related conditions such as household economic status, access to services such as water and sanitation, and dwelling type. Data will be stored on CSAG/UCT systems while a copy will be stored on the WHC-managed cloud services.</w:t>
      </w:r>
    </w:p>
    <w:p>
      <w:pPr>
        <w:pStyle w:val="BodyText"/>
      </w:pPr>
      <w:r>
        <w:rPr>
          <w:b/>
          <w:bCs/>
        </w:rPr>
        <w:t xml:space="preserve">Socio-economic data types include:</w:t>
      </w:r>
    </w:p>
    <w:p>
      <w:pPr>
        <w:pStyle w:val="Compact"/>
        <w:numPr>
          <w:ilvl w:val="0"/>
          <w:numId w:val="1007"/>
        </w:numPr>
      </w:pPr>
      <w:r>
        <w:t xml:space="preserve">Census and demographic data at various geographic scales</w:t>
      </w:r>
    </w:p>
    <w:p>
      <w:pPr>
        <w:pStyle w:val="Compact"/>
        <w:numPr>
          <w:ilvl w:val="0"/>
          <w:numId w:val="1007"/>
        </w:numPr>
      </w:pPr>
      <w:r>
        <w:t xml:space="preserve">Household survey data on economic conditions and living standards</w:t>
      </w:r>
    </w:p>
    <w:p>
      <w:pPr>
        <w:pStyle w:val="Compact"/>
        <w:numPr>
          <w:ilvl w:val="0"/>
          <w:numId w:val="1007"/>
        </w:numPr>
      </w:pPr>
      <w:r>
        <w:t xml:space="preserve">Infrastructure and service accessibility indicators</w:t>
      </w:r>
    </w:p>
    <w:p>
      <w:pPr>
        <w:pStyle w:val="Compact"/>
        <w:numPr>
          <w:ilvl w:val="0"/>
          <w:numId w:val="1007"/>
        </w:numPr>
      </w:pPr>
      <w:r>
        <w:t xml:space="preserve">Urban planning and development datasets</w:t>
      </w:r>
    </w:p>
    <w:p>
      <w:pPr>
        <w:pStyle w:val="Compact"/>
        <w:numPr>
          <w:ilvl w:val="0"/>
          <w:numId w:val="1007"/>
        </w:numPr>
      </w:pPr>
      <w:r>
        <w:t xml:space="preserve">Administrative boundary and geographic reference data</w:t>
      </w:r>
    </w:p>
    <w:bookmarkEnd w:id="20"/>
    <w:bookmarkStart w:id="21" w:name="remote-sensing-data"/>
    <w:p>
      <w:pPr>
        <w:pStyle w:val="Heading3"/>
      </w:pPr>
      <w:r>
        <w:t xml:space="preserve">6.4</w:t>
      </w:r>
      <w:r>
        <w:t xml:space="preserve"> </w:t>
      </w:r>
      <w:r>
        <w:rPr>
          <w:u w:val="single"/>
        </w:rPr>
        <w:t xml:space="preserve">Remote Sensing Data</w:t>
      </w:r>
    </w:p>
    <w:p>
      <w:pPr>
        <w:pStyle w:val="FirstParagraph"/>
      </w:pPr>
      <w:r>
        <w:t xml:space="preserve">Data derived from satellite sensors, mainly optical imagery and indicators of physical measures such as land surface temperature, soil moisture estimates, vegetation condition, land use and cover, etc.</w:t>
      </w:r>
    </w:p>
    <w:p>
      <w:pPr>
        <w:pStyle w:val="BodyText"/>
      </w:pPr>
      <w:r>
        <w:rPr>
          <w:b/>
          <w:bCs/>
        </w:rPr>
        <w:t xml:space="preserve">Remote sensing data products include:</w:t>
      </w:r>
    </w:p>
    <w:p>
      <w:pPr>
        <w:pStyle w:val="Compact"/>
        <w:numPr>
          <w:ilvl w:val="0"/>
          <w:numId w:val="1008"/>
        </w:numPr>
      </w:pPr>
      <w:r>
        <w:t xml:space="preserve">Land surface temperature measurements from thermal sensors</w:t>
      </w:r>
    </w:p>
    <w:p>
      <w:pPr>
        <w:pStyle w:val="Compact"/>
        <w:numPr>
          <w:ilvl w:val="0"/>
          <w:numId w:val="1008"/>
        </w:numPr>
      </w:pPr>
      <w:r>
        <w:t xml:space="preserve">Vegetation indices and agricultural monitoring products</w:t>
      </w:r>
    </w:p>
    <w:p>
      <w:pPr>
        <w:pStyle w:val="Compact"/>
        <w:numPr>
          <w:ilvl w:val="0"/>
          <w:numId w:val="1008"/>
        </w:numPr>
      </w:pPr>
      <w:r>
        <w:t xml:space="preserve">Land use and land cover classification datasets</w:t>
      </w:r>
    </w:p>
    <w:p>
      <w:pPr>
        <w:pStyle w:val="Compact"/>
        <w:numPr>
          <w:ilvl w:val="0"/>
          <w:numId w:val="1008"/>
        </w:numPr>
      </w:pPr>
      <w:r>
        <w:t xml:space="preserve">Soil moisture and hydrological indicators</w:t>
      </w:r>
    </w:p>
    <w:p>
      <w:pPr>
        <w:pStyle w:val="Compact"/>
        <w:numPr>
          <w:ilvl w:val="0"/>
          <w:numId w:val="1008"/>
        </w:numPr>
      </w:pPr>
      <w:r>
        <w:t xml:space="preserve">Urban heat island mapping and analysis products</w:t>
      </w:r>
    </w:p>
    <w:bookmarkEnd w:id="21"/>
    <w:bookmarkEnd w:id="22"/>
    <w:bookmarkStart w:id="26" w:name="data-workflow"/>
    <w:p>
      <w:pPr>
        <w:pStyle w:val="Heading2"/>
      </w:pPr>
      <w:r>
        <w:t xml:space="preserve">7. Data Management Workflow</w:t>
      </w:r>
    </w:p>
    <w:p>
      <w:pPr>
        <w:pStyle w:val="FirstParagraph"/>
      </w:pPr>
      <w:r>
        <w:rPr>
          <w:b/>
          <w:bCs/>
        </w:rPr>
        <w:t xml:space="preserve">Enhanced workflow incorporating cloud infrastructure and automation:</w:t>
      </w:r>
    </w:p>
    <w:p>
      <w:pPr>
        <w:pStyle w:val="BodyText"/>
      </w:pPr>
      <w:r>
        <w:t xml:space="preserve">The enhanced data management workflow now includes cloud-based components for improved scalability, security, and disaster recovery capabilities. The transition maintains all existing ethical and regulatory compliance standards while enhancing technical infrastructure and introducing automated quality control processes.</w:t>
      </w:r>
    </w:p>
    <w:bookmarkStart w:id="23" w:name="data-acquisition-and-ingestion"/>
    <w:p>
      <w:pPr>
        <w:pStyle w:val="Heading3"/>
      </w:pPr>
      <w:r>
        <w:t xml:space="preserve">7.1 Data Acquisition and Ingestion</w:t>
      </w:r>
    </w:p>
    <w:p>
      <w:pPr>
        <w:pStyle w:val="FirstParagraph"/>
      </w:pPr>
      <w:r>
        <w:rPr>
          <w:b/>
          <w:bCs/>
        </w:rPr>
        <w:t xml:space="preserve">Structured data acquisition process:</w:t>
      </w:r>
    </w:p>
    <w:p>
      <w:pPr>
        <w:pStyle w:val="Compact"/>
        <w:numPr>
          <w:ilvl w:val="0"/>
          <w:numId w:val="1009"/>
        </w:numPr>
      </w:pPr>
      <w:r>
        <w:rPr>
          <w:b/>
          <w:bCs/>
        </w:rPr>
        <w:t xml:space="preserve">Data Source Identification:</w:t>
      </w:r>
      <w:r>
        <w:t xml:space="preserve"> </w:t>
      </w:r>
      <w:r>
        <w:t xml:space="preserve">Systematic cataloguing of all data sources and providers</w:t>
      </w:r>
    </w:p>
    <w:p>
      <w:pPr>
        <w:pStyle w:val="Compact"/>
        <w:numPr>
          <w:ilvl w:val="0"/>
          <w:numId w:val="1009"/>
        </w:numPr>
      </w:pPr>
      <w:r>
        <w:rPr>
          <w:b/>
          <w:bCs/>
        </w:rPr>
        <w:t xml:space="preserve">Ethics and Legal Clearance:</w:t>
      </w:r>
      <w:r>
        <w:t xml:space="preserve"> </w:t>
      </w:r>
      <w:r>
        <w:t xml:space="preserve">Verification of appropriate approvals and agreements</w:t>
      </w:r>
    </w:p>
    <w:p>
      <w:pPr>
        <w:pStyle w:val="Compact"/>
        <w:numPr>
          <w:ilvl w:val="0"/>
          <w:numId w:val="1009"/>
        </w:numPr>
      </w:pPr>
      <w:r>
        <w:rPr>
          <w:b/>
          <w:bCs/>
        </w:rPr>
        <w:t xml:space="preserve">Secure Data Transfer:</w:t>
      </w:r>
      <w:r>
        <w:t xml:space="preserve"> </w:t>
      </w:r>
      <w:r>
        <w:t xml:space="preserve">Encrypted transfer protocols and audit trails</w:t>
      </w:r>
    </w:p>
    <w:p>
      <w:pPr>
        <w:pStyle w:val="Compact"/>
        <w:numPr>
          <w:ilvl w:val="0"/>
          <w:numId w:val="1009"/>
        </w:numPr>
      </w:pPr>
      <w:r>
        <w:rPr>
          <w:b/>
          <w:bCs/>
        </w:rPr>
        <w:t xml:space="preserve">Initial Quality Assessment:</w:t>
      </w:r>
      <w:r>
        <w:t xml:space="preserve"> </w:t>
      </w:r>
      <w:r>
        <w:t xml:space="preserve">Automated data validation and completeness checks</w:t>
      </w:r>
    </w:p>
    <w:p>
      <w:pPr>
        <w:pStyle w:val="Compact"/>
        <w:numPr>
          <w:ilvl w:val="0"/>
          <w:numId w:val="1009"/>
        </w:numPr>
      </w:pPr>
      <w:r>
        <w:rPr>
          <w:b/>
          <w:bCs/>
        </w:rPr>
        <w:t xml:space="preserve">Metadata Documentation:</w:t>
      </w:r>
      <w:r>
        <w:t xml:space="preserve"> </w:t>
      </w:r>
      <w:r>
        <w:t xml:space="preserve">Comprehensive documentation of data provenance and characteristics</w:t>
      </w:r>
    </w:p>
    <w:bookmarkEnd w:id="23"/>
    <w:bookmarkStart w:id="24" w:name="data-transfer-and-storage"/>
    <w:p>
      <w:pPr>
        <w:pStyle w:val="Heading3"/>
      </w:pPr>
      <w:r>
        <w:t xml:space="preserve">7.2 Data Transfer and Storage</w:t>
      </w:r>
    </w:p>
    <w:p>
      <w:pPr>
        <w:pStyle w:val="FirstParagraph"/>
      </w:pPr>
      <w:r>
        <w:rPr>
          <w:b/>
          <w:bCs/>
        </w:rPr>
        <w:t xml:space="preserve">Previous text:</w:t>
      </w:r>
      <w:r>
        <w:t xml:space="preserve"> </w:t>
      </w:r>
      <w:r>
        <w:rPr>
          <w:strike/>
        </w:rPr>
        <w:t xml:space="preserve">Once transferred to UCT, if the datasets constitutes personally identifiable data, or if stipulated by the DSA, the dataset will be encrypted for storage using 256-bit AES</w:t>
      </w:r>
    </w:p>
    <w:p>
      <w:pPr>
        <w:pStyle w:val="BodyText"/>
      </w:pPr>
      <w:r>
        <w:rPr>
          <w:b/>
          <w:bCs/>
        </w:rPr>
        <w:t xml:space="preserve">New text:</w:t>
      </w:r>
      <w:r>
        <w:t xml:space="preserve"> </w:t>
      </w:r>
      <w:r>
        <w:rPr>
          <w:u w:val="single"/>
        </w:rPr>
        <w:t xml:space="preserve">Once transferred to UCT or the WHC-managed cloud infrastructure, any data identified as containing Personal Identifiers or specified by the DTA is encrypted for storage using the AES-256 encryption standard for both UCT servers and cloud storage. All data transfers are logged and monitored through automated systems with real-time security scanning.</w:t>
      </w:r>
    </w:p>
    <w:bookmarkEnd w:id="24"/>
    <w:bookmarkStart w:id="25" w:name="data-processing-pipeline"/>
    <w:p>
      <w:pPr>
        <w:pStyle w:val="Heading3"/>
      </w:pPr>
      <w:r>
        <w:t xml:space="preserve">7.3 Data Processing Pipeline</w:t>
      </w:r>
    </w:p>
    <w:p>
      <w:pPr>
        <w:pStyle w:val="FirstParagraph"/>
      </w:pPr>
      <w:r>
        <w:rPr>
          <w:b/>
          <w:bCs/>
        </w:rPr>
        <w:t xml:space="preserve">Five-stage processing pipeline:</w:t>
      </w:r>
    </w:p>
    <w:p>
      <w:pPr>
        <w:pStyle w:val="Compact"/>
        <w:numPr>
          <w:ilvl w:val="0"/>
          <w:numId w:val="1010"/>
        </w:numPr>
      </w:pPr>
      <w:r>
        <w:rPr>
          <w:b/>
          <w:bCs/>
        </w:rPr>
        <w:t xml:space="preserve">Data Validation:</w:t>
      </w:r>
      <w:r>
        <w:t xml:space="preserve"> </w:t>
      </w:r>
      <w:r>
        <w:t xml:space="preserve">Automated quality checks and error detection</w:t>
      </w:r>
    </w:p>
    <w:p>
      <w:pPr>
        <w:pStyle w:val="Compact"/>
        <w:numPr>
          <w:ilvl w:val="0"/>
          <w:numId w:val="1010"/>
        </w:numPr>
      </w:pPr>
      <w:r>
        <w:rPr>
          <w:b/>
          <w:bCs/>
        </w:rPr>
        <w:t xml:space="preserve">Standardisation:</w:t>
      </w:r>
      <w:r>
        <w:t xml:space="preserve"> </w:t>
      </w:r>
      <w:r>
        <w:t xml:space="preserve">Format conversion and variable harmonisation</w:t>
      </w:r>
    </w:p>
    <w:p>
      <w:pPr>
        <w:pStyle w:val="Compact"/>
        <w:numPr>
          <w:ilvl w:val="0"/>
          <w:numId w:val="1010"/>
        </w:numPr>
      </w:pPr>
      <w:r>
        <w:rPr>
          <w:b/>
          <w:bCs/>
        </w:rPr>
        <w:t xml:space="preserve">De-identification:</w:t>
      </w:r>
      <w:r>
        <w:t xml:space="preserve"> </w:t>
      </w:r>
      <w:r>
        <w:t xml:space="preserve">Removal of personal identifiers and implementation of participant IDs</w:t>
      </w:r>
    </w:p>
    <w:p>
      <w:pPr>
        <w:pStyle w:val="Compact"/>
        <w:numPr>
          <w:ilvl w:val="0"/>
          <w:numId w:val="1010"/>
        </w:numPr>
      </w:pPr>
      <w:r>
        <w:rPr>
          <w:b/>
          <w:bCs/>
        </w:rPr>
        <w:t xml:space="preserve">Quality Control:</w:t>
      </w:r>
      <w:r>
        <w:t xml:space="preserve"> </w:t>
      </w:r>
      <w:r>
        <w:t xml:space="preserve">Statistical validation and outlier detection</w:t>
      </w:r>
    </w:p>
    <w:p>
      <w:pPr>
        <w:pStyle w:val="Compact"/>
        <w:numPr>
          <w:ilvl w:val="0"/>
          <w:numId w:val="1010"/>
        </w:numPr>
      </w:pPr>
      <w:r>
        <w:rPr>
          <w:b/>
          <w:bCs/>
        </w:rPr>
        <w:t xml:space="preserve">Documentation:</w:t>
      </w:r>
      <w:r>
        <w:t xml:space="preserve"> </w:t>
      </w:r>
      <w:r>
        <w:t xml:space="preserve">Comprehensive metadata creation and version control</w:t>
      </w:r>
    </w:p>
    <w:bookmarkEnd w:id="25"/>
    <w:bookmarkEnd w:id="26"/>
    <w:bookmarkStart w:id="29" w:name="infrastructure"/>
    <w:p>
      <w:pPr>
        <w:pStyle w:val="Heading2"/>
      </w:pPr>
      <w:r>
        <w:t xml:space="preserve">8. Data Infrastructure and Architecture</w:t>
      </w:r>
    </w:p>
    <w:p>
      <w:pPr>
        <w:pStyle w:val="FirstParagraph"/>
      </w:pPr>
      <w:r>
        <w:rPr>
          <w:b/>
          <w:bCs/>
        </w:rPr>
        <w:t xml:space="preserve">New Section - Comprehensive Infrastructure Overview:</w:t>
      </w:r>
    </w:p>
    <w:bookmarkStart w:id="27" w:name="current-infrastructure-uct-based"/>
    <w:p>
      <w:pPr>
        <w:pStyle w:val="Heading3"/>
      </w:pPr>
      <w:r>
        <w:t xml:space="preserve">8.1 Current Infrastructure (UCT-based)</w:t>
      </w:r>
    </w:p>
    <w:p>
      <w:pPr>
        <w:pStyle w:val="Compact"/>
        <w:numPr>
          <w:ilvl w:val="0"/>
          <w:numId w:val="1011"/>
        </w:numPr>
      </w:pPr>
      <w:r>
        <w:rPr>
          <w:b/>
          <w:bCs/>
        </w:rPr>
        <w:t xml:space="preserve">CSAG Data Platform:</w:t>
      </w:r>
      <w:r>
        <w:t xml:space="preserve"> </w:t>
      </w:r>
      <w:r>
        <w:t xml:space="preserve">Primary data storage and processing infrastructure</w:t>
      </w:r>
    </w:p>
    <w:p>
      <w:pPr>
        <w:pStyle w:val="Compact"/>
        <w:numPr>
          <w:ilvl w:val="0"/>
          <w:numId w:val="1011"/>
        </w:numPr>
      </w:pPr>
      <w:r>
        <w:rPr>
          <w:b/>
          <w:bCs/>
        </w:rPr>
        <w:t xml:space="preserve">UCT Jupyter Hub:</w:t>
      </w:r>
      <w:r>
        <w:t xml:space="preserve"> </w:t>
      </w:r>
      <w:r>
        <w:t xml:space="preserve">Collaborative analysis environment</w:t>
      </w:r>
    </w:p>
    <w:p>
      <w:pPr>
        <w:pStyle w:val="Compact"/>
        <w:numPr>
          <w:ilvl w:val="0"/>
          <w:numId w:val="1011"/>
        </w:numPr>
      </w:pPr>
      <w:r>
        <w:rPr>
          <w:b/>
          <w:bCs/>
        </w:rPr>
        <w:t xml:space="preserve">Network Security:</w:t>
      </w:r>
      <w:r>
        <w:t xml:space="preserve"> </w:t>
      </w:r>
      <w:r>
        <w:t xml:space="preserve">UCT institutional firewalls and access controls</w:t>
      </w:r>
    </w:p>
    <w:p>
      <w:pPr>
        <w:pStyle w:val="Compact"/>
        <w:numPr>
          <w:ilvl w:val="0"/>
          <w:numId w:val="1011"/>
        </w:numPr>
      </w:pPr>
      <w:r>
        <w:rPr>
          <w:b/>
          <w:bCs/>
        </w:rPr>
        <w:t xml:space="preserve">Backup Systems:</w:t>
      </w:r>
      <w:r>
        <w:t xml:space="preserve"> </w:t>
      </w:r>
      <w:r>
        <w:t xml:space="preserve">Local redundancy and disaster recovery procedures</w:t>
      </w:r>
    </w:p>
    <w:bookmarkEnd w:id="27"/>
    <w:bookmarkStart w:id="28" w:name="X7141ae1e6dbee2c0981679a6f3daba53ba7b933"/>
    <w:p>
      <w:pPr>
        <w:pStyle w:val="Heading3"/>
      </w:pPr>
      <w:r>
        <w:t xml:space="preserve">8.2 Enhanced Cloud Infrastructure (WHC-managed)</w:t>
      </w:r>
    </w:p>
    <w:p>
      <w:pPr>
        <w:pStyle w:val="Compact"/>
        <w:numPr>
          <w:ilvl w:val="0"/>
          <w:numId w:val="1012"/>
        </w:numPr>
      </w:pPr>
      <w:r>
        <w:rPr>
          <w:b/>
          <w:bCs/>
        </w:rPr>
        <w:t xml:space="preserve">Cloud Storage:</w:t>
      </w:r>
      <w:r>
        <w:t xml:space="preserve"> </w:t>
      </w:r>
      <w:r>
        <w:t xml:space="preserve">AES-256 encrypted data repositories with automated backup</w:t>
      </w:r>
    </w:p>
    <w:p>
      <w:pPr>
        <w:pStyle w:val="Compact"/>
        <w:numPr>
          <w:ilvl w:val="0"/>
          <w:numId w:val="1012"/>
        </w:numPr>
      </w:pPr>
      <w:r>
        <w:rPr>
          <w:b/>
          <w:bCs/>
        </w:rPr>
        <w:t xml:space="preserve">Computational Resources:</w:t>
      </w:r>
      <w:r>
        <w:t xml:space="preserve"> </w:t>
      </w:r>
      <w:r>
        <w:t xml:space="preserve">GPU-accelerated processing capabilities for complex analyses</w:t>
      </w:r>
    </w:p>
    <w:p>
      <w:pPr>
        <w:pStyle w:val="Compact"/>
        <w:numPr>
          <w:ilvl w:val="0"/>
          <w:numId w:val="1012"/>
        </w:numPr>
      </w:pPr>
      <w:r>
        <w:rPr>
          <w:b/>
          <w:bCs/>
        </w:rPr>
        <w:t xml:space="preserve">Security Architecture:</w:t>
      </w:r>
      <w:r>
        <w:t xml:space="preserve"> </w:t>
      </w:r>
      <w:r>
        <w:t xml:space="preserve">24/7 SOC monitoring with advanced threat detection</w:t>
      </w:r>
    </w:p>
    <w:p>
      <w:pPr>
        <w:pStyle w:val="Compact"/>
        <w:numPr>
          <w:ilvl w:val="0"/>
          <w:numId w:val="1012"/>
        </w:numPr>
      </w:pPr>
      <w:r>
        <w:rPr>
          <w:b/>
          <w:bCs/>
        </w:rPr>
        <w:t xml:space="preserve">Disaster Recovery:</w:t>
      </w:r>
      <w:r>
        <w:t xml:space="preserve"> </w:t>
      </w:r>
      <w:r>
        <w:t xml:space="preserve">Geographic redundancy and automated failover systems</w:t>
      </w:r>
    </w:p>
    <w:p>
      <w:pPr>
        <w:pStyle w:val="Compact"/>
        <w:numPr>
          <w:ilvl w:val="0"/>
          <w:numId w:val="1012"/>
        </w:numPr>
      </w:pPr>
      <w:r>
        <w:rPr>
          <w:b/>
          <w:bCs/>
        </w:rPr>
        <w:t xml:space="preserve">Compliance Monitoring:</w:t>
      </w:r>
      <w:r>
        <w:t xml:space="preserve"> </w:t>
      </w:r>
      <w:r>
        <w:t xml:space="preserve">Automated reporting and audit trail maintenance</w:t>
      </w:r>
    </w:p>
    <w:bookmarkEnd w:id="28"/>
    <w:bookmarkEnd w:id="29"/>
    <w:bookmarkStart w:id="32" w:name="data-management"/>
    <w:p>
      <w:pPr>
        <w:pStyle w:val="Heading2"/>
      </w:pPr>
      <w:r>
        <w:t xml:space="preserve">9. Data Management, Documentation and Curation</w:t>
      </w:r>
    </w:p>
    <w:p>
      <w:pPr>
        <w:pStyle w:val="FirstParagraph"/>
      </w:pPr>
      <w:r>
        <w:rPr>
          <w:b/>
          <w:bCs/>
        </w:rPr>
        <w:t xml:space="preserve">Enhanced data management framework:</w:t>
      </w:r>
      <w:r>
        <w:t xml:space="preserve"> </w:t>
      </w:r>
      <w:r>
        <w:t xml:space="preserve">Data will be managed by the DMAC team and primary data management will take place on</w:t>
      </w:r>
      <w:r>
        <w:t xml:space="preserve"> </w:t>
      </w:r>
      <w:r>
        <w:rPr>
          <w:strike/>
        </w:rPr>
        <w:t xml:space="preserve">the CSAG/UCT data platform</w:t>
      </w:r>
      <w:r>
        <w:t xml:space="preserve"> </w:t>
      </w:r>
      <w:r>
        <w:rPr>
          <w:u w:val="single"/>
        </w:rPr>
        <w:t xml:space="preserve">the CSAG/UCT data platform, transitioning to WHC-managed cloud infrastructure with enhanced security, automated backup systems, and improved scalability for growing data volumes</w:t>
      </w:r>
      <w:r>
        <w:t xml:space="preserve">.</w:t>
      </w:r>
    </w:p>
    <w:p>
      <w:pPr>
        <w:pStyle w:val="BodyText"/>
      </w:pPr>
      <w:r>
        <w:rPr>
          <w:b/>
          <w:bCs/>
        </w:rPr>
        <w:t xml:space="preserve">Database Population and Management:</w:t>
      </w:r>
      <w:r>
        <w:t xml:space="preserve"> </w:t>
      </w:r>
      <w:r>
        <w:t xml:space="preserve">Database population utilises cloud-native database services, providing automated backup and recovery systems with enhanced data integrity and disaster recovery capabilities. All database operations are logged and monitored for security and compliance purposes.</w:t>
      </w:r>
    </w:p>
    <w:bookmarkStart w:id="30" w:name="metadata-standards-and-documentation"/>
    <w:p>
      <w:pPr>
        <w:pStyle w:val="Heading3"/>
      </w:pPr>
      <w:r>
        <w:t xml:space="preserve">9.1 Metadata Standards and Documentation</w:t>
      </w:r>
    </w:p>
    <w:p>
      <w:pPr>
        <w:pStyle w:val="FirstParagraph"/>
      </w:pPr>
      <w:r>
        <w:rPr>
          <w:b/>
          <w:bCs/>
        </w:rPr>
        <w:t xml:space="preserve">Comprehensive metadata framework:</w:t>
      </w:r>
    </w:p>
    <w:p>
      <w:pPr>
        <w:pStyle w:val="Compact"/>
        <w:numPr>
          <w:ilvl w:val="0"/>
          <w:numId w:val="1013"/>
        </w:numPr>
      </w:pPr>
      <w:r>
        <w:rPr>
          <w:b/>
          <w:bCs/>
        </w:rPr>
        <w:t xml:space="preserve">Dublin Core Metadata:</w:t>
      </w:r>
      <w:r>
        <w:t xml:space="preserve"> </w:t>
      </w:r>
      <w:r>
        <w:t xml:space="preserve">Standardised descriptive metadata for all datasets</w:t>
      </w:r>
    </w:p>
    <w:p>
      <w:pPr>
        <w:pStyle w:val="Compact"/>
        <w:numPr>
          <w:ilvl w:val="0"/>
          <w:numId w:val="1013"/>
        </w:numPr>
      </w:pPr>
      <w:r>
        <w:rPr>
          <w:b/>
          <w:bCs/>
        </w:rPr>
        <w:t xml:space="preserve">Data Provenance:</w:t>
      </w:r>
      <w:r>
        <w:t xml:space="preserve"> </w:t>
      </w:r>
      <w:r>
        <w:t xml:space="preserve">Complete audit trail from source to final product</w:t>
      </w:r>
    </w:p>
    <w:p>
      <w:pPr>
        <w:pStyle w:val="Compact"/>
        <w:numPr>
          <w:ilvl w:val="0"/>
          <w:numId w:val="1013"/>
        </w:numPr>
      </w:pPr>
      <w:r>
        <w:rPr>
          <w:b/>
          <w:bCs/>
        </w:rPr>
        <w:t xml:space="preserve">Version Control:</w:t>
      </w:r>
      <w:r>
        <w:t xml:space="preserve"> </w:t>
      </w:r>
      <w:r>
        <w:t xml:space="preserve">Systematic versioning and change documentation</w:t>
      </w:r>
    </w:p>
    <w:p>
      <w:pPr>
        <w:pStyle w:val="Compact"/>
        <w:numPr>
          <w:ilvl w:val="0"/>
          <w:numId w:val="1013"/>
        </w:numPr>
      </w:pPr>
      <w:r>
        <w:rPr>
          <w:b/>
          <w:bCs/>
        </w:rPr>
        <w:t xml:space="preserve">Quality Indicators:</w:t>
      </w:r>
      <w:r>
        <w:t xml:space="preserve"> </w:t>
      </w:r>
      <w:r>
        <w:t xml:space="preserve">Data completeness, accuracy, and reliability metrics</w:t>
      </w:r>
    </w:p>
    <w:p>
      <w:pPr>
        <w:pStyle w:val="Compact"/>
        <w:numPr>
          <w:ilvl w:val="0"/>
          <w:numId w:val="1013"/>
        </w:numPr>
      </w:pPr>
      <w:r>
        <w:rPr>
          <w:b/>
          <w:bCs/>
        </w:rPr>
        <w:t xml:space="preserve">Usage Documentation:</w:t>
      </w:r>
      <w:r>
        <w:t xml:space="preserve"> </w:t>
      </w:r>
      <w:r>
        <w:t xml:space="preserve">Access logs and usage analytics for compliance</w:t>
      </w:r>
    </w:p>
    <w:bookmarkEnd w:id="30"/>
    <w:bookmarkStart w:id="31" w:name="data-curation-and-preservation"/>
    <w:p>
      <w:pPr>
        <w:pStyle w:val="Heading3"/>
      </w:pPr>
      <w:r>
        <w:t xml:space="preserve">9.2 Data Curation and Preservation</w:t>
      </w:r>
    </w:p>
    <w:p>
      <w:pPr>
        <w:pStyle w:val="FirstParagraph"/>
      </w:pPr>
      <w:r>
        <w:rPr>
          <w:b/>
          <w:bCs/>
        </w:rPr>
        <w:t xml:space="preserve">Long-term preservation strategy:</w:t>
      </w:r>
    </w:p>
    <w:p>
      <w:pPr>
        <w:pStyle w:val="Compact"/>
        <w:numPr>
          <w:ilvl w:val="0"/>
          <w:numId w:val="1014"/>
        </w:numPr>
      </w:pPr>
      <w:r>
        <w:rPr>
          <w:b/>
          <w:bCs/>
        </w:rPr>
        <w:t xml:space="preserve">Format Migration:</w:t>
      </w:r>
      <w:r>
        <w:t xml:space="preserve"> </w:t>
      </w:r>
      <w:r>
        <w:t xml:space="preserve">Regular conversion to current standard formats</w:t>
      </w:r>
    </w:p>
    <w:p>
      <w:pPr>
        <w:pStyle w:val="Compact"/>
        <w:numPr>
          <w:ilvl w:val="0"/>
          <w:numId w:val="1014"/>
        </w:numPr>
      </w:pPr>
      <w:r>
        <w:rPr>
          <w:b/>
          <w:bCs/>
        </w:rPr>
        <w:t xml:space="preserve">Redundant Storage:</w:t>
      </w:r>
      <w:r>
        <w:t xml:space="preserve"> </w:t>
      </w:r>
      <w:r>
        <w:t xml:space="preserve">Multiple geographic locations for critical datasets</w:t>
      </w:r>
    </w:p>
    <w:p>
      <w:pPr>
        <w:pStyle w:val="Compact"/>
        <w:numPr>
          <w:ilvl w:val="0"/>
          <w:numId w:val="1014"/>
        </w:numPr>
      </w:pPr>
      <w:r>
        <w:rPr>
          <w:b/>
          <w:bCs/>
        </w:rPr>
        <w:t xml:space="preserve">Checksum Validation:</w:t>
      </w:r>
      <w:r>
        <w:t xml:space="preserve"> </w:t>
      </w:r>
      <w:r>
        <w:t xml:space="preserve">Regular integrity checks and corruption detection</w:t>
      </w:r>
    </w:p>
    <w:p>
      <w:pPr>
        <w:pStyle w:val="Compact"/>
        <w:numPr>
          <w:ilvl w:val="0"/>
          <w:numId w:val="1014"/>
        </w:numPr>
      </w:pPr>
      <w:r>
        <w:rPr>
          <w:b/>
          <w:bCs/>
        </w:rPr>
        <w:t xml:space="preserve">Archive Planning:</w:t>
      </w:r>
      <w:r>
        <w:t xml:space="preserve"> </w:t>
      </w:r>
      <w:r>
        <w:t xml:space="preserve">Scheduled migration to long-term storage systems</w:t>
      </w:r>
    </w:p>
    <w:bookmarkEnd w:id="31"/>
    <w:bookmarkEnd w:id="32"/>
    <w:bookmarkStart w:id="36" w:name="security"/>
    <w:p>
      <w:pPr>
        <w:pStyle w:val="Heading2"/>
      </w:pPr>
      <w:r>
        <w:t xml:space="preserve">10. Data Security and Confidentiality</w:t>
      </w:r>
    </w:p>
    <w:bookmarkStart w:id="33" w:name="network-security"/>
    <w:p>
      <w:pPr>
        <w:pStyle w:val="Heading3"/>
      </w:pPr>
      <w:r>
        <w:t xml:space="preserve">10.1 Network Security</w:t>
      </w:r>
    </w:p>
    <w:p>
      <w:pPr>
        <w:pStyle w:val="FirstParagraph"/>
      </w:pPr>
      <w:r>
        <w:rPr>
          <w:b/>
          <w:bCs/>
        </w:rPr>
        <w:t xml:space="preserve">Previous text:</w:t>
      </w:r>
      <w:r>
        <w:t xml:space="preserve"> </w:t>
      </w:r>
      <w:r>
        <w:rPr>
          <w:strike/>
        </w:rPr>
        <w:t xml:space="preserve">The CSAG compute infrastructure benefits from UCT's comprehensive security policies</w:t>
      </w:r>
    </w:p>
    <w:p>
      <w:pPr>
        <w:pStyle w:val="BodyText"/>
      </w:pPr>
      <w:r>
        <w:rPr>
          <w:b/>
          <w:bCs/>
        </w:rPr>
        <w:t xml:space="preserve">New text:</w:t>
      </w:r>
      <w:r>
        <w:t xml:space="preserve"> </w:t>
      </w:r>
      <w:r>
        <w:rPr>
          <w:u w:val="single"/>
        </w:rPr>
        <w:t xml:space="preserve">The CSAG compute infrastructure benefits from UCT's comprehensive security policies, and from Year 5, from WHC-managed cloud security architecture with 24/7 Security Operations Centre (SOC) monitoring and advanced threat detection systems for improved security posture and compliance monitoring</w:t>
      </w:r>
    </w:p>
    <w:bookmarkEnd w:id="33"/>
    <w:bookmarkStart w:id="34" w:name="authentication-and-authorization"/>
    <w:p>
      <w:pPr>
        <w:pStyle w:val="Heading3"/>
      </w:pPr>
      <w:r>
        <w:t xml:space="preserve">10.2 Authentication and Authorization</w:t>
      </w:r>
    </w:p>
    <w:p>
      <w:pPr>
        <w:pStyle w:val="FirstParagraph"/>
      </w:pPr>
      <w:r>
        <w:rPr>
          <w:b/>
          <w:bCs/>
        </w:rPr>
        <w:t xml:space="preserve">Previous text:</w:t>
      </w:r>
      <w:r>
        <w:t xml:space="preserve"> </w:t>
      </w:r>
      <w:r>
        <w:rPr>
          <w:strike/>
        </w:rPr>
        <w:t xml:space="preserve">Beyond UCT's broader security measures, the CSAG/UCT platform employs additional authentication and authorisation protocols</w:t>
      </w:r>
    </w:p>
    <w:p>
      <w:pPr>
        <w:pStyle w:val="BodyText"/>
      </w:pPr>
      <w:r>
        <w:rPr>
          <w:b/>
          <w:bCs/>
        </w:rPr>
        <w:t xml:space="preserve">New text:</w:t>
      </w:r>
      <w:r>
        <w:t xml:space="preserve"> </w:t>
      </w:r>
      <w:r>
        <w:rPr>
          <w:u w:val="single"/>
        </w:rPr>
        <w:t xml:space="preserve">Beyond UCT's broader security measures, the CSAG/UCT platform employs additional authentication and authorisation protocols alongside cloud-specific access controls, multi-factor authentication, and automated compliance reporting for streamlined governance oversight during the transition period</w:t>
      </w:r>
    </w:p>
    <w:bookmarkEnd w:id="34"/>
    <w:bookmarkStart w:id="35" w:name="enhanced-security-measures"/>
    <w:p>
      <w:pPr>
        <w:pStyle w:val="Heading3"/>
      </w:pPr>
      <w:r>
        <w:t xml:space="preserve">10.3 Enhanced Security Measures</w:t>
      </w:r>
    </w:p>
    <w:p>
      <w:pPr>
        <w:pStyle w:val="FirstParagraph"/>
      </w:pPr>
      <w:r>
        <w:rPr>
          <w:b/>
          <w:bCs/>
        </w:rPr>
        <w:t xml:space="preserve">Comprehensive security framework from Year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Security Component</w:t>
            </w:r>
          </w:p>
        </w:tc>
        <w:tc>
          <w:tcPr/>
          <w:p>
            <w:pPr>
              <w:pStyle w:val="Compact"/>
            </w:pPr>
            <w:r>
              <w:t xml:space="preserve">Implementation</w:t>
            </w:r>
          </w:p>
        </w:tc>
        <w:tc>
          <w:tcPr/>
          <w:p>
            <w:pPr>
              <w:pStyle w:val="Compact"/>
            </w:pPr>
            <w:r>
              <w:t xml:space="preserve">Monitoring</w:t>
            </w:r>
          </w:p>
        </w:tc>
      </w:tr>
      <w:tr>
        <w:tc>
          <w:tcPr/>
          <w:p>
            <w:pPr>
              <w:pStyle w:val="Compact"/>
            </w:pPr>
            <w:r>
              <w:t xml:space="preserve">Encryption</w:t>
            </w:r>
          </w:p>
        </w:tc>
        <w:tc>
          <w:tcPr/>
          <w:p>
            <w:pPr>
              <w:pStyle w:val="Compact"/>
            </w:pPr>
            <w:r>
              <w:t xml:space="preserve">AES-256 for all data at rest and in transit</w:t>
            </w:r>
          </w:p>
        </w:tc>
        <w:tc>
          <w:tcPr/>
          <w:p>
            <w:pPr>
              <w:pStyle w:val="Compact"/>
            </w:pPr>
            <w:r>
              <w:t xml:space="preserve">Continuous encryption status monitoring</w:t>
            </w:r>
          </w:p>
        </w:tc>
      </w:tr>
      <w:tr>
        <w:tc>
          <w:tcPr/>
          <w:p>
            <w:pPr>
              <w:pStyle w:val="Compact"/>
            </w:pPr>
            <w:r>
              <w:t xml:space="preserve">Access Control</w:t>
            </w:r>
          </w:p>
        </w:tc>
        <w:tc>
          <w:tcPr/>
          <w:p>
            <w:pPr>
              <w:pStyle w:val="Compact"/>
            </w:pPr>
            <w:r>
              <w:t xml:space="preserve">Role-based permissions with multi-factor authentication</w:t>
            </w:r>
          </w:p>
        </w:tc>
        <w:tc>
          <w:tcPr/>
          <w:p>
            <w:pPr>
              <w:pStyle w:val="Compact"/>
            </w:pPr>
            <w:r>
              <w:t xml:space="preserve">Real-time access logging and anomaly detection</w:t>
            </w:r>
          </w:p>
        </w:tc>
      </w:tr>
      <w:tr>
        <w:tc>
          <w:tcPr/>
          <w:p>
            <w:pPr>
              <w:pStyle w:val="Compact"/>
            </w:pPr>
            <w:r>
              <w:t xml:space="preserve">Network Security</w:t>
            </w:r>
          </w:p>
        </w:tc>
        <w:tc>
          <w:tcPr/>
          <w:p>
            <w:pPr>
              <w:pStyle w:val="Compact"/>
            </w:pPr>
            <w:r>
              <w:t xml:space="preserve">Virtual private networks and firewall protection</w:t>
            </w:r>
          </w:p>
        </w:tc>
        <w:tc>
          <w:tcPr/>
          <w:p>
            <w:pPr>
              <w:pStyle w:val="Compact"/>
            </w:pPr>
            <w:r>
              <w:t xml:space="preserve">24/7 SOC monitoring and threat response</w:t>
            </w:r>
          </w:p>
        </w:tc>
      </w:tr>
      <w:tr>
        <w:tc>
          <w:tcPr/>
          <w:p>
            <w:pPr>
              <w:pStyle w:val="Compact"/>
            </w:pPr>
            <w:r>
              <w:t xml:space="preserve">Backup Security</w:t>
            </w:r>
          </w:p>
        </w:tc>
        <w:tc>
          <w:tcPr/>
          <w:p>
            <w:pPr>
              <w:pStyle w:val="Compact"/>
            </w:pPr>
            <w:r>
              <w:t xml:space="preserve">Encrypted backups with geographic redundancy</w:t>
            </w:r>
          </w:p>
        </w:tc>
        <w:tc>
          <w:tcPr/>
          <w:p>
            <w:pPr>
              <w:pStyle w:val="Compact"/>
            </w:pPr>
            <w:r>
              <w:t xml:space="preserve">Automated backup verification and testing</w:t>
            </w:r>
          </w:p>
        </w:tc>
      </w:tr>
    </w:tbl>
    <w:bookmarkEnd w:id="35"/>
    <w:bookmarkEnd w:id="36"/>
    <w:bookmarkStart w:id="39" w:name="quality"/>
    <w:p>
      <w:pPr>
        <w:pStyle w:val="Heading2"/>
      </w:pPr>
      <w:r>
        <w:t xml:space="preserve">11. Data Quality Assurance</w:t>
      </w:r>
    </w:p>
    <w:p>
      <w:pPr>
        <w:pStyle w:val="FirstParagraph"/>
      </w:pPr>
      <w:r>
        <w:rPr>
          <w:b/>
          <w:bCs/>
        </w:rPr>
        <w:t xml:space="preserve">New Section - Comprehensive Quality Framework:</w:t>
      </w:r>
    </w:p>
    <w:bookmarkStart w:id="37" w:name="quality-control-procedures"/>
    <w:p>
      <w:pPr>
        <w:pStyle w:val="Heading3"/>
      </w:pPr>
      <w:r>
        <w:t xml:space="preserve">11.1 Quality Control Procedures</w:t>
      </w:r>
    </w:p>
    <w:p>
      <w:pPr>
        <w:pStyle w:val="Compact"/>
        <w:numPr>
          <w:ilvl w:val="0"/>
          <w:numId w:val="1015"/>
        </w:numPr>
      </w:pPr>
      <w:r>
        <w:rPr>
          <w:b/>
          <w:bCs/>
        </w:rPr>
        <w:t xml:space="preserve">Automated Validation:</w:t>
      </w:r>
      <w:r>
        <w:t xml:space="preserve"> </w:t>
      </w:r>
      <w:r>
        <w:t xml:space="preserve">Real-time data quality checks during ingestion</w:t>
      </w:r>
    </w:p>
    <w:p>
      <w:pPr>
        <w:pStyle w:val="Compact"/>
        <w:numPr>
          <w:ilvl w:val="0"/>
          <w:numId w:val="1015"/>
        </w:numPr>
      </w:pPr>
      <w:r>
        <w:rPr>
          <w:b/>
          <w:bCs/>
        </w:rPr>
        <w:t xml:space="preserve">Statistical Analysis:</w:t>
      </w:r>
      <w:r>
        <w:t xml:space="preserve"> </w:t>
      </w:r>
      <w:r>
        <w:t xml:space="preserve">Outlier detection and distribution analysis</w:t>
      </w:r>
    </w:p>
    <w:p>
      <w:pPr>
        <w:pStyle w:val="Compact"/>
        <w:numPr>
          <w:ilvl w:val="0"/>
          <w:numId w:val="1015"/>
        </w:numPr>
      </w:pPr>
      <w:r>
        <w:rPr>
          <w:b/>
          <w:bCs/>
        </w:rPr>
        <w:t xml:space="preserve">Completeness Assessment:</w:t>
      </w:r>
      <w:r>
        <w:t xml:space="preserve"> </w:t>
      </w:r>
      <w:r>
        <w:t xml:space="preserve">Missing data identification and reporting</w:t>
      </w:r>
    </w:p>
    <w:p>
      <w:pPr>
        <w:pStyle w:val="Compact"/>
        <w:numPr>
          <w:ilvl w:val="0"/>
          <w:numId w:val="1015"/>
        </w:numPr>
      </w:pPr>
      <w:r>
        <w:rPr>
          <w:b/>
          <w:bCs/>
        </w:rPr>
        <w:t xml:space="preserve">Consistency Checks:</w:t>
      </w:r>
      <w:r>
        <w:t xml:space="preserve"> </w:t>
      </w:r>
      <w:r>
        <w:t xml:space="preserve">Cross-dataset validation and harmonisation verification</w:t>
      </w:r>
    </w:p>
    <w:p>
      <w:pPr>
        <w:pStyle w:val="Compact"/>
        <w:numPr>
          <w:ilvl w:val="0"/>
          <w:numId w:val="1015"/>
        </w:numPr>
      </w:pPr>
      <w:r>
        <w:rPr>
          <w:b/>
          <w:bCs/>
        </w:rPr>
        <w:t xml:space="preserve">Manual Review:</w:t>
      </w:r>
      <w:r>
        <w:t xml:space="preserve"> </w:t>
      </w:r>
      <w:r>
        <w:t xml:space="preserve">Expert review of flagged data issues</w:t>
      </w:r>
    </w:p>
    <w:bookmarkEnd w:id="37"/>
    <w:bookmarkStart w:id="38" w:name="quality-metrics-and-reporting"/>
    <w:p>
      <w:pPr>
        <w:pStyle w:val="Heading3"/>
      </w:pPr>
      <w:r>
        <w:t xml:space="preserve">11.2 Quality Metrics and Reporting</w:t>
      </w:r>
    </w:p>
    <w:p>
      <w:pPr>
        <w:pStyle w:val="Compact"/>
        <w:numPr>
          <w:ilvl w:val="0"/>
          <w:numId w:val="1016"/>
        </w:numPr>
      </w:pPr>
      <w:r>
        <w:rPr>
          <w:b/>
          <w:bCs/>
        </w:rPr>
        <w:t xml:space="preserve">Completeness Indicators:</w:t>
      </w:r>
      <w:r>
        <w:t xml:space="preserve"> </w:t>
      </w:r>
      <w:r>
        <w:t xml:space="preserve">Percentage of missing values by variable</w:t>
      </w:r>
    </w:p>
    <w:p>
      <w:pPr>
        <w:pStyle w:val="Compact"/>
        <w:numPr>
          <w:ilvl w:val="0"/>
          <w:numId w:val="1016"/>
        </w:numPr>
      </w:pPr>
      <w:r>
        <w:rPr>
          <w:b/>
          <w:bCs/>
        </w:rPr>
        <w:t xml:space="preserve">Accuracy Measures:</w:t>
      </w:r>
      <w:r>
        <w:t xml:space="preserve"> </w:t>
      </w:r>
      <w:r>
        <w:t xml:space="preserve">Comparison with reference standards</w:t>
      </w:r>
    </w:p>
    <w:p>
      <w:pPr>
        <w:pStyle w:val="Compact"/>
        <w:numPr>
          <w:ilvl w:val="0"/>
          <w:numId w:val="1016"/>
        </w:numPr>
      </w:pPr>
      <w:r>
        <w:rPr>
          <w:b/>
          <w:bCs/>
        </w:rPr>
        <w:t xml:space="preserve">Timeliness Metrics:</w:t>
      </w:r>
      <w:r>
        <w:t xml:space="preserve"> </w:t>
      </w:r>
      <w:r>
        <w:t xml:space="preserve">Data freshness and update frequency</w:t>
      </w:r>
    </w:p>
    <w:p>
      <w:pPr>
        <w:pStyle w:val="Compact"/>
        <w:numPr>
          <w:ilvl w:val="0"/>
          <w:numId w:val="1016"/>
        </w:numPr>
      </w:pPr>
      <w:r>
        <w:rPr>
          <w:b/>
          <w:bCs/>
        </w:rPr>
        <w:t xml:space="preserve">Consistency Scores:</w:t>
      </w:r>
      <w:r>
        <w:t xml:space="preserve"> </w:t>
      </w:r>
      <w:r>
        <w:t xml:space="preserve">Inter-dataset agreement measures</w:t>
      </w:r>
    </w:p>
    <w:bookmarkEnd w:id="38"/>
    <w:bookmarkEnd w:id="39"/>
    <w:bookmarkStart w:id="43" w:name="data-sharing"/>
    <w:p>
      <w:pPr>
        <w:pStyle w:val="Heading2"/>
      </w:pPr>
      <w:r>
        <w:t xml:space="preserve">12. Data Sharing and Open Access</w:t>
      </w:r>
    </w:p>
    <w:bookmarkStart w:id="40" w:name="data-analysis-platform"/>
    <w:p>
      <w:pPr>
        <w:pStyle w:val="Heading3"/>
      </w:pPr>
      <w:r>
        <w:t xml:space="preserve">12.1 Data Analysis Platform</w:t>
      </w:r>
    </w:p>
    <w:p>
      <w:pPr>
        <w:pStyle w:val="FirstParagraph"/>
      </w:pPr>
      <w:r>
        <w:rPr>
          <w:b/>
          <w:bCs/>
        </w:rPr>
        <w:t xml:space="preserve">Previous text:</w:t>
      </w:r>
      <w:r>
        <w:t xml:space="preserve"> </w:t>
      </w:r>
      <w:r>
        <w:rPr>
          <w:strike/>
        </w:rPr>
        <w:t xml:space="preserve">Data analysis involving the Consortium Shared Data and RP1/RP2 de-identified data will initially be facilitated through the CSAG/UCT Jupyter Hub platform</w:t>
      </w:r>
    </w:p>
    <w:p>
      <w:pPr>
        <w:pStyle w:val="BodyText"/>
      </w:pPr>
      <w:r>
        <w:rPr>
          <w:b/>
          <w:bCs/>
        </w:rPr>
        <w:t xml:space="preserve">New text:</w:t>
      </w:r>
      <w:r>
        <w:t xml:space="preserve"> </w:t>
      </w:r>
      <w:r>
        <w:rPr>
          <w:u w:val="single"/>
        </w:rPr>
        <w:t xml:space="preserve">Data analysis involving the Consortium Shared Data and RP1/RP2 de-identified data will initially be facilitated through the CSAG/UCT Jupyter Hub platform and will transition to being supported by cloud-based computational resources with GPU acceleration for complex analyses, improved processing times, and enhanced analytical capabilities</w:t>
      </w:r>
    </w:p>
    <w:bookmarkEnd w:id="40"/>
    <w:bookmarkStart w:id="41" w:name="data-access-committee-governance"/>
    <w:p>
      <w:pPr>
        <w:pStyle w:val="Heading3"/>
      </w:pPr>
      <w:r>
        <w:t xml:space="preserve">12.2 Data Access Committee Governance</w:t>
      </w:r>
    </w:p>
    <w:p>
      <w:pPr>
        <w:pStyle w:val="FirstParagraph"/>
      </w:pPr>
      <w:r>
        <w:rPr>
          <w:b/>
          <w:bCs/>
        </w:rPr>
        <w:t xml:space="preserve">Enhanced DAC framework:</w:t>
      </w:r>
      <w:r>
        <w:t xml:space="preserve"> </w:t>
      </w:r>
      <w:r>
        <w:t xml:space="preserve">All projects, regardless of whether they involve internal HE²AT Center Consortium members or external researchers, must go through the DAC for data access approval. This ensures equitable data sharing and maintains comprehensive tracking of all projects using the data.</w:t>
      </w:r>
    </w:p>
    <w:p>
      <w:pPr>
        <w:pStyle w:val="BodyText"/>
      </w:pPr>
      <w:r>
        <w:rPr>
          <w:b/>
          <w:bCs/>
        </w:rPr>
        <w:t xml:space="preserve">DAC review process includes:</w:t>
      </w:r>
    </w:p>
    <w:p>
      <w:pPr>
        <w:pStyle w:val="Compact"/>
        <w:numPr>
          <w:ilvl w:val="0"/>
          <w:numId w:val="1017"/>
        </w:numPr>
      </w:pPr>
      <w:r>
        <w:rPr>
          <w:b/>
          <w:bCs/>
        </w:rPr>
        <w:t xml:space="preserve">Application Submission:</w:t>
      </w:r>
      <w:r>
        <w:t xml:space="preserve"> </w:t>
      </w:r>
      <w:r>
        <w:t xml:space="preserve">Detailed research proposal and data requirements</w:t>
      </w:r>
    </w:p>
    <w:p>
      <w:pPr>
        <w:pStyle w:val="Compact"/>
        <w:numPr>
          <w:ilvl w:val="0"/>
          <w:numId w:val="1017"/>
        </w:numPr>
      </w:pPr>
      <w:r>
        <w:rPr>
          <w:b/>
          <w:bCs/>
        </w:rPr>
        <w:t xml:space="preserve">Ethics Review:</w:t>
      </w:r>
      <w:r>
        <w:t xml:space="preserve"> </w:t>
      </w:r>
      <w:r>
        <w:t xml:space="preserve">Verification of appropriate ethics approvals</w:t>
      </w:r>
    </w:p>
    <w:p>
      <w:pPr>
        <w:pStyle w:val="Compact"/>
        <w:numPr>
          <w:ilvl w:val="0"/>
          <w:numId w:val="1017"/>
        </w:numPr>
      </w:pPr>
      <w:r>
        <w:rPr>
          <w:b/>
          <w:bCs/>
        </w:rPr>
        <w:t xml:space="preserve">Technical Assessment:</w:t>
      </w:r>
      <w:r>
        <w:t xml:space="preserve"> </w:t>
      </w:r>
      <w:r>
        <w:t xml:space="preserve">Evaluation of data requirements and usage plans</w:t>
      </w:r>
    </w:p>
    <w:p>
      <w:pPr>
        <w:pStyle w:val="Compact"/>
        <w:numPr>
          <w:ilvl w:val="0"/>
          <w:numId w:val="1017"/>
        </w:numPr>
      </w:pPr>
      <w:r>
        <w:rPr>
          <w:b/>
          <w:bCs/>
        </w:rPr>
        <w:t xml:space="preserve">Legal Review:</w:t>
      </w:r>
      <w:r>
        <w:t xml:space="preserve"> </w:t>
      </w:r>
      <w:r>
        <w:t xml:space="preserve">DTA negotiation and execution</w:t>
      </w:r>
    </w:p>
    <w:p>
      <w:pPr>
        <w:pStyle w:val="Compact"/>
        <w:numPr>
          <w:ilvl w:val="0"/>
          <w:numId w:val="1017"/>
        </w:numPr>
      </w:pPr>
      <w:r>
        <w:rPr>
          <w:b/>
          <w:bCs/>
        </w:rPr>
        <w:t xml:space="preserve">Access Provisioning:</w:t>
      </w:r>
      <w:r>
        <w:t xml:space="preserve"> </w:t>
      </w:r>
      <w:r>
        <w:t xml:space="preserve">Secure data delivery and access configuration</w:t>
      </w:r>
    </w:p>
    <w:p>
      <w:pPr>
        <w:pStyle w:val="Compact"/>
        <w:numPr>
          <w:ilvl w:val="0"/>
          <w:numId w:val="1017"/>
        </w:numPr>
      </w:pPr>
      <w:r>
        <w:rPr>
          <w:b/>
          <w:bCs/>
        </w:rPr>
        <w:t xml:space="preserve">Ongoing Monitoring:</w:t>
      </w:r>
      <w:r>
        <w:t xml:space="preserve"> </w:t>
      </w:r>
      <w:r>
        <w:t xml:space="preserve">Usage tracking and compliance verification</w:t>
      </w:r>
    </w:p>
    <w:bookmarkEnd w:id="41"/>
    <w:bookmarkStart w:id="42" w:name="open-access-and-public-data-sharing"/>
    <w:p>
      <w:pPr>
        <w:pStyle w:val="Heading3"/>
      </w:pPr>
      <w:r>
        <w:t xml:space="preserve">12.3 Open Access and Public Data Sharing</w:t>
      </w:r>
    </w:p>
    <w:p>
      <w:pPr>
        <w:pStyle w:val="FirstParagraph"/>
      </w:pPr>
      <w:r>
        <w:rPr>
          <w:b/>
          <w:bCs/>
        </w:rPr>
        <w:t xml:space="preserve">FAIR data principles implementation:</w:t>
      </w:r>
    </w:p>
    <w:p>
      <w:pPr>
        <w:pStyle w:val="Compact"/>
        <w:numPr>
          <w:ilvl w:val="0"/>
          <w:numId w:val="1018"/>
        </w:numPr>
      </w:pPr>
      <w:r>
        <w:rPr>
          <w:b/>
          <w:bCs/>
        </w:rPr>
        <w:t xml:space="preserve">Findable:</w:t>
      </w:r>
      <w:r>
        <w:t xml:space="preserve"> </w:t>
      </w:r>
      <w:r>
        <w:t xml:space="preserve">Comprehensive metadata and cataloguing systems</w:t>
      </w:r>
    </w:p>
    <w:p>
      <w:pPr>
        <w:pStyle w:val="Compact"/>
        <w:numPr>
          <w:ilvl w:val="0"/>
          <w:numId w:val="1018"/>
        </w:numPr>
      </w:pPr>
      <w:r>
        <w:rPr>
          <w:b/>
          <w:bCs/>
        </w:rPr>
        <w:t xml:space="preserve">Accessible:</w:t>
      </w:r>
      <w:r>
        <w:t xml:space="preserve"> </w:t>
      </w:r>
      <w:r>
        <w:t xml:space="preserve">Standardised access protocols and authentication systems</w:t>
      </w:r>
    </w:p>
    <w:p>
      <w:pPr>
        <w:pStyle w:val="Compact"/>
        <w:numPr>
          <w:ilvl w:val="0"/>
          <w:numId w:val="1018"/>
        </w:numPr>
      </w:pPr>
      <w:r>
        <w:rPr>
          <w:b/>
          <w:bCs/>
        </w:rPr>
        <w:t xml:space="preserve">Interoperable:</w:t>
      </w:r>
      <w:r>
        <w:t xml:space="preserve"> </w:t>
      </w:r>
      <w:r>
        <w:t xml:space="preserve">Common data formats and vocabulary standards</w:t>
      </w:r>
    </w:p>
    <w:p>
      <w:pPr>
        <w:pStyle w:val="Compact"/>
        <w:numPr>
          <w:ilvl w:val="0"/>
          <w:numId w:val="1018"/>
        </w:numPr>
      </w:pPr>
      <w:r>
        <w:rPr>
          <w:b/>
          <w:bCs/>
        </w:rPr>
        <w:t xml:space="preserve">Reusable:</w:t>
      </w:r>
      <w:r>
        <w:t xml:space="preserve"> </w:t>
      </w:r>
      <w:r>
        <w:t xml:space="preserve">Clear licensing and usage guidelines</w:t>
      </w:r>
    </w:p>
    <w:bookmarkEnd w:id="42"/>
    <w:bookmarkEnd w:id="43"/>
    <w:bookmarkStart w:id="45" w:name="popia"/>
    <w:p>
      <w:pPr>
        <w:pStyle w:val="Heading2"/>
      </w:pPr>
      <w:r>
        <w:t xml:space="preserve">13. POPIA Compliance and Protection of Personal Information</w:t>
      </w:r>
    </w:p>
    <w:p>
      <w:pPr>
        <w:pStyle w:val="FirstParagraph"/>
      </w:pPr>
      <w:r>
        <w:rPr>
          <w:b/>
          <w:bCs/>
        </w:rPr>
        <w:t xml:space="preserve">Enhanced compliance framework maintaining full POPIA adherence:</w:t>
      </w:r>
    </w:p>
    <w:p>
      <w:pPr>
        <w:pStyle w:val="BodyText"/>
      </w:pPr>
      <w:r>
        <w:t xml:space="preserve">All enhanced data management procedures maintain full POPIA compliance throughout the cloud migration process. The transition to WHC-managed cloud infrastructure enhances existing compliance standards while maintaining all regulatory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POPIA Requirement</w:t>
            </w:r>
          </w:p>
        </w:tc>
        <w:tc>
          <w:tcPr/>
          <w:p>
            <w:pPr>
              <w:pStyle w:val="Compact"/>
            </w:pPr>
            <w:r>
              <w:t xml:space="preserve">Current Implementation</w:t>
            </w:r>
          </w:p>
        </w:tc>
        <w:tc>
          <w:tcPr/>
          <w:p>
            <w:pPr>
              <w:pStyle w:val="Compact"/>
            </w:pPr>
            <w:r>
              <w:t xml:space="preserve">Enhanced Implementation (Year 5)</w:t>
            </w:r>
          </w:p>
        </w:tc>
      </w:tr>
      <w:tr>
        <w:tc>
          <w:tcPr/>
          <w:p>
            <w:pPr>
              <w:pStyle w:val="Compact"/>
            </w:pPr>
            <w:r>
              <w:t xml:space="preserve">Data Minimisation</w:t>
            </w:r>
          </w:p>
        </w:tc>
        <w:tc>
          <w:tcPr/>
          <w:p>
            <w:pPr>
              <w:pStyle w:val="Compact"/>
            </w:pPr>
            <w:r>
              <w:t xml:space="preserve">Collection limited to research requirements</w:t>
            </w:r>
          </w:p>
        </w:tc>
        <w:tc>
          <w:tcPr/>
          <w:p>
            <w:pPr>
              <w:pStyle w:val="Compact"/>
            </w:pPr>
            <w:r>
              <w:t xml:space="preserve">Automated data lifecycle management and automated deletion</w:t>
            </w:r>
          </w:p>
        </w:tc>
      </w:tr>
      <w:tr>
        <w:tc>
          <w:tcPr/>
          <w:p>
            <w:pPr>
              <w:pStyle w:val="Compact"/>
            </w:pPr>
            <w:r>
              <w:t xml:space="preserve">Purpose Limitation</w:t>
            </w:r>
          </w:p>
        </w:tc>
        <w:tc>
          <w:tcPr/>
          <w:p>
            <w:pPr>
              <w:pStyle w:val="Compact"/>
            </w:pPr>
            <w:r>
              <w:t xml:space="preserve">Data used only for approved research purposes</w:t>
            </w:r>
          </w:p>
        </w:tc>
        <w:tc>
          <w:tcPr/>
          <w:p>
            <w:pPr>
              <w:pStyle w:val="Compact"/>
            </w:pPr>
            <w:r>
              <w:t xml:space="preserve">Enhanced access controls with purpose-based permissions</w:t>
            </w:r>
          </w:p>
        </w:tc>
      </w:tr>
      <w:tr>
        <w:tc>
          <w:tcPr/>
          <w:p>
            <w:pPr>
              <w:pStyle w:val="Compact"/>
            </w:pPr>
            <w:r>
              <w:t xml:space="preserve">Data Subject Rights</w:t>
            </w:r>
          </w:p>
        </w:tc>
        <w:tc>
          <w:tcPr/>
          <w:p>
            <w:pPr>
              <w:pStyle w:val="Compact"/>
            </w:pPr>
            <w:r>
              <w:t xml:space="preserve">Participant rights protected through ethics framework</w:t>
            </w:r>
          </w:p>
        </w:tc>
        <w:tc>
          <w:tcPr/>
          <w:p>
            <w:pPr>
              <w:pStyle w:val="Compact"/>
            </w:pPr>
            <w:r>
              <w:t xml:space="preserve">Automated systems for rights management and response</w:t>
            </w:r>
          </w:p>
        </w:tc>
      </w:tr>
      <w:tr>
        <w:tc>
          <w:tcPr/>
          <w:p>
            <w:pPr>
              <w:pStyle w:val="Compact"/>
            </w:pPr>
            <w:r>
              <w:t xml:space="preserve">Security Safeguards</w:t>
            </w:r>
          </w:p>
        </w:tc>
        <w:tc>
          <w:tcPr/>
          <w:p>
            <w:pPr>
              <w:pStyle w:val="Compact"/>
            </w:pPr>
            <w:r>
              <w:t xml:space="preserve">Encryption and access controls</w:t>
            </w:r>
          </w:p>
        </w:tc>
        <w:tc>
          <w:tcPr/>
          <w:p>
            <w:pPr>
              <w:pStyle w:val="Compact"/>
            </w:pPr>
            <w:r>
              <w:t xml:space="preserve">AES-256 encryption, 24/7 SOC monitoring, automated threat response</w:t>
            </w:r>
          </w:p>
        </w:tc>
      </w:tr>
      <w:tr>
        <w:tc>
          <w:tcPr/>
          <w:p>
            <w:pPr>
              <w:pStyle w:val="Compact"/>
            </w:pPr>
            <w:r>
              <w:t xml:space="preserve">Cross-border Transfer</w:t>
            </w:r>
          </w:p>
        </w:tc>
        <w:tc>
          <w:tcPr/>
          <w:p>
            <w:pPr>
              <w:pStyle w:val="Compact"/>
            </w:pPr>
            <w:r>
              <w:t xml:space="preserve">Limited to approved jurisdictions</w:t>
            </w:r>
          </w:p>
        </w:tc>
        <w:tc>
          <w:tcPr/>
          <w:p>
            <w:pPr>
              <w:pStyle w:val="Compact"/>
            </w:pPr>
            <w:r>
              <w:t xml:space="preserve">Enhanced transfer controls with appropriate safeguards for cloud hosting</w:t>
            </w:r>
          </w:p>
        </w:tc>
      </w:tr>
    </w:tbl>
    <w:bookmarkStart w:id="44" w:name="personal-information-processing"/>
    <w:p>
      <w:pPr>
        <w:pStyle w:val="Heading3"/>
      </w:pPr>
      <w:r>
        <w:t xml:space="preserve">13.1 Personal Information Processing</w:t>
      </w:r>
    </w:p>
    <w:p>
      <w:pPr>
        <w:pStyle w:val="FirstParagraph"/>
      </w:pPr>
      <w:r>
        <w:rPr>
          <w:b/>
          <w:bCs/>
        </w:rPr>
        <w:t xml:space="preserve">Comprehensive processing framework:</w:t>
      </w:r>
    </w:p>
    <w:p>
      <w:pPr>
        <w:pStyle w:val="Compact"/>
        <w:numPr>
          <w:ilvl w:val="0"/>
          <w:numId w:val="1019"/>
        </w:numPr>
      </w:pPr>
      <w:r>
        <w:t xml:space="preserve">Data stored on secure cloud servers with appropriate cross-border transfer protections</w:t>
      </w:r>
    </w:p>
    <w:p>
      <w:pPr>
        <w:pStyle w:val="Compact"/>
        <w:numPr>
          <w:ilvl w:val="0"/>
          <w:numId w:val="1019"/>
        </w:numPr>
      </w:pPr>
      <w:r>
        <w:t xml:space="preserve">Only the research team will have access to participant data through enhanced authentication protocols</w:t>
      </w:r>
    </w:p>
    <w:p>
      <w:pPr>
        <w:pStyle w:val="Compact"/>
        <w:numPr>
          <w:ilvl w:val="0"/>
          <w:numId w:val="1019"/>
        </w:numPr>
      </w:pPr>
      <w:r>
        <w:t xml:space="preserve">Data will continue to be anonymized using participant IDs with additional pseudonymisation layers</w:t>
      </w:r>
    </w:p>
    <w:p>
      <w:pPr>
        <w:pStyle w:val="Compact"/>
        <w:numPr>
          <w:ilvl w:val="0"/>
          <w:numId w:val="1019"/>
        </w:numPr>
      </w:pPr>
      <w:r>
        <w:t xml:space="preserve">All cloud infrastructure changes enhance existing compliance standards</w:t>
      </w:r>
    </w:p>
    <w:p>
      <w:pPr>
        <w:pStyle w:val="Compact"/>
        <w:numPr>
          <w:ilvl w:val="0"/>
          <w:numId w:val="1019"/>
        </w:numPr>
      </w:pPr>
      <w:r>
        <w:t xml:space="preserve">Regular compliance audits and automated monitoring ensure ongoing adherence</w:t>
      </w:r>
    </w:p>
    <w:bookmarkEnd w:id="44"/>
    <w:bookmarkEnd w:id="45"/>
    <w:bookmarkStart w:id="48" w:name="governance"/>
    <w:p>
      <w:pPr>
        <w:pStyle w:val="Heading2"/>
      </w:pPr>
      <w:r>
        <w:t xml:space="preserve">14. Data Governance Framework</w:t>
      </w:r>
    </w:p>
    <w:p>
      <w:pPr>
        <w:pStyle w:val="FirstParagraph"/>
      </w:pPr>
      <w:r>
        <w:rPr>
          <w:b/>
          <w:bCs/>
        </w:rPr>
        <w:t xml:space="preserve">New Section - Comprehensive Governance Structure:</w:t>
      </w:r>
    </w:p>
    <w:bookmarkStart w:id="46" w:name="governance-hierarchy"/>
    <w:p>
      <w:pPr>
        <w:pStyle w:val="Heading3"/>
      </w:pPr>
      <w:r>
        <w:t xml:space="preserve">14.1 Governance Hierarchy</w:t>
      </w:r>
    </w:p>
    <w:p>
      <w:pPr>
        <w:pStyle w:val="Compact"/>
        <w:numPr>
          <w:ilvl w:val="0"/>
          <w:numId w:val="1020"/>
        </w:numPr>
      </w:pPr>
      <w:r>
        <w:rPr>
          <w:b/>
          <w:bCs/>
        </w:rPr>
        <w:t xml:space="preserve">DMAC Co-PIs:</w:t>
      </w:r>
      <w:r>
        <w:t xml:space="preserve"> </w:t>
      </w:r>
      <w:r>
        <w:t xml:space="preserve">Strategic oversight and policy development</w:t>
      </w:r>
    </w:p>
    <w:p>
      <w:pPr>
        <w:pStyle w:val="Compact"/>
        <w:numPr>
          <w:ilvl w:val="0"/>
          <w:numId w:val="1020"/>
        </w:numPr>
      </w:pPr>
      <w:r>
        <w:rPr>
          <w:b/>
          <w:bCs/>
        </w:rPr>
        <w:t xml:space="preserve">Data Access Committee (DAC):</w:t>
      </w:r>
      <w:r>
        <w:t xml:space="preserve"> </w:t>
      </w:r>
      <w:r>
        <w:t xml:space="preserve">Data sharing decisions and access approvals</w:t>
      </w:r>
    </w:p>
    <w:p>
      <w:pPr>
        <w:pStyle w:val="Compact"/>
        <w:numPr>
          <w:ilvl w:val="0"/>
          <w:numId w:val="1020"/>
        </w:numPr>
      </w:pPr>
      <w:r>
        <w:rPr>
          <w:b/>
          <w:bCs/>
        </w:rPr>
        <w:t xml:space="preserve">Technical Working Group:</w:t>
      </w:r>
      <w:r>
        <w:t xml:space="preserve"> </w:t>
      </w:r>
      <w:r>
        <w:t xml:space="preserve">Infrastructure management and technical standards</w:t>
      </w:r>
    </w:p>
    <w:p>
      <w:pPr>
        <w:pStyle w:val="Compact"/>
        <w:numPr>
          <w:ilvl w:val="0"/>
          <w:numId w:val="1020"/>
        </w:numPr>
      </w:pPr>
      <w:r>
        <w:rPr>
          <w:b/>
          <w:bCs/>
        </w:rPr>
        <w:t xml:space="preserve">Ethics Oversight Committee:</w:t>
      </w:r>
      <w:r>
        <w:t xml:space="preserve"> </w:t>
      </w:r>
      <w:r>
        <w:t xml:space="preserve">Compliance monitoring and ethics review</w:t>
      </w:r>
    </w:p>
    <w:p>
      <w:pPr>
        <w:pStyle w:val="Compact"/>
        <w:numPr>
          <w:ilvl w:val="0"/>
          <w:numId w:val="1020"/>
        </w:numPr>
      </w:pPr>
      <w:r>
        <w:rPr>
          <w:b/>
          <w:bCs/>
        </w:rPr>
        <w:t xml:space="preserve">Core Data Team:</w:t>
      </w:r>
      <w:r>
        <w:t xml:space="preserve"> </w:t>
      </w:r>
      <w:r>
        <w:t xml:space="preserve">Day-to-day data management operations</w:t>
      </w:r>
    </w:p>
    <w:bookmarkEnd w:id="46"/>
    <w:bookmarkStart w:id="47" w:name="decision-making-processes"/>
    <w:p>
      <w:pPr>
        <w:pStyle w:val="Heading3"/>
      </w:pPr>
      <w:r>
        <w:t xml:space="preserve">14.2 Decision-Making Processes</w:t>
      </w:r>
    </w:p>
    <w:p>
      <w:pPr>
        <w:pStyle w:val="Compact"/>
        <w:numPr>
          <w:ilvl w:val="0"/>
          <w:numId w:val="1021"/>
        </w:numPr>
      </w:pPr>
      <w:r>
        <w:rPr>
          <w:b/>
          <w:bCs/>
        </w:rPr>
        <w:t xml:space="preserve">Data Access Decisions:</w:t>
      </w:r>
      <w:r>
        <w:t xml:space="preserve"> </w:t>
      </w:r>
      <w:r>
        <w:t xml:space="preserve">DAC review with PI approval for all external requests</w:t>
      </w:r>
    </w:p>
    <w:p>
      <w:pPr>
        <w:pStyle w:val="Compact"/>
        <w:numPr>
          <w:ilvl w:val="0"/>
          <w:numId w:val="1021"/>
        </w:numPr>
      </w:pPr>
      <w:r>
        <w:rPr>
          <w:b/>
          <w:bCs/>
        </w:rPr>
        <w:t xml:space="preserve">Infrastructure Changes:</w:t>
      </w:r>
      <w:r>
        <w:t xml:space="preserve"> </w:t>
      </w:r>
      <w:r>
        <w:t xml:space="preserve">Technical Working Group assessment with Co-PI approval</w:t>
      </w:r>
    </w:p>
    <w:p>
      <w:pPr>
        <w:pStyle w:val="Compact"/>
        <w:numPr>
          <w:ilvl w:val="0"/>
          <w:numId w:val="1021"/>
        </w:numPr>
      </w:pPr>
      <w:r>
        <w:rPr>
          <w:b/>
          <w:bCs/>
        </w:rPr>
        <w:t xml:space="preserve">Policy Updates:</w:t>
      </w:r>
      <w:r>
        <w:t xml:space="preserve"> </w:t>
      </w:r>
      <w:r>
        <w:t xml:space="preserve">Consensus-based approach with stakeholder consultation</w:t>
      </w:r>
    </w:p>
    <w:p>
      <w:pPr>
        <w:pStyle w:val="Compact"/>
        <w:numPr>
          <w:ilvl w:val="0"/>
          <w:numId w:val="1021"/>
        </w:numPr>
      </w:pPr>
      <w:r>
        <w:rPr>
          <w:b/>
          <w:bCs/>
        </w:rPr>
        <w:t xml:space="preserve">Compliance Issues:</w:t>
      </w:r>
      <w:r>
        <w:t xml:space="preserve"> </w:t>
      </w:r>
      <w:r>
        <w:t xml:space="preserve">Immediate escalation to Ethics Oversight Committee</w:t>
      </w:r>
    </w:p>
    <w:bookmarkEnd w:id="47"/>
    <w:bookmarkEnd w:id="48"/>
    <w:bookmarkStart w:id="53" w:name="roles"/>
    <w:p>
      <w:pPr>
        <w:pStyle w:val="Heading2"/>
      </w:pPr>
      <w:r>
        <w:t xml:space="preserve">15. Roles and Responsibilities</w:t>
      </w:r>
    </w:p>
    <w:p>
      <w:pPr>
        <w:pStyle w:val="FirstParagraph"/>
      </w:pPr>
      <w:r>
        <w:rPr>
          <w:b/>
          <w:bCs/>
        </w:rPr>
        <w:t xml:space="preserve">Restructured institutional approach:</w:t>
      </w:r>
      <w:r>
        <w:t xml:space="preserve"> </w:t>
      </w:r>
      <w:r>
        <w:t xml:space="preserve">The roles and responsibilities framework has been streamlined from individual-specific assignments to institutional responsibilities, reflecting the maturation of the project and the cloud transition. Key changes include:</w:t>
      </w:r>
    </w:p>
    <w:p>
      <w:pPr>
        <w:pStyle w:val="Compact"/>
        <w:numPr>
          <w:ilvl w:val="0"/>
          <w:numId w:val="1022"/>
        </w:numPr>
      </w:pPr>
      <w:r>
        <w:t xml:space="preserve">Introduction of WHC alongside UCT and IBM as key institutional partners</w:t>
      </w:r>
    </w:p>
    <w:p>
      <w:pPr>
        <w:pStyle w:val="Compact"/>
        <w:numPr>
          <w:ilvl w:val="0"/>
          <w:numId w:val="1022"/>
        </w:numPr>
      </w:pPr>
      <w:r>
        <w:t xml:space="preserve">Consolidation of platform management oversight across UCT, IBM, and WHC during Year 5</w:t>
      </w:r>
    </w:p>
    <w:p>
      <w:pPr>
        <w:pStyle w:val="Compact"/>
        <w:numPr>
          <w:ilvl w:val="0"/>
          <w:numId w:val="1022"/>
        </w:numPr>
      </w:pPr>
      <w:r>
        <w:t xml:space="preserve">Generalization of team roles for improved flexibility and continuity</w:t>
      </w:r>
    </w:p>
    <w:p>
      <w:pPr>
        <w:pStyle w:val="Compact"/>
        <w:numPr>
          <w:ilvl w:val="0"/>
          <w:numId w:val="1022"/>
        </w:numPr>
      </w:pPr>
      <w:r>
        <w:t xml:space="preserve">Enhanced focus on institutional capabilities rather than individual responsibilities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Institution</w:t>
            </w:r>
          </w:p>
        </w:tc>
        <w:tc>
          <w:tcPr/>
          <w:p>
            <w:pPr>
              <w:pStyle w:val="Compact"/>
            </w:pPr>
            <w:r>
              <w:t xml:space="preserve">Key Responsibilities</w:t>
            </w:r>
          </w:p>
        </w:tc>
        <w:tc>
          <w:tcPr/>
          <w:p>
            <w:pPr>
              <w:pStyle w:val="Compact"/>
            </w:pPr>
            <w:r>
              <w:rPr>
                <w:u w:val="single"/>
              </w:rPr>
              <w:t xml:space="preserve">Reporting Structure</w:t>
            </w:r>
          </w:p>
        </w:tc>
      </w:tr>
      <w:tr>
        <w:tc>
          <w:tcPr/>
          <w:p>
            <w:pPr>
              <w:pStyle w:val="Compact"/>
            </w:pPr>
            <w:r>
              <w:t xml:space="preserve">DMAC Co-PIs</w:t>
            </w:r>
          </w:p>
        </w:tc>
        <w:tc>
          <w:tcPr/>
          <w:p>
            <w:pPr>
              <w:pStyle w:val="Compact"/>
            </w:pPr>
            <w:r>
              <w:rPr>
                <w:u w:val="single"/>
              </w:rPr>
              <w:t xml:space="preserve">UCT, IBM, WHC</w:t>
            </w:r>
          </w:p>
        </w:tc>
        <w:tc>
          <w:tcPr/>
          <w:p>
            <w:pPr>
              <w:pStyle w:val="Compact"/>
            </w:pPr>
            <w:r>
              <w:t xml:space="preserve">Overall data management oversight and strategic direction</w:t>
            </w:r>
          </w:p>
        </w:tc>
        <w:tc>
          <w:tcPr/>
          <w:p>
            <w:pPr>
              <w:pStyle w:val="Compact"/>
            </w:pPr>
            <w:r>
              <w:rPr>
                <w:u w:val="single"/>
              </w:rPr>
              <w:t xml:space="preserve">NIH Program Officers</w:t>
            </w:r>
          </w:p>
        </w:tc>
      </w:tr>
      <w:tr>
        <w:tc>
          <w:tcPr/>
          <w:p>
            <w:pPr>
              <w:pStyle w:val="Compact"/>
            </w:pPr>
            <w:r>
              <w:rPr>
                <w:u w:val="single"/>
              </w:rPr>
              <w:t xml:space="preserve">Core Data Team</w:t>
            </w:r>
          </w:p>
        </w:tc>
        <w:tc>
          <w:tcPr/>
          <w:p>
            <w:pPr>
              <w:pStyle w:val="Compact"/>
            </w:pPr>
            <w:r>
              <w:rPr>
                <w:u w:val="single"/>
              </w:rPr>
              <w:t xml:space="preserve">UCT, WHC</w:t>
            </w:r>
          </w:p>
        </w:tc>
        <w:tc>
          <w:tcPr/>
          <w:p>
            <w:pPr>
              <w:pStyle w:val="Compact"/>
            </w:pPr>
            <w:r>
              <w:t xml:space="preserve">De-identification, quality control, harmonisation, day-to-day operations</w:t>
            </w:r>
          </w:p>
        </w:tc>
        <w:tc>
          <w:tcPr/>
          <w:p>
            <w:pPr>
              <w:pStyle w:val="Compact"/>
            </w:pPr>
            <w:r>
              <w:rPr>
                <w:u w:val="single"/>
              </w:rPr>
              <w:t xml:space="preserve">DMAC Co-PIs</w:t>
            </w:r>
          </w:p>
        </w:tc>
      </w:tr>
      <w:tr>
        <w:tc>
          <w:tcPr/>
          <w:p>
            <w:pPr>
              <w:pStyle w:val="Compact"/>
            </w:pPr>
            <w:r>
              <w:t xml:space="preserve">Platform Management</w:t>
            </w:r>
          </w:p>
        </w:tc>
        <w:tc>
          <w:tcPr/>
          <w:p>
            <w:pPr>
              <w:pStyle w:val="Compact"/>
            </w:pPr>
            <w:r>
              <w:rPr>
                <w:u w:val="single"/>
              </w:rPr>
              <w:t xml:space="preserve">UCT, IBM, WHC</w:t>
            </w:r>
          </w:p>
        </w:tc>
        <w:tc>
          <w:tcPr/>
          <w:p>
            <w:pPr>
              <w:pStyle w:val="Compact"/>
            </w:pPr>
            <w:r>
              <w:t xml:space="preserve">Access control, technical infrastructure oversight, and security management</w:t>
            </w:r>
          </w:p>
        </w:tc>
        <w:tc>
          <w:tcPr/>
          <w:p>
            <w:pPr>
              <w:pStyle w:val="Compact"/>
            </w:pPr>
            <w:r>
              <w:rPr>
                <w:u w:val="single"/>
              </w:rPr>
              <w:t xml:space="preserve">Technical Working Group</w:t>
            </w:r>
          </w:p>
        </w:tc>
      </w:tr>
      <w:tr>
        <w:tc>
          <w:tcPr/>
          <w:p>
            <w:pPr>
              <w:pStyle w:val="Compact"/>
            </w:pPr>
            <w:r>
              <w:rPr>
                <w:u w:val="single"/>
              </w:rPr>
              <w:t xml:space="preserve">Data Access Committee</w:t>
            </w:r>
          </w:p>
        </w:tc>
        <w:tc>
          <w:tcPr/>
          <w:p>
            <w:pPr>
              <w:pStyle w:val="Compact"/>
            </w:pPr>
            <w:r>
              <w:rPr>
                <w:u w:val="single"/>
              </w:rPr>
              <w:t xml:space="preserve">Multi-institutional</w:t>
            </w:r>
          </w:p>
        </w:tc>
        <w:tc>
          <w:tcPr/>
          <w:p>
            <w:pPr>
              <w:pStyle w:val="Compact"/>
            </w:pPr>
            <w:r>
              <w:rPr>
                <w:u w:val="single"/>
              </w:rPr>
              <w:t xml:space="preserve">Review and approval of data access requests, DTA oversight</w:t>
            </w:r>
          </w:p>
        </w:tc>
        <w:tc>
          <w:tcPr/>
          <w:p>
            <w:pPr>
              <w:pStyle w:val="Compact"/>
            </w:pPr>
            <w:r>
              <w:rPr>
                <w:u w:val="single"/>
              </w:rPr>
              <w:t xml:space="preserve">DMAC Co-PIs</w:t>
            </w:r>
          </w:p>
        </w:tc>
      </w:tr>
      <w:tr>
        <w:tc>
          <w:tcPr/>
          <w:p>
            <w:pPr>
              <w:pStyle w:val="Compact"/>
            </w:pPr>
            <w:r>
              <w:rPr>
                <w:u w:val="single"/>
              </w:rPr>
              <w:t xml:space="preserve">Compliance Officer</w:t>
            </w:r>
          </w:p>
        </w:tc>
        <w:tc>
          <w:tcPr/>
          <w:p>
            <w:pPr>
              <w:pStyle w:val="Compact"/>
            </w:pPr>
            <w:r>
              <w:rPr>
                <w:u w:val="single"/>
              </w:rPr>
              <w:t xml:space="preserve">WHC Legal</w:t>
            </w:r>
          </w:p>
        </w:tc>
        <w:tc>
          <w:tcPr/>
          <w:p>
            <w:pPr>
              <w:pStyle w:val="Compact"/>
            </w:pPr>
            <w:r>
              <w:rPr>
                <w:u w:val="single"/>
              </w:rPr>
              <w:t xml:space="preserve">POPIA compliance monitoring, legal review, risk assessment</w:t>
            </w:r>
          </w:p>
        </w:tc>
        <w:tc>
          <w:tcPr/>
          <w:p>
            <w:pPr>
              <w:pStyle w:val="Compact"/>
            </w:pPr>
            <w:r>
              <w:rPr>
                <w:u w:val="single"/>
              </w:rPr>
              <w:t xml:space="preserve">WHC Leadership</w:t>
            </w:r>
          </w:p>
        </w:tc>
      </w:tr>
    </w:tbl>
    <w:bookmarkStart w:id="52" w:name="detailed-role-descriptions"/>
    <w:p>
      <w:pPr>
        <w:pStyle w:val="Heading3"/>
      </w:pPr>
      <w:r>
        <w:t xml:space="preserve">15.1 Detailed Role Descriptions</w:t>
      </w:r>
    </w:p>
    <w:p>
      <w:pPr>
        <w:pStyle w:val="FirstParagraph"/>
      </w:pPr>
      <w:r>
        <w:rPr>
          <w:b/>
          <w:bCs/>
        </w:rPr>
        <w:t xml:space="preserve">Enhanced role definitions:</w:t>
      </w:r>
    </w:p>
    <w:bookmarkStart w:id="49" w:name="dmac-co-principal-investigators"/>
    <w:p>
      <w:pPr>
        <w:pStyle w:val="Heading4"/>
      </w:pPr>
      <w:r>
        <w:t xml:space="preserve">DMAC Co-Principal Investigators</w:t>
      </w:r>
    </w:p>
    <w:p>
      <w:pPr>
        <w:pStyle w:val="Compact"/>
        <w:numPr>
          <w:ilvl w:val="0"/>
          <w:numId w:val="1023"/>
        </w:numPr>
      </w:pPr>
      <w:r>
        <w:t xml:space="preserve">Strategic planning and resource allocation</w:t>
      </w:r>
    </w:p>
    <w:p>
      <w:pPr>
        <w:pStyle w:val="Compact"/>
        <w:numPr>
          <w:ilvl w:val="0"/>
          <w:numId w:val="1023"/>
        </w:numPr>
      </w:pPr>
      <w:r>
        <w:t xml:space="preserve">Policy development and approval</w:t>
      </w:r>
    </w:p>
    <w:p>
      <w:pPr>
        <w:pStyle w:val="Compact"/>
        <w:numPr>
          <w:ilvl w:val="0"/>
          <w:numId w:val="1023"/>
        </w:numPr>
      </w:pPr>
      <w:r>
        <w:t xml:space="preserve">Stakeholder relationship management</w:t>
      </w:r>
    </w:p>
    <w:p>
      <w:pPr>
        <w:pStyle w:val="Compact"/>
        <w:numPr>
          <w:ilvl w:val="0"/>
          <w:numId w:val="1023"/>
        </w:numPr>
      </w:pPr>
      <w:r>
        <w:t xml:space="preserve">Compliance oversight and reporting</w:t>
      </w:r>
    </w:p>
    <w:p>
      <w:pPr>
        <w:pStyle w:val="Compact"/>
        <w:numPr>
          <w:ilvl w:val="0"/>
          <w:numId w:val="1023"/>
        </w:numPr>
      </w:pPr>
      <w:r>
        <w:t xml:space="preserve">Budget management and resource planning</w:t>
      </w:r>
    </w:p>
    <w:bookmarkEnd w:id="49"/>
    <w:bookmarkStart w:id="50" w:name="core-data-team"/>
    <w:p>
      <w:pPr>
        <w:pStyle w:val="Heading4"/>
      </w:pPr>
      <w:r>
        <w:t xml:space="preserve">Core Data Team</w:t>
      </w:r>
    </w:p>
    <w:p>
      <w:pPr>
        <w:pStyle w:val="Compact"/>
        <w:numPr>
          <w:ilvl w:val="0"/>
          <w:numId w:val="1024"/>
        </w:numPr>
      </w:pPr>
      <w:r>
        <w:t xml:space="preserve">Data ingestion and quality control</w:t>
      </w:r>
    </w:p>
    <w:p>
      <w:pPr>
        <w:pStyle w:val="Compact"/>
        <w:numPr>
          <w:ilvl w:val="0"/>
          <w:numId w:val="1024"/>
        </w:numPr>
      </w:pPr>
      <w:r>
        <w:t xml:space="preserve">De-identification and pseudonymisation</w:t>
      </w:r>
    </w:p>
    <w:p>
      <w:pPr>
        <w:pStyle w:val="Compact"/>
        <w:numPr>
          <w:ilvl w:val="0"/>
          <w:numId w:val="1024"/>
        </w:numPr>
      </w:pPr>
      <w:r>
        <w:t xml:space="preserve">Database maintenance and curation</w:t>
      </w:r>
    </w:p>
    <w:p>
      <w:pPr>
        <w:pStyle w:val="Compact"/>
        <w:numPr>
          <w:ilvl w:val="0"/>
          <w:numId w:val="1024"/>
        </w:numPr>
      </w:pPr>
      <w:r>
        <w:t xml:space="preserve">Metadata creation and management</w:t>
      </w:r>
    </w:p>
    <w:p>
      <w:pPr>
        <w:pStyle w:val="Compact"/>
        <w:numPr>
          <w:ilvl w:val="0"/>
          <w:numId w:val="1024"/>
        </w:numPr>
      </w:pPr>
      <w:r>
        <w:t xml:space="preserve">User support and training</w:t>
      </w:r>
    </w:p>
    <w:bookmarkEnd w:id="50"/>
    <w:bookmarkStart w:id="51" w:name="data-access-committee"/>
    <w:p>
      <w:pPr>
        <w:pStyle w:val="Heading4"/>
      </w:pPr>
      <w:r>
        <w:t xml:space="preserve">Data Access Committee</w:t>
      </w:r>
    </w:p>
    <w:p>
      <w:pPr>
        <w:pStyle w:val="Compact"/>
        <w:numPr>
          <w:ilvl w:val="0"/>
          <w:numId w:val="1025"/>
        </w:numPr>
      </w:pPr>
      <w:r>
        <w:t xml:space="preserve">Review of data access applications</w:t>
      </w:r>
    </w:p>
    <w:p>
      <w:pPr>
        <w:pStyle w:val="Compact"/>
        <w:numPr>
          <w:ilvl w:val="0"/>
          <w:numId w:val="1025"/>
        </w:numPr>
      </w:pPr>
      <w:r>
        <w:t xml:space="preserve">Assessment of research merit and feasibility</w:t>
      </w:r>
    </w:p>
    <w:p>
      <w:pPr>
        <w:pStyle w:val="Compact"/>
        <w:numPr>
          <w:ilvl w:val="0"/>
          <w:numId w:val="1025"/>
        </w:numPr>
      </w:pPr>
      <w:r>
        <w:t xml:space="preserve">DTA negotiation and approval</w:t>
      </w:r>
    </w:p>
    <w:p>
      <w:pPr>
        <w:pStyle w:val="Compact"/>
        <w:numPr>
          <w:ilvl w:val="0"/>
          <w:numId w:val="1025"/>
        </w:numPr>
      </w:pPr>
      <w:r>
        <w:t xml:space="preserve">Monitoring of data usage compliance</w:t>
      </w:r>
    </w:p>
    <w:p>
      <w:pPr>
        <w:pStyle w:val="Compact"/>
        <w:numPr>
          <w:ilvl w:val="0"/>
          <w:numId w:val="1025"/>
        </w:numPr>
      </w:pPr>
      <w:r>
        <w:t xml:space="preserve">Annual review of access policies</w:t>
      </w:r>
    </w:p>
    <w:bookmarkEnd w:id="51"/>
    <w:bookmarkEnd w:id="52"/>
    <w:bookmarkEnd w:id="53"/>
    <w:bookmarkStart w:id="56" w:name="training"/>
    <w:p>
      <w:pPr>
        <w:pStyle w:val="Heading2"/>
      </w:pPr>
      <w:r>
        <w:t xml:space="preserve">16. Training and Capacity Building</w:t>
      </w:r>
    </w:p>
    <w:p>
      <w:pPr>
        <w:pStyle w:val="FirstParagraph"/>
      </w:pPr>
      <w:r>
        <w:rPr>
          <w:b/>
          <w:bCs/>
        </w:rPr>
        <w:t xml:space="preserve">New Section - Comprehensive Training Framework:</w:t>
      </w:r>
    </w:p>
    <w:bookmarkStart w:id="54" w:name="training-program-components"/>
    <w:p>
      <w:pPr>
        <w:pStyle w:val="Heading3"/>
      </w:pPr>
      <w:r>
        <w:t xml:space="preserve">16.1 Training Program Components</w:t>
      </w:r>
    </w:p>
    <w:p>
      <w:pPr>
        <w:pStyle w:val="Compact"/>
        <w:numPr>
          <w:ilvl w:val="0"/>
          <w:numId w:val="1026"/>
        </w:numPr>
      </w:pPr>
      <w:r>
        <w:rPr>
          <w:b/>
          <w:bCs/>
        </w:rPr>
        <w:t xml:space="preserve">Data Management Fundamentals:</w:t>
      </w:r>
      <w:r>
        <w:t xml:space="preserve"> </w:t>
      </w:r>
      <w:r>
        <w:t xml:space="preserve">Basic principles and best practices</w:t>
      </w:r>
    </w:p>
    <w:p>
      <w:pPr>
        <w:pStyle w:val="Compact"/>
        <w:numPr>
          <w:ilvl w:val="0"/>
          <w:numId w:val="1026"/>
        </w:numPr>
      </w:pPr>
      <w:r>
        <w:rPr>
          <w:b/>
          <w:bCs/>
        </w:rPr>
        <w:t xml:space="preserve">Security Awareness:</w:t>
      </w:r>
      <w:r>
        <w:t xml:space="preserve"> </w:t>
      </w:r>
      <w:r>
        <w:t xml:space="preserve">Cybersecurity threats and mitigation strategies</w:t>
      </w:r>
    </w:p>
    <w:p>
      <w:pPr>
        <w:pStyle w:val="Compact"/>
        <w:numPr>
          <w:ilvl w:val="0"/>
          <w:numId w:val="1026"/>
        </w:numPr>
      </w:pPr>
      <w:r>
        <w:rPr>
          <w:b/>
          <w:bCs/>
        </w:rPr>
        <w:t xml:space="preserve">POPIA Compliance:</w:t>
      </w:r>
      <w:r>
        <w:t xml:space="preserve"> </w:t>
      </w:r>
      <w:r>
        <w:t xml:space="preserve">Legal requirements and practical implementation</w:t>
      </w:r>
    </w:p>
    <w:p>
      <w:pPr>
        <w:pStyle w:val="Compact"/>
        <w:numPr>
          <w:ilvl w:val="0"/>
          <w:numId w:val="1026"/>
        </w:numPr>
      </w:pPr>
      <w:r>
        <w:rPr>
          <w:b/>
          <w:bCs/>
        </w:rPr>
        <w:t xml:space="preserve">Technical Skills:</w:t>
      </w:r>
      <w:r>
        <w:t xml:space="preserve"> </w:t>
      </w:r>
      <w:r>
        <w:t xml:space="preserve">Platform usage and analytical tools</w:t>
      </w:r>
    </w:p>
    <w:p>
      <w:pPr>
        <w:pStyle w:val="Compact"/>
        <w:numPr>
          <w:ilvl w:val="0"/>
          <w:numId w:val="1026"/>
        </w:numPr>
      </w:pPr>
      <w:r>
        <w:rPr>
          <w:b/>
          <w:bCs/>
        </w:rPr>
        <w:t xml:space="preserve">Research Ethics:</w:t>
      </w:r>
      <w:r>
        <w:t xml:space="preserve"> </w:t>
      </w:r>
      <w:r>
        <w:t xml:space="preserve">Ethical considerations in data handling</w:t>
      </w:r>
    </w:p>
    <w:bookmarkEnd w:id="54"/>
    <w:bookmarkStart w:id="55" w:name="training-delivery-methods"/>
    <w:p>
      <w:pPr>
        <w:pStyle w:val="Heading3"/>
      </w:pPr>
      <w:r>
        <w:t xml:space="preserve">16.2 Training Delivery Methods</w:t>
      </w:r>
    </w:p>
    <w:p>
      <w:pPr>
        <w:pStyle w:val="Compact"/>
        <w:numPr>
          <w:ilvl w:val="0"/>
          <w:numId w:val="1027"/>
        </w:numPr>
      </w:pPr>
      <w:r>
        <w:rPr>
          <w:b/>
          <w:bCs/>
        </w:rPr>
        <w:t xml:space="preserve">Online Modules:</w:t>
      </w:r>
      <w:r>
        <w:t xml:space="preserve"> </w:t>
      </w:r>
      <w:r>
        <w:t xml:space="preserve">Self-paced learning with certification requirements</w:t>
      </w:r>
    </w:p>
    <w:p>
      <w:pPr>
        <w:pStyle w:val="Compact"/>
        <w:numPr>
          <w:ilvl w:val="0"/>
          <w:numId w:val="1027"/>
        </w:numPr>
      </w:pPr>
      <w:r>
        <w:rPr>
          <w:b/>
          <w:bCs/>
        </w:rPr>
        <w:t xml:space="preserve">Workshops:</w:t>
      </w:r>
      <w:r>
        <w:t xml:space="preserve"> </w:t>
      </w:r>
      <w:r>
        <w:t xml:space="preserve">Interactive sessions for practical skills development</w:t>
      </w:r>
    </w:p>
    <w:p>
      <w:pPr>
        <w:pStyle w:val="Compact"/>
        <w:numPr>
          <w:ilvl w:val="0"/>
          <w:numId w:val="1027"/>
        </w:numPr>
      </w:pPr>
      <w:r>
        <w:rPr>
          <w:b/>
          <w:bCs/>
        </w:rPr>
        <w:t xml:space="preserve">Mentoring:</w:t>
      </w:r>
      <w:r>
        <w:t xml:space="preserve"> </w:t>
      </w:r>
      <w:r>
        <w:t xml:space="preserve">One-on-one guidance for complex issues</w:t>
      </w:r>
    </w:p>
    <w:p>
      <w:pPr>
        <w:pStyle w:val="Compact"/>
        <w:numPr>
          <w:ilvl w:val="0"/>
          <w:numId w:val="1027"/>
        </w:numPr>
      </w:pPr>
      <w:r>
        <w:rPr>
          <w:b/>
          <w:bCs/>
        </w:rPr>
        <w:t xml:space="preserve">Refresher Training:</w:t>
      </w:r>
      <w:r>
        <w:t xml:space="preserve"> </w:t>
      </w:r>
      <w:r>
        <w:t xml:space="preserve">Annual updates and skill reinforcement</w:t>
      </w:r>
    </w:p>
    <w:bookmarkEnd w:id="55"/>
    <w:bookmarkEnd w:id="56"/>
    <w:bookmarkStart w:id="59" w:name="risk-management"/>
    <w:p>
      <w:pPr>
        <w:pStyle w:val="Heading2"/>
      </w:pPr>
      <w:r>
        <w:t xml:space="preserve">17. Risk Management and Mitigation</w:t>
      </w:r>
    </w:p>
    <w:p>
      <w:pPr>
        <w:pStyle w:val="FirstParagraph"/>
      </w:pPr>
      <w:r>
        <w:rPr>
          <w:b/>
          <w:bCs/>
        </w:rPr>
        <w:t xml:space="preserve">New Section - Comprehensive Risk Framework:</w:t>
      </w:r>
    </w:p>
    <w:bookmarkStart w:id="57" w:name="risk-assessment-matrix"/>
    <w:p>
      <w:pPr>
        <w:pStyle w:val="Heading3"/>
      </w:pPr>
      <w:r>
        <w:t xml:space="preserve">17.1 Risk Assessment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Category</w:t>
            </w:r>
          </w:p>
        </w:tc>
        <w:tc>
          <w:tcPr/>
          <w:p>
            <w:pPr>
              <w:pStyle w:val="Compact"/>
            </w:pPr>
            <w:r>
              <w:t xml:space="preserve">Potential Impact</w:t>
            </w:r>
          </w:p>
        </w:tc>
        <w:tc>
          <w:tcPr/>
          <w:p>
            <w:pPr>
              <w:pStyle w:val="Compact"/>
            </w:pPr>
            <w:r>
              <w:t xml:space="preserve">Likelihood</w:t>
            </w:r>
          </w:p>
        </w:tc>
        <w:tc>
          <w:tcPr/>
          <w:p>
            <w:pPr>
              <w:pStyle w:val="Compact"/>
            </w:pPr>
            <w:r>
              <w:t xml:space="preserve">Mitigation Strategy</w:t>
            </w:r>
          </w:p>
        </w:tc>
      </w:tr>
      <w:tr>
        <w:tc>
          <w:tcPr/>
          <w:p>
            <w:pPr>
              <w:pStyle w:val="Compact"/>
            </w:pPr>
            <w:r>
              <w:t xml:space="preserve">Data Breach</w:t>
            </w:r>
          </w:p>
        </w:tc>
        <w:tc>
          <w:tcPr/>
          <w:p>
            <w:pPr>
              <w:pStyle w:val="Compact"/>
            </w:pPr>
            <w:r>
              <w:t xml:space="preserve">High</w:t>
            </w:r>
          </w:p>
        </w:tc>
        <w:tc>
          <w:tcPr/>
          <w:p>
            <w:pPr>
              <w:pStyle w:val="Compact"/>
            </w:pPr>
            <w:r>
              <w:t xml:space="preserve">Low</w:t>
            </w:r>
          </w:p>
        </w:tc>
        <w:tc>
          <w:tcPr/>
          <w:p>
            <w:pPr>
              <w:pStyle w:val="Compact"/>
            </w:pPr>
            <w:r>
              <w:t xml:space="preserve">AES-256 encryption, 24/7 SOC monitoring, access controls</w:t>
            </w:r>
          </w:p>
        </w:tc>
      </w:tr>
      <w:tr>
        <w:tc>
          <w:tcPr/>
          <w:p>
            <w:pPr>
              <w:pStyle w:val="Compact"/>
            </w:pPr>
            <w:r>
              <w:t xml:space="preserve">System Failure</w:t>
            </w:r>
          </w:p>
        </w:tc>
        <w:tc>
          <w:tcPr/>
          <w:p>
            <w:pPr>
              <w:pStyle w:val="Compact"/>
            </w:pPr>
            <w:r>
              <w:t xml:space="preserve">Medium</w:t>
            </w:r>
          </w:p>
        </w:tc>
        <w:tc>
          <w:tcPr/>
          <w:p>
            <w:pPr>
              <w:pStyle w:val="Compact"/>
            </w:pPr>
            <w:r>
              <w:t xml:space="preserve">Medium</w:t>
            </w:r>
          </w:p>
        </w:tc>
        <w:tc>
          <w:tcPr/>
          <w:p>
            <w:pPr>
              <w:pStyle w:val="Compact"/>
            </w:pPr>
            <w:r>
              <w:t xml:space="preserve">Redundant systems, automated backups, disaster recovery</w:t>
            </w:r>
          </w:p>
        </w:tc>
      </w:tr>
      <w:tr>
        <w:tc>
          <w:tcPr/>
          <w:p>
            <w:pPr>
              <w:pStyle w:val="Compact"/>
            </w:pPr>
            <w:r>
              <w:t xml:space="preserve">Compliance Violation</w:t>
            </w:r>
          </w:p>
        </w:tc>
        <w:tc>
          <w:tcPr/>
          <w:p>
            <w:pPr>
              <w:pStyle w:val="Compact"/>
            </w:pPr>
            <w:r>
              <w:t xml:space="preserve">High</w:t>
            </w:r>
          </w:p>
        </w:tc>
        <w:tc>
          <w:tcPr/>
          <w:p>
            <w:pPr>
              <w:pStyle w:val="Compact"/>
            </w:pPr>
            <w:r>
              <w:t xml:space="preserve">Low</w:t>
            </w:r>
          </w:p>
        </w:tc>
        <w:tc>
          <w:tcPr/>
          <w:p>
            <w:pPr>
              <w:pStyle w:val="Compact"/>
            </w:pPr>
            <w:r>
              <w:t xml:space="preserve">Automated monitoring, regular audits, legal oversight</w:t>
            </w:r>
          </w:p>
        </w:tc>
      </w:tr>
      <w:tr>
        <w:tc>
          <w:tcPr/>
          <w:p>
            <w:pPr>
              <w:pStyle w:val="Compact"/>
            </w:pPr>
            <w:r>
              <w:t xml:space="preserve">Migration Issues</w:t>
            </w:r>
          </w:p>
        </w:tc>
        <w:tc>
          <w:tcPr/>
          <w:p>
            <w:pPr>
              <w:pStyle w:val="Compact"/>
            </w:pPr>
            <w:r>
              <w:t xml:space="preserve">Medium</w:t>
            </w:r>
          </w:p>
        </w:tc>
        <w:tc>
          <w:tcPr/>
          <w:p>
            <w:pPr>
              <w:pStyle w:val="Compact"/>
            </w:pPr>
            <w:r>
              <w:t xml:space="preserve">Medium</w:t>
            </w:r>
          </w:p>
        </w:tc>
        <w:tc>
          <w:tcPr/>
          <w:p>
            <w:pPr>
              <w:pStyle w:val="Compact"/>
            </w:pPr>
            <w:r>
              <w:t xml:space="preserve">Phased implementation, parallel systems, rollback procedures</w:t>
            </w:r>
          </w:p>
        </w:tc>
      </w:tr>
      <w:tr>
        <w:tc>
          <w:tcPr/>
          <w:p>
            <w:pPr>
              <w:pStyle w:val="Compact"/>
            </w:pPr>
            <w:r>
              <w:t xml:space="preserve">Staff Turnover</w:t>
            </w:r>
          </w:p>
        </w:tc>
        <w:tc>
          <w:tcPr/>
          <w:p>
            <w:pPr>
              <w:pStyle w:val="Compact"/>
            </w:pPr>
            <w:r>
              <w:t xml:space="preserve">Medium</w:t>
            </w:r>
          </w:p>
        </w:tc>
        <w:tc>
          <w:tcPr/>
          <w:p>
            <w:pPr>
              <w:pStyle w:val="Compact"/>
            </w:pPr>
            <w:r>
              <w:t xml:space="preserve">Medium</w:t>
            </w:r>
          </w:p>
        </w:tc>
        <w:tc>
          <w:tcPr/>
          <w:p>
            <w:pPr>
              <w:pStyle w:val="Compact"/>
            </w:pPr>
            <w:r>
              <w:t xml:space="preserve">Documentation, training programs, institutional knowledge transfer</w:t>
            </w:r>
          </w:p>
        </w:tc>
      </w:tr>
    </w:tbl>
    <w:bookmarkEnd w:id="57"/>
    <w:bookmarkStart w:id="58" w:name="incident-response-procedures"/>
    <w:p>
      <w:pPr>
        <w:pStyle w:val="Heading3"/>
      </w:pPr>
      <w:r>
        <w:t xml:space="preserve">17.2 Incident Response Procedures</w:t>
      </w:r>
    </w:p>
    <w:p>
      <w:pPr>
        <w:pStyle w:val="Compact"/>
        <w:numPr>
          <w:ilvl w:val="0"/>
          <w:numId w:val="1028"/>
        </w:numPr>
      </w:pPr>
      <w:r>
        <w:rPr>
          <w:b/>
          <w:bCs/>
        </w:rPr>
        <w:t xml:space="preserve">Detection:</w:t>
      </w:r>
      <w:r>
        <w:t xml:space="preserve"> </w:t>
      </w:r>
      <w:r>
        <w:t xml:space="preserve">Automated monitoring and manual reporting systems</w:t>
      </w:r>
    </w:p>
    <w:p>
      <w:pPr>
        <w:pStyle w:val="Compact"/>
        <w:numPr>
          <w:ilvl w:val="0"/>
          <w:numId w:val="1028"/>
        </w:numPr>
      </w:pPr>
      <w:r>
        <w:rPr>
          <w:b/>
          <w:bCs/>
        </w:rPr>
        <w:t xml:space="preserve">Assessment:</w:t>
      </w:r>
      <w:r>
        <w:t xml:space="preserve"> </w:t>
      </w:r>
      <w:r>
        <w:t xml:space="preserve">Rapid evaluation of incident scope and impact</w:t>
      </w:r>
    </w:p>
    <w:p>
      <w:pPr>
        <w:pStyle w:val="Compact"/>
        <w:numPr>
          <w:ilvl w:val="0"/>
          <w:numId w:val="1028"/>
        </w:numPr>
      </w:pPr>
      <w:r>
        <w:rPr>
          <w:b/>
          <w:bCs/>
        </w:rPr>
        <w:t xml:space="preserve">Containment:</w:t>
      </w:r>
      <w:r>
        <w:t xml:space="preserve"> </w:t>
      </w:r>
      <w:r>
        <w:t xml:space="preserve">Immediate actions to limit damage and exposure</w:t>
      </w:r>
    </w:p>
    <w:p>
      <w:pPr>
        <w:pStyle w:val="Compact"/>
        <w:numPr>
          <w:ilvl w:val="0"/>
          <w:numId w:val="1028"/>
        </w:numPr>
      </w:pPr>
      <w:r>
        <w:rPr>
          <w:b/>
          <w:bCs/>
        </w:rPr>
        <w:t xml:space="preserve">Investigation:</w:t>
      </w:r>
      <w:r>
        <w:t xml:space="preserve"> </w:t>
      </w:r>
      <w:r>
        <w:t xml:space="preserve">Root cause analysis and evidence collection</w:t>
      </w:r>
    </w:p>
    <w:p>
      <w:pPr>
        <w:pStyle w:val="Compact"/>
        <w:numPr>
          <w:ilvl w:val="0"/>
          <w:numId w:val="1028"/>
        </w:numPr>
      </w:pPr>
      <w:r>
        <w:rPr>
          <w:b/>
          <w:bCs/>
        </w:rPr>
        <w:t xml:space="preserve">Recovery:</w:t>
      </w:r>
      <w:r>
        <w:t xml:space="preserve"> </w:t>
      </w:r>
      <w:r>
        <w:t xml:space="preserve">System restoration and normal operations resumption</w:t>
      </w:r>
    </w:p>
    <w:p>
      <w:pPr>
        <w:pStyle w:val="Compact"/>
        <w:numPr>
          <w:ilvl w:val="0"/>
          <w:numId w:val="1028"/>
        </w:numPr>
      </w:pPr>
      <w:r>
        <w:rPr>
          <w:b/>
          <w:bCs/>
        </w:rPr>
        <w:t xml:space="preserve">Review:</w:t>
      </w:r>
      <w:r>
        <w:t xml:space="preserve"> </w:t>
      </w:r>
      <w:r>
        <w:t xml:space="preserve">Post-incident analysis and process improvement</w:t>
      </w:r>
    </w:p>
    <w:bookmarkEnd w:id="58"/>
    <w:bookmarkEnd w:id="59"/>
    <w:bookmarkStart w:id="61" w:name="assessment"/>
    <w:p>
      <w:pPr>
        <w:pStyle w:val="Heading2"/>
      </w:pPr>
      <w:r>
        <w:t xml:space="preserve">18. Assessment and Revision</w:t>
      </w:r>
    </w:p>
    <w:p>
      <w:pPr>
        <w:pStyle w:val="FirstParagraph"/>
      </w:pPr>
      <w:r>
        <w:rPr>
          <w:b/>
          <w:bCs/>
        </w:rPr>
        <w:t xml:space="preserve">Enhanced review process with expanded stakeholder involvement:</w:t>
      </w:r>
      <w:r>
        <w:t xml:space="preserve"> </w:t>
      </w:r>
      <w:r>
        <w:rPr>
          <w:u w:val="single"/>
        </w:rPr>
        <w:t xml:space="preserve">Additional legal and compliance review will be conducted by UCT legal counsel or WHC legal representative to ensure all changes maintain legal compliance and align with institutional obligations before final approval.</w:t>
      </w:r>
    </w:p>
    <w:p>
      <w:pPr>
        <w:pStyle w:val="BodyText"/>
      </w:pPr>
      <w:r>
        <w:t xml:space="preserve">The Data Management Plan will be periodically assessed by the DMAC co-PIs</w:t>
      </w:r>
      <w:r>
        <w:t xml:space="preserve"> </w:t>
      </w:r>
      <w:r>
        <w:rPr>
          <w:u w:val="single"/>
        </w:rPr>
        <w:t xml:space="preserve">in consultation with WHC leadership</w:t>
      </w:r>
      <w:r>
        <w:t xml:space="preserve"> </w:t>
      </w:r>
      <w:r>
        <w:t xml:space="preserve">including RP1 and RP2 leads. This will take place at least</w:t>
      </w:r>
      <w:r>
        <w:t xml:space="preserve"> </w:t>
      </w:r>
      <w:r>
        <w:rPr>
          <w:strike/>
        </w:rPr>
        <w:t xml:space="preserve">every 6 months</w:t>
      </w:r>
      <w:r>
        <w:t xml:space="preserve"> </w:t>
      </w:r>
      <w:r>
        <w:rPr>
          <w:u w:val="single"/>
        </w:rPr>
        <w:t xml:space="preserve">quarterly during the transition period, returning to bi-annual reviews post-implementation</w:t>
      </w:r>
      <w:r>
        <w:t xml:space="preserve">.</w:t>
      </w:r>
    </w:p>
    <w:bookmarkStart w:id="60" w:name="review-criteria-and-metrics"/>
    <w:p>
      <w:pPr>
        <w:pStyle w:val="Heading3"/>
      </w:pPr>
      <w:r>
        <w:t xml:space="preserve">18.1 Review Criteria and Metrics</w:t>
      </w:r>
    </w:p>
    <w:p>
      <w:pPr>
        <w:pStyle w:val="FirstParagraph"/>
      </w:pPr>
      <w:r>
        <w:rPr>
          <w:b/>
          <w:bCs/>
        </w:rPr>
        <w:t xml:space="preserve">Comprehensive assessment framework:</w:t>
      </w:r>
    </w:p>
    <w:p>
      <w:pPr>
        <w:pStyle w:val="Compact"/>
        <w:numPr>
          <w:ilvl w:val="0"/>
          <w:numId w:val="1029"/>
        </w:numPr>
      </w:pPr>
      <w:r>
        <w:rPr>
          <w:b/>
          <w:bCs/>
        </w:rPr>
        <w:t xml:space="preserve">Technical Performance:</w:t>
      </w:r>
      <w:r>
        <w:t xml:space="preserve"> </w:t>
      </w:r>
      <w:r>
        <w:t xml:space="preserve">System uptime, processing speed, storage capacity</w:t>
      </w:r>
    </w:p>
    <w:p>
      <w:pPr>
        <w:pStyle w:val="Compact"/>
        <w:numPr>
          <w:ilvl w:val="0"/>
          <w:numId w:val="1029"/>
        </w:numPr>
      </w:pPr>
      <w:r>
        <w:rPr>
          <w:b/>
          <w:bCs/>
        </w:rPr>
        <w:t xml:space="preserve">Security Metrics:</w:t>
      </w:r>
      <w:r>
        <w:t xml:space="preserve"> </w:t>
      </w:r>
      <w:r>
        <w:t xml:space="preserve">Incident frequency, response times, compliance scores</w:t>
      </w:r>
    </w:p>
    <w:p>
      <w:pPr>
        <w:pStyle w:val="Compact"/>
        <w:numPr>
          <w:ilvl w:val="0"/>
          <w:numId w:val="1029"/>
        </w:numPr>
      </w:pPr>
      <w:r>
        <w:rPr>
          <w:b/>
          <w:bCs/>
        </w:rPr>
        <w:t xml:space="preserve">User Satisfaction:</w:t>
      </w:r>
      <w:r>
        <w:t xml:space="preserve"> </w:t>
      </w:r>
      <w:r>
        <w:t xml:space="preserve">Researcher feedback, ease of use, support quality</w:t>
      </w:r>
    </w:p>
    <w:p>
      <w:pPr>
        <w:pStyle w:val="Compact"/>
        <w:numPr>
          <w:ilvl w:val="0"/>
          <w:numId w:val="1029"/>
        </w:numPr>
      </w:pPr>
      <w:r>
        <w:rPr>
          <w:b/>
          <w:bCs/>
        </w:rPr>
        <w:t xml:space="preserve">Compliance Status:</w:t>
      </w:r>
      <w:r>
        <w:t xml:space="preserve"> </w:t>
      </w:r>
      <w:r>
        <w:t xml:space="preserve">Regulatory adherence, audit results, corrective actions</w:t>
      </w:r>
    </w:p>
    <w:p>
      <w:pPr>
        <w:pStyle w:val="Compact"/>
        <w:numPr>
          <w:ilvl w:val="0"/>
          <w:numId w:val="1029"/>
        </w:numPr>
      </w:pPr>
      <w:r>
        <w:rPr>
          <w:b/>
          <w:bCs/>
        </w:rPr>
        <w:t xml:space="preserve">Cost Effectiveness:</w:t>
      </w:r>
      <w:r>
        <w:t xml:space="preserve"> </w:t>
      </w:r>
      <w:r>
        <w:t xml:space="preserve">Resource utilisation, cost per transaction, ROI analysis</w:t>
      </w:r>
    </w:p>
    <w:bookmarkEnd w:id="60"/>
    <w:bookmarkEnd w:id="61"/>
    <w:bookmarkStart w:id="67" w:name="implementation"/>
    <w:p>
      <w:pPr>
        <w:pStyle w:val="Heading2"/>
      </w:pPr>
      <w:r>
        <w:t xml:space="preserve">19. Implementation Timeline</w:t>
      </w:r>
    </w:p>
    <w:p>
      <w:pPr>
        <w:pStyle w:val="FirstParagraph"/>
      </w:pPr>
      <w:r>
        <w:rPr>
          <w:b/>
          <w:bCs/>
        </w:rPr>
        <w:t xml:space="preserve">Detailed 5-Phase Cloud Migration Strategy:</w:t>
      </w:r>
    </w:p>
    <w:bookmarkStart w:id="62" w:name="X11b3a458e49f2a3e4f31dcf5a6f7210f0467c6c"/>
    <w:p>
      <w:pPr>
        <w:pStyle w:val="Heading3"/>
      </w:pPr>
      <w:r>
        <w:t xml:space="preserve">Phase 1: Planning and Assessment (Months 1-3)</w:t>
      </w:r>
    </w:p>
    <w:p>
      <w:pPr>
        <w:pStyle w:val="Compact"/>
        <w:numPr>
          <w:ilvl w:val="0"/>
          <w:numId w:val="1030"/>
        </w:numPr>
      </w:pPr>
      <w:r>
        <w:t xml:space="preserve">Infrastructure evaluation and requirements analysis</w:t>
      </w:r>
    </w:p>
    <w:p>
      <w:pPr>
        <w:pStyle w:val="Compact"/>
        <w:numPr>
          <w:ilvl w:val="0"/>
          <w:numId w:val="1030"/>
        </w:numPr>
      </w:pPr>
      <w:r>
        <w:t xml:space="preserve">Security assessment and compliance review</w:t>
      </w:r>
    </w:p>
    <w:p>
      <w:pPr>
        <w:pStyle w:val="Compact"/>
        <w:numPr>
          <w:ilvl w:val="0"/>
          <w:numId w:val="1030"/>
        </w:numPr>
      </w:pPr>
      <w:r>
        <w:t xml:space="preserve">Stakeholder consultation and communication plan</w:t>
      </w:r>
    </w:p>
    <w:p>
      <w:pPr>
        <w:pStyle w:val="Compact"/>
        <w:numPr>
          <w:ilvl w:val="0"/>
          <w:numId w:val="1030"/>
        </w:numPr>
      </w:pPr>
      <w:r>
        <w:t xml:space="preserve">Technical architecture design and validation</w:t>
      </w:r>
    </w:p>
    <w:p>
      <w:pPr>
        <w:pStyle w:val="Compact"/>
        <w:numPr>
          <w:ilvl w:val="0"/>
          <w:numId w:val="1030"/>
        </w:numPr>
      </w:pPr>
      <w:r>
        <w:t xml:space="preserve">Risk assessment and mitigation planning</w:t>
      </w:r>
    </w:p>
    <w:bookmarkEnd w:id="62"/>
    <w:bookmarkStart w:id="63" w:name="phase-2-pilot-implementation-months-4-6"/>
    <w:p>
      <w:pPr>
        <w:pStyle w:val="Heading3"/>
      </w:pPr>
      <w:r>
        <w:t xml:space="preserve">Phase 2: Pilot Implementation (Months 4-6)</w:t>
      </w:r>
    </w:p>
    <w:p>
      <w:pPr>
        <w:pStyle w:val="Compact"/>
        <w:numPr>
          <w:ilvl w:val="0"/>
          <w:numId w:val="1031"/>
        </w:numPr>
      </w:pPr>
      <w:r>
        <w:t xml:space="preserve">Limited dataset migration for testing and validation</w:t>
      </w:r>
    </w:p>
    <w:p>
      <w:pPr>
        <w:pStyle w:val="Compact"/>
        <w:numPr>
          <w:ilvl w:val="0"/>
          <w:numId w:val="1031"/>
        </w:numPr>
      </w:pPr>
      <w:r>
        <w:t xml:space="preserve">Security testing and penetration testing</w:t>
      </w:r>
    </w:p>
    <w:p>
      <w:pPr>
        <w:pStyle w:val="Compact"/>
        <w:numPr>
          <w:ilvl w:val="0"/>
          <w:numId w:val="1031"/>
        </w:numPr>
      </w:pPr>
      <w:r>
        <w:t xml:space="preserve">User training and feedback collection</w:t>
      </w:r>
    </w:p>
    <w:p>
      <w:pPr>
        <w:pStyle w:val="Compact"/>
        <w:numPr>
          <w:ilvl w:val="0"/>
          <w:numId w:val="1031"/>
        </w:numPr>
      </w:pPr>
      <w:r>
        <w:t xml:space="preserve">Performance benchmarking and optimisation</w:t>
      </w:r>
    </w:p>
    <w:p>
      <w:pPr>
        <w:pStyle w:val="Compact"/>
        <w:numPr>
          <w:ilvl w:val="0"/>
          <w:numId w:val="1031"/>
        </w:numPr>
      </w:pPr>
      <w:r>
        <w:t xml:space="preserve">Process refinement and documentation</w:t>
      </w:r>
    </w:p>
    <w:bookmarkEnd w:id="63"/>
    <w:bookmarkStart w:id="64" w:name="phase-3-gradual-migration-months-7-12"/>
    <w:p>
      <w:pPr>
        <w:pStyle w:val="Heading3"/>
      </w:pPr>
      <w:r>
        <w:t xml:space="preserve">Phase 3: Gradual Migration (Months 7-12)</w:t>
      </w:r>
    </w:p>
    <w:p>
      <w:pPr>
        <w:pStyle w:val="Compact"/>
        <w:numPr>
          <w:ilvl w:val="0"/>
          <w:numId w:val="1032"/>
        </w:numPr>
      </w:pPr>
      <w:r>
        <w:t xml:space="preserve">Systematic transfer of datasets with parallel operations</w:t>
      </w:r>
    </w:p>
    <w:p>
      <w:pPr>
        <w:pStyle w:val="Compact"/>
        <w:numPr>
          <w:ilvl w:val="0"/>
          <w:numId w:val="1032"/>
        </w:numPr>
      </w:pPr>
      <w:r>
        <w:t xml:space="preserve">Continuous monitoring and quality assurance</w:t>
      </w:r>
    </w:p>
    <w:p>
      <w:pPr>
        <w:pStyle w:val="Compact"/>
        <w:numPr>
          <w:ilvl w:val="0"/>
          <w:numId w:val="1032"/>
        </w:numPr>
      </w:pPr>
      <w:r>
        <w:t xml:space="preserve">User support and issue resolution</w:t>
      </w:r>
    </w:p>
    <w:p>
      <w:pPr>
        <w:pStyle w:val="Compact"/>
        <w:numPr>
          <w:ilvl w:val="0"/>
          <w:numId w:val="1032"/>
        </w:numPr>
      </w:pPr>
      <w:r>
        <w:t xml:space="preserve">Integration testing and validation</w:t>
      </w:r>
    </w:p>
    <w:p>
      <w:pPr>
        <w:pStyle w:val="Compact"/>
        <w:numPr>
          <w:ilvl w:val="0"/>
          <w:numId w:val="1032"/>
        </w:numPr>
      </w:pPr>
      <w:r>
        <w:t xml:space="preserve">Performance monitoring and optimisation</w:t>
      </w:r>
    </w:p>
    <w:bookmarkEnd w:id="64"/>
    <w:bookmarkStart w:id="65" w:name="phase-4-full-migration-months-13-18"/>
    <w:p>
      <w:pPr>
        <w:pStyle w:val="Heading3"/>
      </w:pPr>
      <w:r>
        <w:t xml:space="preserve">Phase 4: Full Migration (Months 13-18)</w:t>
      </w:r>
    </w:p>
    <w:p>
      <w:pPr>
        <w:pStyle w:val="Compact"/>
        <w:numPr>
          <w:ilvl w:val="0"/>
          <w:numId w:val="1033"/>
        </w:numPr>
      </w:pPr>
      <w:r>
        <w:t xml:space="preserve">Complete transition of all sensitive health data to cloud infrastructure</w:t>
      </w:r>
    </w:p>
    <w:p>
      <w:pPr>
        <w:pStyle w:val="Compact"/>
        <w:numPr>
          <w:ilvl w:val="0"/>
          <w:numId w:val="1033"/>
        </w:numPr>
      </w:pPr>
      <w:r>
        <w:t xml:space="preserve">Decommissioning of legacy systems</w:t>
      </w:r>
    </w:p>
    <w:p>
      <w:pPr>
        <w:pStyle w:val="Compact"/>
        <w:numPr>
          <w:ilvl w:val="0"/>
          <w:numId w:val="1033"/>
        </w:numPr>
      </w:pPr>
      <w:r>
        <w:t xml:space="preserve">Final security validation and compliance certification</w:t>
      </w:r>
    </w:p>
    <w:p>
      <w:pPr>
        <w:pStyle w:val="Compact"/>
        <w:numPr>
          <w:ilvl w:val="0"/>
          <w:numId w:val="1033"/>
        </w:numPr>
      </w:pPr>
      <w:r>
        <w:t xml:space="preserve">Comprehensive user training and documentation</w:t>
      </w:r>
    </w:p>
    <w:p>
      <w:pPr>
        <w:pStyle w:val="Compact"/>
        <w:numPr>
          <w:ilvl w:val="0"/>
          <w:numId w:val="1033"/>
        </w:numPr>
      </w:pPr>
      <w:r>
        <w:t xml:space="preserve">Operational procedures finalisation</w:t>
      </w:r>
    </w:p>
    <w:bookmarkEnd w:id="65"/>
    <w:bookmarkStart w:id="66" w:name="phase-5-optimisation-months-19-24"/>
    <w:p>
      <w:pPr>
        <w:pStyle w:val="Heading3"/>
      </w:pPr>
      <w:r>
        <w:t xml:space="preserve">Phase 5: Optimisation (Months 19-24)</w:t>
      </w:r>
    </w:p>
    <w:p>
      <w:pPr>
        <w:pStyle w:val="Compact"/>
        <w:numPr>
          <w:ilvl w:val="0"/>
          <w:numId w:val="1034"/>
        </w:numPr>
      </w:pPr>
      <w:r>
        <w:t xml:space="preserve">Performance tuning and full cloud capability utilisation</w:t>
      </w:r>
    </w:p>
    <w:p>
      <w:pPr>
        <w:pStyle w:val="Compact"/>
        <w:numPr>
          <w:ilvl w:val="0"/>
          <w:numId w:val="1034"/>
        </w:numPr>
      </w:pPr>
      <w:r>
        <w:t xml:space="preserve">Advanced analytics and reporting implementation</w:t>
      </w:r>
    </w:p>
    <w:p>
      <w:pPr>
        <w:pStyle w:val="Compact"/>
        <w:numPr>
          <w:ilvl w:val="0"/>
          <w:numId w:val="1034"/>
        </w:numPr>
      </w:pPr>
      <w:r>
        <w:t xml:space="preserve">Continuous improvement and innovation</w:t>
      </w:r>
    </w:p>
    <w:p>
      <w:pPr>
        <w:pStyle w:val="Compact"/>
        <w:numPr>
          <w:ilvl w:val="0"/>
          <w:numId w:val="1034"/>
        </w:numPr>
      </w:pPr>
      <w:r>
        <w:t xml:space="preserve">Long-term planning and strategic development</w:t>
      </w:r>
    </w:p>
    <w:p>
      <w:pPr>
        <w:pStyle w:val="Compact"/>
        <w:numPr>
          <w:ilvl w:val="0"/>
          <w:numId w:val="1034"/>
        </w:numPr>
      </w:pPr>
      <w:r>
        <w:t xml:space="preserve">Knowledge transfer and capacity building</w:t>
      </w:r>
    </w:p>
    <w:p>
      <w:pPr>
        <w:pStyle w:val="FirstParagraph"/>
      </w:pPr>
      <w:r>
        <w:t xml:space="preserve">Each phase includes comprehensive risk mitigation strategies, stakeholder communication protocols, and rollback procedures to ensure seamless transition while maintaining data integrity and regulatory compliance.</w:t>
      </w:r>
    </w:p>
    <w:bookmarkEnd w:id="66"/>
    <w:bookmarkEnd w:id="67"/>
    <w:bookmarkStart w:id="69" w:name="compliance"/>
    <w:p>
      <w:pPr>
        <w:pStyle w:val="Heading2"/>
      </w:pPr>
      <w:r>
        <w:t xml:space="preserve">20. Compliance and Legal Framework</w:t>
      </w:r>
    </w:p>
    <w:p>
      <w:pPr>
        <w:pStyle w:val="FirstParagraph"/>
      </w:pPr>
      <w:r>
        <w:rPr>
          <w:b/>
          <w:bCs/>
        </w:rPr>
        <w:t xml:space="preserve">Enhanced Compliance Declaration:</w:t>
      </w:r>
      <w:r>
        <w:t xml:space="preserve"> </w:t>
      </w:r>
      <w:r>
        <w:t xml:space="preserve">According to the rules of the Protection of Personal Information Act 4 of 2013 (as amended), all data management enhancements in Version 2.0 maintain or exceed existing compliance standards. Data collected through cloud systems will be stored on secure servers with appropriate encryption and access controls. Where cloud infrastructure may be hosted outside of South Africa, appropriate cross-border data transfer protections and compliance measures are implemented to ensure continued POPIA compliance.</w:t>
      </w:r>
    </w:p>
    <w:bookmarkStart w:id="68" w:name="legal-framework-compliance"/>
    <w:p>
      <w:pPr>
        <w:pStyle w:val="Heading3"/>
      </w:pPr>
      <w:r>
        <w:t xml:space="preserve">20.1 Legal Framework Compliance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Regulation</w:t>
            </w:r>
          </w:p>
        </w:tc>
        <w:tc>
          <w:tcPr/>
          <w:p>
            <w:pPr>
              <w:pStyle w:val="Compact"/>
            </w:pPr>
            <w:r>
              <w:t xml:space="preserve">Requirements</w:t>
            </w:r>
          </w:p>
        </w:tc>
        <w:tc>
          <w:tcPr/>
          <w:p>
            <w:pPr>
              <w:pStyle w:val="Compact"/>
            </w:pPr>
            <w:r>
              <w:t xml:space="preserve">Implementation</w:t>
            </w:r>
          </w:p>
        </w:tc>
      </w:tr>
      <w:tr>
        <w:tc>
          <w:tcPr/>
          <w:p>
            <w:pPr>
              <w:pStyle w:val="Compact"/>
            </w:pPr>
            <w:r>
              <w:t xml:space="preserve">POPIA (South Africa)</w:t>
            </w:r>
          </w:p>
        </w:tc>
        <w:tc>
          <w:tcPr/>
          <w:p>
            <w:pPr>
              <w:pStyle w:val="Compact"/>
            </w:pPr>
            <w:r>
              <w:t xml:space="preserve">Personal information protection</w:t>
            </w:r>
          </w:p>
        </w:tc>
        <w:tc>
          <w:tcPr/>
          <w:p>
            <w:pPr>
              <w:pStyle w:val="Compact"/>
            </w:pPr>
            <w:r>
              <w:t xml:space="preserve">Comprehensive privacy controls, consent management, data subject rights</w:t>
            </w:r>
          </w:p>
        </w:tc>
      </w:tr>
      <w:tr>
        <w:tc>
          <w:tcPr/>
          <w:p>
            <w:pPr>
              <w:pStyle w:val="Compact"/>
            </w:pPr>
            <w:r>
              <w:t xml:space="preserve">NIH Guidelines</w:t>
            </w:r>
          </w:p>
        </w:tc>
        <w:tc>
          <w:tcPr/>
          <w:p>
            <w:pPr>
              <w:pStyle w:val="Compact"/>
            </w:pPr>
            <w:r>
              <w:t xml:space="preserve">Data sharing and management standards</w:t>
            </w:r>
          </w:p>
        </w:tc>
        <w:tc>
          <w:tcPr/>
          <w:p>
            <w:pPr>
              <w:pStyle w:val="Compact"/>
            </w:pPr>
            <w:r>
              <w:t xml:space="preserve">FAIR principles implementation, open access policies</w:t>
            </w:r>
          </w:p>
        </w:tc>
      </w:tr>
      <w:tr>
        <w:tc>
          <w:tcPr/>
          <w:p>
            <w:pPr>
              <w:pStyle w:val="Compact"/>
            </w:pPr>
            <w:r>
              <w:t xml:space="preserve">Institutional Policies</w:t>
            </w:r>
          </w:p>
        </w:tc>
        <w:tc>
          <w:tcPr/>
          <w:p>
            <w:pPr>
              <w:pStyle w:val="Compact"/>
            </w:pPr>
            <w:r>
              <w:t xml:space="preserve">UCT and WHC data governance</w:t>
            </w:r>
          </w:p>
        </w:tc>
        <w:tc>
          <w:tcPr/>
          <w:p>
            <w:pPr>
              <w:pStyle w:val="Compact"/>
            </w:pPr>
            <w:r>
              <w:t xml:space="preserve">Institutional review processes, ethics oversight</w:t>
            </w:r>
          </w:p>
        </w:tc>
      </w:tr>
      <w:tr>
        <w:tc>
          <w:tcPr/>
          <w:p>
            <w:pPr>
              <w:pStyle w:val="Compact"/>
            </w:pPr>
            <w:r>
              <w:t xml:space="preserve">International Standards</w:t>
            </w:r>
          </w:p>
        </w:tc>
        <w:tc>
          <w:tcPr/>
          <w:p>
            <w:pPr>
              <w:pStyle w:val="Compact"/>
            </w:pPr>
            <w:r>
              <w:t xml:space="preserve">ISO 27001, SOC 2 compliance</w:t>
            </w:r>
          </w:p>
        </w:tc>
        <w:tc>
          <w:tcPr/>
          <w:p>
            <w:pPr>
              <w:pStyle w:val="Compact"/>
            </w:pPr>
            <w:r>
              <w:t xml:space="preserve">Security management systems, third-party certifications</w:t>
            </w:r>
          </w:p>
        </w:tc>
      </w:tr>
    </w:tbl>
    <w:bookmarkEnd w:id="68"/>
    <w:bookmarkEnd w:id="69"/>
    <w:bookmarkStart w:id="74" w:name="appendices"/>
    <w:p>
      <w:pPr>
        <w:pStyle w:val="Heading2"/>
      </w:pPr>
      <w:r>
        <w:t xml:space="preserve">21. Appendices</w:t>
      </w:r>
    </w:p>
    <w:bookmarkStart w:id="70" w:name="Xe2a92246280ae70856dde480c12b7108e5096d2"/>
    <w:p>
      <w:pPr>
        <w:pStyle w:val="Heading3"/>
      </w:pPr>
      <w:r>
        <w:t xml:space="preserve">Appendix A: Data Types and Classifications</w:t>
      </w:r>
    </w:p>
    <w:p>
      <w:pPr>
        <w:pStyle w:val="FirstParagraph"/>
      </w:pPr>
      <w:r>
        <w:rPr>
          <w:b/>
          <w:bCs/>
        </w:rPr>
        <w:t xml:space="preserve">Comprehensive data classification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Category</w:t>
            </w:r>
          </w:p>
        </w:tc>
        <w:tc>
          <w:tcPr/>
          <w:p>
            <w:pPr>
              <w:pStyle w:val="Compact"/>
            </w:pPr>
            <w:r>
              <w:t xml:space="preserve">Sensitivity Level</w:t>
            </w:r>
          </w:p>
        </w:tc>
        <w:tc>
          <w:tcPr/>
          <w:p>
            <w:pPr>
              <w:pStyle w:val="Compact"/>
            </w:pPr>
            <w:r>
              <w:t xml:space="preserve">Retention Period</w:t>
            </w:r>
          </w:p>
        </w:tc>
        <w:tc>
          <w:tcPr/>
          <w:p>
            <w:pPr>
              <w:pStyle w:val="Compact"/>
            </w:pPr>
            <w:r>
              <w:t xml:space="preserve">Access Requirements</w:t>
            </w:r>
          </w:p>
        </w:tc>
      </w:tr>
      <w:tr>
        <w:tc>
          <w:tcPr/>
          <w:p>
            <w:pPr>
              <w:pStyle w:val="Compact"/>
            </w:pPr>
            <w:r>
              <w:t xml:space="preserve">Personal Health Information</w:t>
            </w:r>
          </w:p>
        </w:tc>
        <w:tc>
          <w:tcPr/>
          <w:p>
            <w:pPr>
              <w:pStyle w:val="Compact"/>
            </w:pPr>
            <w:r>
              <w:t xml:space="preserve">Highly Sensitive</w:t>
            </w:r>
          </w:p>
        </w:tc>
        <w:tc>
          <w:tcPr/>
          <w:p>
            <w:pPr>
              <w:pStyle w:val="Compact"/>
            </w:pPr>
            <w:r>
              <w:t xml:space="preserve">25 years post-study completion</w:t>
            </w:r>
          </w:p>
        </w:tc>
        <w:tc>
          <w:tcPr/>
          <w:p>
            <w:pPr>
              <w:pStyle w:val="Compact"/>
            </w:pPr>
            <w:r>
              <w:t xml:space="preserve">Ethics approval, DAC approval, DTA execution</w:t>
            </w:r>
          </w:p>
        </w:tc>
      </w:tr>
      <w:tr>
        <w:tc>
          <w:tcPr/>
          <w:p>
            <w:pPr>
              <w:pStyle w:val="Compact"/>
            </w:pPr>
            <w:r>
              <w:t xml:space="preserve">De-identified Health Data</w:t>
            </w:r>
          </w:p>
        </w:tc>
        <w:tc>
          <w:tcPr/>
          <w:p>
            <w:pPr>
              <w:pStyle w:val="Compact"/>
            </w:pPr>
            <w:r>
              <w:t xml:space="preserve">Sensitive</w:t>
            </w:r>
          </w:p>
        </w:tc>
        <w:tc>
          <w:tcPr/>
          <w:p>
            <w:pPr>
              <w:pStyle w:val="Compact"/>
            </w:pPr>
            <w:r>
              <w:t xml:space="preserve">15 years post-study completion</w:t>
            </w:r>
          </w:p>
        </w:tc>
        <w:tc>
          <w:tcPr/>
          <w:p>
            <w:pPr>
              <w:pStyle w:val="Compact"/>
            </w:pPr>
            <w:r>
              <w:t xml:space="preserve">DAC approval, DTA execution</w:t>
            </w:r>
          </w:p>
        </w:tc>
      </w:tr>
      <w:tr>
        <w:tc>
          <w:tcPr/>
          <w:p>
            <w:pPr>
              <w:pStyle w:val="Compact"/>
            </w:pPr>
            <w:r>
              <w:t xml:space="preserve">Environmental Data</w:t>
            </w:r>
          </w:p>
        </w:tc>
        <w:tc>
          <w:tcPr/>
          <w:p>
            <w:pPr>
              <w:pStyle w:val="Compact"/>
            </w:pPr>
            <w:r>
              <w:t xml:space="preserve">Low</w:t>
            </w:r>
          </w:p>
        </w:tc>
        <w:tc>
          <w:tcPr/>
          <w:p>
            <w:pPr>
              <w:pStyle w:val="Compact"/>
            </w:pPr>
            <w:r>
              <w:t xml:space="preserve">Indefinite (archival)</w:t>
            </w:r>
          </w:p>
        </w:tc>
        <w:tc>
          <w:tcPr/>
          <w:p>
            <w:pPr>
              <w:pStyle w:val="Compact"/>
            </w:pPr>
            <w:r>
              <w:t xml:space="preserve">Standard data sharing agreement</w:t>
            </w:r>
          </w:p>
        </w:tc>
      </w:tr>
      <w:tr>
        <w:tc>
          <w:tcPr/>
          <w:p>
            <w:pPr>
              <w:pStyle w:val="Compact"/>
            </w:pPr>
            <w:r>
              <w:t xml:space="preserve">Derived/Synthetic Data</w:t>
            </w:r>
          </w:p>
        </w:tc>
        <w:tc>
          <w:tcPr/>
          <w:p>
            <w:pPr>
              <w:pStyle w:val="Compact"/>
            </w:pPr>
            <w:r>
              <w:t xml:space="preserve">Low</w:t>
            </w:r>
          </w:p>
        </w:tc>
        <w:tc>
          <w:tcPr/>
          <w:p>
            <w:pPr>
              <w:pStyle w:val="Compact"/>
            </w:pPr>
            <w:r>
              <w:t xml:space="preserve">Indefinite (public)</w:t>
            </w:r>
          </w:p>
        </w:tc>
        <w:tc>
          <w:tcPr/>
          <w:p>
            <w:pPr>
              <w:pStyle w:val="Compact"/>
            </w:pPr>
            <w:r>
              <w:t xml:space="preserve">Open access with attribution</w:t>
            </w:r>
          </w:p>
        </w:tc>
      </w:tr>
    </w:tbl>
    <w:bookmarkEnd w:id="70"/>
    <w:bookmarkStart w:id="71" w:name="appendix-b-technical-specifications"/>
    <w:p>
      <w:pPr>
        <w:pStyle w:val="Heading3"/>
      </w:pPr>
      <w:r>
        <w:t xml:space="preserve">Appendix B:</w:t>
      </w:r>
      <w:r>
        <w:t xml:space="preserve"> </w:t>
      </w:r>
      <w:r>
        <w:rPr>
          <w:u w:val="single"/>
        </w:rPr>
        <w:t xml:space="preserve">Technical Specifications</w:t>
      </w:r>
    </w:p>
    <w:p>
      <w:pPr>
        <w:pStyle w:val="FirstParagraph"/>
      </w:pPr>
      <w:r>
        <w:rPr>
          <w:b/>
          <w:bCs/>
        </w:rPr>
        <w:t xml:space="preserve">Infrastructure technical details:</w:t>
      </w:r>
    </w:p>
    <w:p>
      <w:pPr>
        <w:pStyle w:val="Compact"/>
        <w:numPr>
          <w:ilvl w:val="0"/>
          <w:numId w:val="1035"/>
        </w:numPr>
      </w:pPr>
      <w:r>
        <w:rPr>
          <w:b/>
          <w:bCs/>
        </w:rPr>
        <w:t xml:space="preserve">Encryption Standards:</w:t>
      </w:r>
      <w:r>
        <w:t xml:space="preserve"> </w:t>
      </w:r>
      <w:r>
        <w:t xml:space="preserve">AES-256 for data at rest, TLS 1.3 for data in transit</w:t>
      </w:r>
    </w:p>
    <w:p>
      <w:pPr>
        <w:pStyle w:val="Compact"/>
        <w:numPr>
          <w:ilvl w:val="0"/>
          <w:numId w:val="1035"/>
        </w:numPr>
      </w:pPr>
      <w:r>
        <w:rPr>
          <w:b/>
          <w:bCs/>
        </w:rPr>
        <w:t xml:space="preserve">Authentication:</w:t>
      </w:r>
      <w:r>
        <w:t xml:space="preserve"> </w:t>
      </w:r>
      <w:r>
        <w:t xml:space="preserve">Multi-factor authentication, SAML 2.0 integration</w:t>
      </w:r>
    </w:p>
    <w:p>
      <w:pPr>
        <w:pStyle w:val="Compact"/>
        <w:numPr>
          <w:ilvl w:val="0"/>
          <w:numId w:val="1035"/>
        </w:numPr>
      </w:pPr>
      <w:r>
        <w:rPr>
          <w:b/>
          <w:bCs/>
        </w:rPr>
        <w:t xml:space="preserve">Database Systems:</w:t>
      </w:r>
      <w:r>
        <w:t xml:space="preserve"> </w:t>
      </w:r>
      <w:r>
        <w:t xml:space="preserve">PostgreSQL, MongoDB for varied data types</w:t>
      </w:r>
    </w:p>
    <w:p>
      <w:pPr>
        <w:pStyle w:val="Compact"/>
        <w:numPr>
          <w:ilvl w:val="0"/>
          <w:numId w:val="1035"/>
        </w:numPr>
      </w:pPr>
      <w:r>
        <w:rPr>
          <w:b/>
          <w:bCs/>
        </w:rPr>
        <w:t xml:space="preserve">Backup Frequency:</w:t>
      </w:r>
      <w:r>
        <w:t xml:space="preserve"> </w:t>
      </w:r>
      <w:r>
        <w:t xml:space="preserve">Daily incremental, weekly full backups</w:t>
      </w:r>
    </w:p>
    <w:p>
      <w:pPr>
        <w:pStyle w:val="Compact"/>
        <w:numPr>
          <w:ilvl w:val="0"/>
          <w:numId w:val="1035"/>
        </w:numPr>
      </w:pPr>
      <w:r>
        <w:rPr>
          <w:b/>
          <w:bCs/>
        </w:rPr>
        <w:t xml:space="preserve">Monitoring Tools:</w:t>
      </w:r>
      <w:r>
        <w:t xml:space="preserve"> </w:t>
      </w:r>
      <w:r>
        <w:t xml:space="preserve">24/7 SOC with SIEM integration</w:t>
      </w:r>
    </w:p>
    <w:p>
      <w:pPr>
        <w:pStyle w:val="Compact"/>
        <w:numPr>
          <w:ilvl w:val="0"/>
          <w:numId w:val="1035"/>
        </w:numPr>
      </w:pPr>
      <w:r>
        <w:rPr>
          <w:b/>
          <w:bCs/>
        </w:rPr>
        <w:t xml:space="preserve">Compliance Reporting:</w:t>
      </w:r>
      <w:r>
        <w:t xml:space="preserve"> </w:t>
      </w:r>
      <w:r>
        <w:t xml:space="preserve">Automated compliance dashboards and alerts</w:t>
      </w:r>
    </w:p>
    <w:bookmarkEnd w:id="71"/>
    <w:bookmarkStart w:id="72" w:name="X7280a2517f29ab746e43707d5eb9f41fe6c47cc"/>
    <w:p>
      <w:pPr>
        <w:pStyle w:val="Heading3"/>
      </w:pPr>
      <w:r>
        <w:t xml:space="preserve">Appendix C:</w:t>
      </w:r>
      <w:r>
        <w:t xml:space="preserve"> </w:t>
      </w:r>
      <w:r>
        <w:rPr>
          <w:u w:val="single"/>
        </w:rPr>
        <w:t xml:space="preserve">Contact Information and Escalation Procedures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Contact</w:t>
            </w:r>
          </w:p>
        </w:tc>
        <w:tc>
          <w:tcPr/>
          <w:p>
            <w:pPr>
              <w:pStyle w:val="Compact"/>
            </w:pPr>
            <w:r>
              <w:t xml:space="preserve">Escalation Level</w:t>
            </w:r>
          </w:p>
        </w:tc>
      </w:tr>
      <w:tr>
        <w:tc>
          <w:tcPr/>
          <w:p>
            <w:pPr>
              <w:pStyle w:val="Compact"/>
            </w:pPr>
            <w:r>
              <w:t xml:space="preserve">DMAC Co-PI (UCT)</w:t>
            </w:r>
          </w:p>
        </w:tc>
        <w:tc>
          <w:tcPr/>
          <w:p>
            <w:pPr>
              <w:pStyle w:val="Compact"/>
            </w:pPr>
            <w:r>
              <w:t xml:space="preserve">Christopher Jack</w:t>
            </w:r>
          </w:p>
        </w:tc>
        <w:tc>
          <w:tcPr/>
          <w:p>
            <w:pPr>
              <w:pStyle w:val="Compact"/>
            </w:pPr>
            <w:r>
              <w:t xml:space="preserve">Primary</w:t>
            </w:r>
          </w:p>
        </w:tc>
      </w:tr>
      <w:tr>
        <w:tc>
          <w:tcPr/>
          <w:p>
            <w:pPr>
              <w:pStyle w:val="Compact"/>
            </w:pPr>
            <w:r>
              <w:t xml:space="preserve">DMAC Co-PI (IBM)</w:t>
            </w:r>
          </w:p>
        </w:tc>
        <w:tc>
          <w:tcPr/>
          <w:p>
            <w:pPr>
              <w:pStyle w:val="Compact"/>
            </w:pPr>
            <w:r>
              <w:t xml:space="preserve">Sibusisiwe Makhanya</w:t>
            </w:r>
          </w:p>
        </w:tc>
        <w:tc>
          <w:tcPr/>
          <w:p>
            <w:pPr>
              <w:pStyle w:val="Compact"/>
            </w:pPr>
            <w:r>
              <w:t xml:space="preserve">Primary</w:t>
            </w:r>
          </w:p>
        </w:tc>
      </w:tr>
      <w:tr>
        <w:tc>
          <w:tcPr/>
          <w:p>
            <w:pPr>
              <w:pStyle w:val="Compact"/>
            </w:pPr>
            <w:r>
              <w:t xml:space="preserve">Health Data Lead (Wits PHR)</w:t>
            </w:r>
          </w:p>
        </w:tc>
        <w:tc>
          <w:tcPr/>
          <w:p>
            <w:pPr>
              <w:pStyle w:val="Compact"/>
            </w:pPr>
            <w:r>
              <w:t xml:space="preserve">Craig Parker</w:t>
            </w:r>
          </w:p>
        </w:tc>
        <w:tc>
          <w:tcPr/>
          <w:p>
            <w:pPr>
              <w:pStyle w:val="Compact"/>
            </w:pPr>
            <w:r>
              <w:t xml:space="preserve">Secondary</w:t>
            </w:r>
          </w:p>
        </w:tc>
      </w:tr>
      <w:tr>
        <w:tc>
          <w:tcPr/>
          <w:p>
            <w:pPr>
              <w:pStyle w:val="Compact"/>
            </w:pPr>
            <w:r>
              <w:t xml:space="preserve">WHC Compliance Officer</w:t>
            </w:r>
          </w:p>
        </w:tc>
        <w:tc>
          <w:tcPr/>
          <w:p>
            <w:pPr>
              <w:pStyle w:val="Compact"/>
            </w:pPr>
            <w:r>
              <w:t xml:space="preserve">[To be assigned]</w:t>
            </w:r>
          </w:p>
        </w:tc>
        <w:tc>
          <w:tcPr/>
          <w:p>
            <w:pPr>
              <w:pStyle w:val="Compact"/>
            </w:pPr>
            <w:r>
              <w:t xml:space="preserve">Legal/Compliance</w:t>
            </w:r>
          </w:p>
        </w:tc>
      </w:tr>
      <w:tr>
        <w:tc>
          <w:tcPr/>
          <w:p>
            <w:pPr>
              <w:pStyle w:val="Compact"/>
            </w:pPr>
            <w:r>
              <w:t xml:space="preserve">24/7 SOC Support</w:t>
            </w:r>
          </w:p>
        </w:tc>
        <w:tc>
          <w:tcPr/>
          <w:p>
            <w:pPr>
              <w:pStyle w:val="Compact"/>
            </w:pPr>
            <w:r>
              <w:t xml:space="preserve">[Emergency contact]</w:t>
            </w:r>
          </w:p>
        </w:tc>
        <w:tc>
          <w:tcPr/>
          <w:p>
            <w:pPr>
              <w:pStyle w:val="Compact"/>
            </w:pPr>
            <w:r>
              <w:t xml:space="preserve">Technical Emergency</w:t>
            </w:r>
          </w:p>
        </w:tc>
      </w:tr>
    </w:tbl>
    <w:bookmarkEnd w:id="72"/>
    <w:bookmarkStart w:id="73" w:name="X731aaf56dc04a8b87219e83e94abcc264227bc2"/>
    <w:p>
      <w:pPr>
        <w:pStyle w:val="Heading3"/>
      </w:pPr>
      <w:r>
        <w:t xml:space="preserve">Appendix D:</w:t>
      </w:r>
      <w:r>
        <w:t xml:space="preserve"> </w:t>
      </w:r>
      <w:r>
        <w:rPr>
          <w:u w:val="single"/>
        </w:rPr>
        <w:t xml:space="preserve">Data Transfer Agreement Template</w:t>
      </w:r>
    </w:p>
    <w:p>
      <w:pPr>
        <w:pStyle w:val="FirstParagraph"/>
      </w:pPr>
      <w:r>
        <w:rPr>
          <w:b/>
          <w:bCs/>
        </w:rPr>
        <w:t xml:space="preserve">Standard DTA components:</w:t>
      </w:r>
    </w:p>
    <w:p>
      <w:pPr>
        <w:pStyle w:val="Compact"/>
        <w:numPr>
          <w:ilvl w:val="0"/>
          <w:numId w:val="1036"/>
        </w:numPr>
      </w:pPr>
      <w:r>
        <w:t xml:space="preserve">Purpose and scope of data use</w:t>
      </w:r>
    </w:p>
    <w:p>
      <w:pPr>
        <w:pStyle w:val="Compact"/>
        <w:numPr>
          <w:ilvl w:val="0"/>
          <w:numId w:val="1036"/>
        </w:numPr>
      </w:pPr>
      <w:r>
        <w:t xml:space="preserve">Data recipient responsibilities</w:t>
      </w:r>
    </w:p>
    <w:p>
      <w:pPr>
        <w:pStyle w:val="Compact"/>
        <w:numPr>
          <w:ilvl w:val="0"/>
          <w:numId w:val="1036"/>
        </w:numPr>
      </w:pPr>
      <w:r>
        <w:t xml:space="preserve">Security and confidentiality requirements</w:t>
      </w:r>
    </w:p>
    <w:p>
      <w:pPr>
        <w:pStyle w:val="Compact"/>
        <w:numPr>
          <w:ilvl w:val="0"/>
          <w:numId w:val="1036"/>
        </w:numPr>
      </w:pPr>
      <w:r>
        <w:t xml:space="preserve">Data retention and disposal procedures</w:t>
      </w:r>
    </w:p>
    <w:p>
      <w:pPr>
        <w:pStyle w:val="Compact"/>
        <w:numPr>
          <w:ilvl w:val="0"/>
          <w:numId w:val="1036"/>
        </w:numPr>
      </w:pPr>
      <w:r>
        <w:t xml:space="preserve">Compliance monitoring and reporting</w:t>
      </w:r>
    </w:p>
    <w:p>
      <w:pPr>
        <w:pStyle w:val="Compact"/>
        <w:numPr>
          <w:ilvl w:val="0"/>
          <w:numId w:val="1036"/>
        </w:numPr>
      </w:pPr>
      <w:r>
        <w:t xml:space="preserve">Termination and data return procedures</w:t>
      </w:r>
    </w:p>
    <w:bookmarkEnd w:id="73"/>
    <w:bookmarkEnd w:id="74"/>
    <w:bookmarkStart w:id="75" w:name="document-approval"/>
    <w:p>
      <w:pPr>
        <w:pStyle w:val="Heading2"/>
      </w:pPr>
      <w:r>
        <w:t xml:space="preserve">Document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DMAC Co-PI (UCT)</w:t>
            </w:r>
          </w:p>
        </w:tc>
        <w:tc>
          <w:tcPr/>
          <w:p>
            <w:pPr>
              <w:pStyle w:val="Compact"/>
            </w:pPr>
            <w:r>
              <w:rPr>
                <w:u w:val="single"/>
              </w:rPr>
              <w:t xml:space="preserve">Christopher Jack</w:t>
            </w:r>
          </w:p>
        </w:tc>
        <w:tc>
          <w:tcPr/>
          <w:p>
            <w:pPr>
              <w:pStyle w:val="Compact"/>
            </w:pPr>
            <w:r>
              <w:t xml:space="preserve">_________________</w:t>
            </w:r>
          </w:p>
        </w:tc>
        <w:tc>
          <w:tcPr/>
          <w:p>
            <w:pPr>
              <w:pStyle w:val="Compact"/>
            </w:pPr>
            <w:r>
              <w:rPr>
                <w:u w:val="single"/>
              </w:rPr>
              <w:t xml:space="preserve">15 August 2024</w:t>
            </w:r>
          </w:p>
        </w:tc>
      </w:tr>
      <w:tr>
        <w:tc>
          <w:tcPr/>
          <w:p>
            <w:pPr>
              <w:pStyle w:val="Compact"/>
            </w:pPr>
            <w:r>
              <w:t xml:space="preserve">DMAC Co-PI (IBM)</w:t>
            </w:r>
          </w:p>
        </w:tc>
        <w:tc>
          <w:tcPr/>
          <w:p>
            <w:pPr>
              <w:pStyle w:val="Compact"/>
            </w:pPr>
            <w:r>
              <w:rPr>
                <w:u w:val="single"/>
              </w:rPr>
              <w:t xml:space="preserve">Sibusisiwe Makhanya</w:t>
            </w:r>
          </w:p>
        </w:tc>
        <w:tc>
          <w:tcPr/>
          <w:p>
            <w:pPr>
              <w:pStyle w:val="Compact"/>
            </w:pPr>
            <w:r>
              <w:t xml:space="preserve">_________________</w:t>
            </w:r>
          </w:p>
        </w:tc>
        <w:tc>
          <w:tcPr/>
          <w:p>
            <w:pPr>
              <w:pStyle w:val="Compact"/>
            </w:pPr>
            <w:r>
              <w:rPr>
                <w:u w:val="single"/>
              </w:rPr>
              <w:t xml:space="preserve">15 August 2024</w:t>
            </w:r>
          </w:p>
        </w:tc>
      </w:tr>
      <w:tr>
        <w:tc>
          <w:tcPr/>
          <w:p>
            <w:pPr>
              <w:pStyle w:val="Compact"/>
            </w:pPr>
            <w:r>
              <w:rPr>
                <w:u w:val="single"/>
              </w:rPr>
              <w:t xml:space="preserve">WHC Representative</w:t>
            </w:r>
          </w:p>
        </w:tc>
        <w:tc>
          <w:tcPr/>
          <w:p>
            <w:pPr>
              <w:pStyle w:val="Compact"/>
            </w:pPr>
            <w:r>
              <w:rPr>
                <w:u w:val="single"/>
              </w:rPr>
              <w:t xml:space="preserve">[To be assigned]</w:t>
            </w:r>
          </w:p>
        </w:tc>
        <w:tc>
          <w:tcPr/>
          <w:p>
            <w:pPr>
              <w:pStyle w:val="Compact"/>
            </w:pPr>
            <w:r>
              <w:t xml:space="preserve">_________________</w:t>
            </w:r>
          </w:p>
        </w:tc>
        <w:tc>
          <w:tcPr/>
          <w:p>
            <w:pPr>
              <w:pStyle w:val="Compact"/>
            </w:pPr>
            <w:r>
              <w:rPr>
                <w:u w:val="single"/>
              </w:rPr>
              <w:t xml:space="preserve">15 August 2024</w:t>
            </w:r>
          </w:p>
        </w:tc>
      </w:tr>
    </w:tbl>
    <w:bookmarkEnd w:id="75"/>
    <w:p>
      <w:pPr>
        <w:pStyle w:val="BodyText"/>
      </w:pPr>
      <w:r>
        <w:rPr>
          <w:b/>
          <w:bCs/>
        </w:rPr>
        <w:t xml:space="preserve">Document Control:</w:t>
      </w:r>
    </w:p>
    <w:p>
      <w:pPr>
        <w:pStyle w:val="Compact"/>
        <w:numPr>
          <w:ilvl w:val="0"/>
          <w:numId w:val="1037"/>
        </w:numPr>
      </w:pPr>
      <w:r>
        <w:rPr>
          <w:b/>
          <w:bCs/>
        </w:rPr>
        <w:t xml:space="preserve">Next Review Date:</w:t>
      </w:r>
      <w:r>
        <w:t xml:space="preserve"> </w:t>
      </w:r>
      <w:r>
        <w:t xml:space="preserve">February 2025</w:t>
      </w:r>
    </w:p>
    <w:p>
      <w:pPr>
        <w:pStyle w:val="Compact"/>
        <w:numPr>
          <w:ilvl w:val="0"/>
          <w:numId w:val="1037"/>
        </w:numPr>
      </w:pPr>
      <w:r>
        <w:rPr>
          <w:b/>
          <w:bCs/>
        </w:rPr>
        <w:t xml:space="preserve">Review Frequency:</w:t>
      </w:r>
      <w:r>
        <w:t xml:space="preserve"> </w:t>
      </w:r>
      <w:r>
        <w:t xml:space="preserve">Quarterly during migration, bi-annually thereafter</w:t>
      </w:r>
    </w:p>
    <w:p>
      <w:pPr>
        <w:pStyle w:val="Compact"/>
        <w:numPr>
          <w:ilvl w:val="0"/>
          <w:numId w:val="1037"/>
        </w:numPr>
      </w:pPr>
      <w:r>
        <w:rPr>
          <w:b/>
          <w:bCs/>
        </w:rPr>
        <w:t xml:space="preserve">Distribution:</w:t>
      </w:r>
      <w:r>
        <w:t xml:space="preserve"> </w:t>
      </w:r>
      <w:r>
        <w:t xml:space="preserve">DMAC team, Ethics Committees, WHC Leadership, NIH Program Officers</w:t>
      </w:r>
    </w:p>
    <w:p>
      <w:pPr>
        <w:pStyle w:val="Compact"/>
        <w:numPr>
          <w:ilvl w:val="0"/>
          <w:numId w:val="1037"/>
        </w:numPr>
      </w:pPr>
      <w:r>
        <w:rPr>
          <w:b/>
          <w:bCs/>
        </w:rPr>
        <w:t xml:space="preserve">Version Control:</w:t>
      </w:r>
      <w:r>
        <w:t xml:space="preserve"> </w:t>
      </w:r>
      <w:r>
        <w:t xml:space="preserve">Maintained in institutional repositories with audit trail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HE²AT Center Data Management Plan Version 2.0 - Complete Track Changes</dc:title>
  <dc:creator/>
  <cp:keywords/>
  <dcterms:created xsi:type="dcterms:W3CDTF">2025-09-29T15:04:02Z</dcterms:created>
  <dcterms:modified xsi:type="dcterms:W3CDTF">2025-09-29T15:04:02Z</dcterms:modified>
</cp:coreProperties>
</file>

<file path=docProps/custom.xml><?xml version="1.0" encoding="utf-8"?>
<Properties xmlns="http://schemas.openxmlformats.org/officeDocument/2006/custom-properties" xmlns:vt="http://schemas.openxmlformats.org/officeDocument/2006/docPropsVTypes"/>
</file>