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Attention# HE²AT Center Data Management Plan v2.2 - Cloud Migration Changes Summary</w:t>
      </w:r>
    </w:p>
    <w:bookmarkStart w:id="9" w:name="document-overview"/>
    <w:p>
      <w:pPr>
        <w:pStyle w:val="Heading2"/>
      </w:pPr>
      <w:r>
        <w:t xml:space="preserve">Document Overview</w:t>
      </w:r>
    </w:p>
    <w:p>
      <w:pPr>
        <w:pStyle w:val="Compact"/>
        <w:numPr>
          <w:ilvl w:val="0"/>
          <w:numId w:val="1001"/>
        </w:numPr>
      </w:pPr>
      <w:r>
        <w:rPr>
          <w:b/>
          <w:bCs/>
        </w:rPr>
        <w:t xml:space="preserve">Document</w:t>
      </w:r>
      <w:r>
        <w:t xml:space="preserve">: NIH HE²AT Center Data Management Plan</w:t>
      </w:r>
    </w:p>
    <w:p>
      <w:pPr>
        <w:pStyle w:val="Compact"/>
        <w:numPr>
          <w:ilvl w:val="0"/>
          <w:numId w:val="1001"/>
        </w:numPr>
      </w:pPr>
      <w:r>
        <w:rPr>
          <w:b/>
          <w:bCs/>
        </w:rPr>
        <w:t xml:space="preserve">Version</w:t>
      </w:r>
      <w:r>
        <w:t xml:space="preserve">: 2.2 (Cloud Migration Update)</w:t>
      </w:r>
    </w:p>
    <w:p>
      <w:pPr>
        <w:pStyle w:val="Compact"/>
        <w:numPr>
          <w:ilvl w:val="0"/>
          <w:numId w:val="1001"/>
        </w:numPr>
      </w:pPr>
      <w:r>
        <w:rPr>
          <w:b/>
          <w:bCs/>
        </w:rPr>
        <w:t xml:space="preserve">Previous Version</w:t>
      </w:r>
      <w:r>
        <w:t xml:space="preserve">: 2.1 (September 2024)</w:t>
      </w:r>
    </w:p>
    <w:p>
      <w:pPr>
        <w:pStyle w:val="Compact"/>
        <w:numPr>
          <w:ilvl w:val="0"/>
          <w:numId w:val="1001"/>
        </w:numPr>
      </w:pPr>
      <w:r>
        <w:rPr>
          <w:b/>
          <w:bCs/>
        </w:rPr>
        <w:t xml:space="preserve">Update Date</w:t>
      </w:r>
      <w:r>
        <w:t xml:space="preserve">: August 2025</w:t>
      </w:r>
    </w:p>
    <w:p>
      <w:pPr>
        <w:pStyle w:val="Compact"/>
        <w:numPr>
          <w:ilvl w:val="0"/>
          <w:numId w:val="1001"/>
        </w:numPr>
      </w:pPr>
      <w:r>
        <w:rPr>
          <w:b/>
          <w:bCs/>
        </w:rPr>
        <w:t xml:space="preserve">Primary Change</w:t>
      </w:r>
      <w:r>
        <w:t xml:space="preserve">: Migration from UCT on-premise servers to WHC-managed cloud infrastructure</w:t>
      </w:r>
    </w:p>
    <w:p>
      <w:pPr>
        <w:pStyle w:val="Compact"/>
        <w:numPr>
          <w:ilvl w:val="0"/>
          <w:numId w:val="1001"/>
        </w:numPr>
      </w:pPr>
      <w:r>
        <w:rPr>
          <w:b/>
          <w:bCs/>
        </w:rPr>
        <w:t xml:space="preserve">Ethics Review Status</w:t>
      </w:r>
      <w:r>
        <w:t xml:space="preserve">: Submitted to Wits HREC for review and approval</w:t>
      </w:r>
    </w:p>
    <w:p>
      <w:pPr>
        <w:pStyle w:val="Compact"/>
        <w:numPr>
          <w:ilvl w:val="0"/>
          <w:numId w:val="1001"/>
        </w:numPr>
      </w:pPr>
      <w:r>
        <w:rPr>
          <w:b/>
          <w:bCs/>
        </w:rPr>
        <w:t xml:space="preserve">HREC Reference Numbers</w:t>
      </w:r>
      <w:r>
        <w:t xml:space="preserve">: RP1 (220605), RP2 (220606)</w:t>
      </w:r>
    </w:p>
    <w:bookmarkEnd w:id="9"/>
    <w:bookmarkStart w:id="10" w:name="summary-of-changes-table"/>
    <w:p>
      <w:pPr>
        <w:pStyle w:val="Heading2"/>
      </w:pPr>
      <w:r>
        <w:t xml:space="preserve">Summary of Changes Table</w:t>
      </w:r>
    </w:p>
    <w:tbl>
      <w:tblPr>
        <w:tblStyle w:val="Table"/>
        <w:tblW w:type="pct" w:w="5000"/>
        <w:tblLayout w:type="fixed"/>
        <w:tblLook w:firstRow="1" w:lastRow="0" w:firstColumn="0" w:lastColumn="0" w:noHBand="0" w:noVBand="0" w:val="0020"/>
      </w:tblPr>
      <w:tblGrid>
        <w:gridCol w:w="1272"/>
        <w:gridCol w:w="1838"/>
        <w:gridCol w:w="2262"/>
        <w:gridCol w:w="2545"/>
      </w:tblGrid>
      <w:tr>
        <w:trPr>
          <w:tblHeader w:val="on"/>
        </w:trPr>
        <w:tc>
          <w:tcPr/>
          <w:p>
            <w:pPr>
              <w:pStyle w:val="Compact"/>
            </w:pPr>
            <w:r>
              <w:t xml:space="preserve">Section</w:t>
            </w:r>
          </w:p>
        </w:tc>
        <w:tc>
          <w:tcPr/>
          <w:p>
            <w:pPr>
              <w:pStyle w:val="Compact"/>
            </w:pPr>
            <w:r>
              <w:t xml:space="preserve">Change Type</w:t>
            </w:r>
          </w:p>
        </w:tc>
        <w:tc>
          <w:tcPr/>
          <w:p>
            <w:pPr>
              <w:pStyle w:val="Compact"/>
            </w:pPr>
            <w:r>
              <w:t xml:space="preserve">Specific Change</w:t>
            </w:r>
          </w:p>
        </w:tc>
        <w:tc>
          <w:tcPr/>
          <w:p>
            <w:pPr>
              <w:pStyle w:val="Compact"/>
            </w:pPr>
            <w:r>
              <w:t xml:space="preserve">Ethics Relevance</w:t>
            </w:r>
          </w:p>
        </w:tc>
      </w:tr>
      <w:tr>
        <w:tc>
          <w:tcPr/>
          <w:p>
            <w:pPr>
              <w:pStyle w:val="Compact"/>
            </w:pPr>
            <w:r>
              <w:rPr>
                <w:b/>
                <w:bCs/>
              </w:rPr>
              <w:t xml:space="preserve">4.1.2 Original Study Data Storage</w:t>
            </w:r>
          </w:p>
        </w:tc>
        <w:tc>
          <w:tcPr/>
          <w:p>
            <w:pPr>
              <w:pStyle w:val="Compact"/>
            </w:pPr>
            <w:r>
              <w:t xml:space="preserve">Enhancement</w:t>
            </w:r>
          </w:p>
        </w:tc>
        <w:tc>
          <w:tcPr/>
          <w:p>
            <w:pPr>
              <w:pStyle w:val="Compact"/>
            </w:pPr>
            <w:r>
              <w:t xml:space="preserve">Added WHC-managed cloud infrastructure with AES-256 encryption alongside UCT servers</w:t>
            </w:r>
          </w:p>
        </w:tc>
        <w:tc>
          <w:tcPr/>
          <w:p>
            <w:pPr>
              <w:pStyle w:val="Compact"/>
            </w:pPr>
            <w:r>
              <w:t xml:space="preserve">Enhanced data security and POPIA compliance</w:t>
            </w:r>
          </w:p>
        </w:tc>
      </w:tr>
      <w:tr>
        <w:tc>
          <w:tcPr/>
          <w:p>
            <w:pPr>
              <w:pStyle w:val="Compact"/>
            </w:pPr>
            <w:r>
              <w:rPr>
                <w:b/>
                <w:bCs/>
              </w:rPr>
              <w:t xml:space="preserve">4.2 Climate Data Storage</w:t>
            </w:r>
          </w:p>
        </w:tc>
        <w:tc>
          <w:tcPr/>
          <w:p>
            <w:pPr>
              <w:pStyle w:val="Compact"/>
            </w:pPr>
            <w:r>
              <w:t xml:space="preserve">Addition</w:t>
            </w:r>
          </w:p>
        </w:tc>
        <w:tc>
          <w:tcPr/>
          <w:p>
            <w:pPr>
              <w:pStyle w:val="Compact"/>
            </w:pPr>
            <w:r>
              <w:t xml:space="preserve">WHC-managed cloud services with auto-scaling capabilities</w:t>
            </w:r>
          </w:p>
        </w:tc>
        <w:tc>
          <w:tcPr/>
          <w:p>
            <w:pPr>
              <w:pStyle w:val="Compact"/>
            </w:pPr>
            <w:r>
              <w:t xml:space="preserve">Improved data accessibility for researchers</w:t>
            </w:r>
          </w:p>
        </w:tc>
      </w:tr>
      <w:tr>
        <w:tc>
          <w:tcPr/>
          <w:p>
            <w:pPr>
              <w:pStyle w:val="Compact"/>
            </w:pPr>
            <w:r>
              <w:rPr>
                <w:b/>
                <w:bCs/>
              </w:rPr>
              <w:t xml:space="preserve">6.1 Data Pre-processing Infrastructure</w:t>
            </w:r>
          </w:p>
        </w:tc>
        <w:tc>
          <w:tcPr/>
          <w:p>
            <w:pPr>
              <w:pStyle w:val="Compact"/>
            </w:pPr>
            <w:r>
              <w:t xml:space="preserve">Enhancement</w:t>
            </w:r>
          </w:p>
        </w:tc>
        <w:tc>
          <w:tcPr/>
          <w:p>
            <w:pPr>
              <w:pStyle w:val="Compact"/>
            </w:pPr>
            <w:r>
              <w:t xml:space="preserve">WHC-managed cloud infrastructure with enhanced security and automated backup systems</w:t>
            </w:r>
          </w:p>
        </w:tc>
        <w:tc>
          <w:tcPr/>
          <w:p>
            <w:pPr>
              <w:pStyle w:val="Compact"/>
            </w:pPr>
            <w:r>
              <w:t xml:space="preserve">Strengthened data protection measures</w:t>
            </w:r>
          </w:p>
        </w:tc>
      </w:tr>
      <w:tr>
        <w:tc>
          <w:tcPr/>
          <w:p>
            <w:pPr>
              <w:pStyle w:val="Compact"/>
            </w:pPr>
            <w:r>
              <w:rPr>
                <w:b/>
                <w:bCs/>
              </w:rPr>
              <w:t xml:space="preserve">6.4 Database Population</w:t>
            </w:r>
          </w:p>
        </w:tc>
        <w:tc>
          <w:tcPr/>
          <w:p>
            <w:pPr>
              <w:pStyle w:val="Compact"/>
            </w:pPr>
            <w:r>
              <w:t xml:space="preserve">Enhancement</w:t>
            </w:r>
          </w:p>
        </w:tc>
        <w:tc>
          <w:tcPr/>
          <w:p>
            <w:pPr>
              <w:pStyle w:val="Compact"/>
            </w:pPr>
            <w:r>
              <w:t xml:space="preserve">Cloud-native database services with automated backup and enhanced data integrity</w:t>
            </w:r>
          </w:p>
        </w:tc>
        <w:tc>
          <w:tcPr/>
          <w:p>
            <w:pPr>
              <w:pStyle w:val="Compact"/>
            </w:pPr>
            <w:r>
              <w:t xml:space="preserve">Improved data reliability and disaster recovery</w:t>
            </w:r>
          </w:p>
        </w:tc>
      </w:tr>
      <w:tr>
        <w:tc>
          <w:tcPr/>
          <w:p>
            <w:pPr>
              <w:pStyle w:val="Compact"/>
            </w:pPr>
            <w:r>
              <w:rPr>
                <w:b/>
                <w:bCs/>
              </w:rPr>
              <w:t xml:space="preserve">8 Data Analysis Platform</w:t>
            </w:r>
          </w:p>
        </w:tc>
        <w:tc>
          <w:tcPr/>
          <w:p>
            <w:pPr>
              <w:pStyle w:val="Compact"/>
            </w:pPr>
            <w:r>
              <w:t xml:space="preserve">Addition</w:t>
            </w:r>
          </w:p>
        </w:tc>
        <w:tc>
          <w:tcPr/>
          <w:p>
            <w:pPr>
              <w:pStyle w:val="Compact"/>
            </w:pPr>
            <w:r>
              <w:t xml:space="preserve">Cloud-based computational resources with GPU acceleration</w:t>
            </w:r>
          </w:p>
        </w:tc>
        <w:tc>
          <w:tcPr/>
          <w:p>
            <w:pPr>
              <w:pStyle w:val="Compact"/>
            </w:pPr>
            <w:r>
              <w:t xml:space="preserve">Enhanced analytical capabilities while maintaining security</w:t>
            </w:r>
          </w:p>
        </w:tc>
      </w:tr>
      <w:tr>
        <w:tc>
          <w:tcPr/>
          <w:p>
            <w:pPr>
              <w:pStyle w:val="Compact"/>
            </w:pPr>
            <w:r>
              <w:rPr>
                <w:b/>
                <w:bCs/>
              </w:rPr>
              <w:t xml:space="preserve">14.1 Data Transfer and Storage</w:t>
            </w:r>
          </w:p>
        </w:tc>
        <w:tc>
          <w:tcPr/>
          <w:p>
            <w:pPr>
              <w:pStyle w:val="Compact"/>
            </w:pPr>
            <w:r>
              <w:t xml:space="preserve">Enhancement</w:t>
            </w:r>
          </w:p>
        </w:tc>
        <w:tc>
          <w:tcPr/>
          <w:p>
            <w:pPr>
              <w:pStyle w:val="Compact"/>
            </w:pPr>
            <w:r>
              <w:t xml:space="preserve">AES-256 encryption standard for both UCT servers and cloud storage</w:t>
            </w:r>
          </w:p>
        </w:tc>
        <w:tc>
          <w:tcPr/>
          <w:p>
            <w:pPr>
              <w:pStyle w:val="Compact"/>
            </w:pPr>
            <w:r>
              <w:t xml:space="preserve">Strengthened encryption for participant data protection</w:t>
            </w:r>
          </w:p>
        </w:tc>
      </w:tr>
      <w:tr>
        <w:tc>
          <w:tcPr/>
          <w:p>
            <w:pPr>
              <w:pStyle w:val="Compact"/>
            </w:pPr>
            <w:r>
              <w:rPr>
                <w:b/>
                <w:bCs/>
              </w:rPr>
              <w:t xml:space="preserve">14.2 Network Security</w:t>
            </w:r>
          </w:p>
        </w:tc>
        <w:tc>
          <w:tcPr/>
          <w:p>
            <w:pPr>
              <w:pStyle w:val="Compact"/>
            </w:pPr>
            <w:r>
              <w:t xml:space="preserve">Enhancement</w:t>
            </w:r>
          </w:p>
        </w:tc>
        <w:tc>
          <w:tcPr/>
          <w:p>
            <w:pPr>
              <w:pStyle w:val="Compact"/>
            </w:pPr>
            <w:r>
              <w:t xml:space="preserve">WHC-managed cloud security with 24/7 SOC monitoring and advanced threat detection</w:t>
            </w:r>
          </w:p>
        </w:tc>
        <w:tc>
          <w:tcPr/>
          <w:p>
            <w:pPr>
              <w:pStyle w:val="Compact"/>
            </w:pPr>
            <w:r>
              <w:t xml:space="preserve">Proactive security monitoring and incident response</w:t>
            </w:r>
          </w:p>
        </w:tc>
      </w:tr>
      <w:tr>
        <w:tc>
          <w:tcPr/>
          <w:p>
            <w:pPr>
              <w:pStyle w:val="Compact"/>
            </w:pPr>
            <w:r>
              <w:rPr>
                <w:b/>
                <w:bCs/>
              </w:rPr>
              <w:t xml:space="preserve">14.2 Firewall Protection</w:t>
            </w:r>
          </w:p>
        </w:tc>
        <w:tc>
          <w:tcPr/>
          <w:p>
            <w:pPr>
              <w:pStyle w:val="Compact"/>
            </w:pPr>
            <w:r>
              <w:t xml:space="preserve">Addition</w:t>
            </w:r>
          </w:p>
        </w:tc>
        <w:tc>
          <w:tcPr/>
          <w:p>
            <w:pPr>
              <w:pStyle w:val="Compact"/>
            </w:pPr>
            <w:r>
              <w:t xml:space="preserve">Cloud-native firewall services alongside UCT’s Cisco firewall</w:t>
            </w:r>
          </w:p>
        </w:tc>
        <w:tc>
          <w:tcPr/>
          <w:p>
            <w:pPr>
              <w:pStyle w:val="Compact"/>
            </w:pPr>
            <w:r>
              <w:t xml:space="preserve">Dual-layer security protection</w:t>
            </w:r>
          </w:p>
        </w:tc>
      </w:tr>
      <w:tr>
        <w:tc>
          <w:tcPr/>
          <w:p>
            <w:pPr>
              <w:pStyle w:val="Compact"/>
            </w:pPr>
            <w:r>
              <w:rPr>
                <w:b/>
                <w:bCs/>
              </w:rPr>
              <w:t xml:space="preserve">14.3 Authentication and Authorization</w:t>
            </w:r>
          </w:p>
        </w:tc>
        <w:tc>
          <w:tcPr/>
          <w:p>
            <w:pPr>
              <w:pStyle w:val="Compact"/>
            </w:pPr>
            <w:r>
              <w:t xml:space="preserve">Enhancement</w:t>
            </w:r>
          </w:p>
        </w:tc>
        <w:tc>
          <w:tcPr/>
          <w:p>
            <w:pPr>
              <w:pStyle w:val="Compact"/>
            </w:pPr>
            <w:r>
              <w:t xml:space="preserve">Cloud-specific access controls and automated compliance reporting</w:t>
            </w:r>
          </w:p>
        </w:tc>
        <w:tc>
          <w:tcPr/>
          <w:p>
            <w:pPr>
              <w:pStyle w:val="Compact"/>
            </w:pPr>
            <w:r>
              <w:t xml:space="preserve">Improved access control and audit capabilities</w:t>
            </w:r>
          </w:p>
        </w:tc>
      </w:tr>
      <w:tr>
        <w:tc>
          <w:tcPr/>
          <w:p>
            <w:pPr>
              <w:pStyle w:val="Compact"/>
            </w:pPr>
            <w:r>
              <w:rPr>
                <w:b/>
                <w:bCs/>
              </w:rPr>
              <w:t xml:space="preserve">17 Cloud Migration Implementation</w:t>
            </w:r>
          </w:p>
        </w:tc>
        <w:tc>
          <w:tcPr/>
          <w:p>
            <w:pPr>
              <w:pStyle w:val="Compact"/>
            </w:pPr>
            <w:r>
              <w:t xml:space="preserve">New Section</w:t>
            </w:r>
          </w:p>
        </w:tc>
        <w:tc>
          <w:tcPr/>
          <w:p>
            <w:pPr>
              <w:pStyle w:val="Compact"/>
            </w:pPr>
            <w:r>
              <w:t xml:space="preserve">Complete 5-phase cloud migration strategy with risk mitigation</w:t>
            </w:r>
          </w:p>
        </w:tc>
        <w:tc>
          <w:tcPr/>
          <w:p>
            <w:pPr>
              <w:pStyle w:val="Compact"/>
            </w:pPr>
            <w:r>
              <w:t xml:space="preserve">Systematic approach ensuring ethical compliance throughout migration</w:t>
            </w:r>
          </w:p>
        </w:tc>
      </w:tr>
    </w:tbl>
    <w:bookmarkEnd w:id="10"/>
    <w:bookmarkStart w:id="11" w:name="key-infrastructure-changes"/>
    <w:p>
      <w:pPr>
        <w:pStyle w:val="Heading2"/>
      </w:pPr>
      <w:r>
        <w:t xml:space="preserve">Key Infrastructure Changes</w:t>
      </w:r>
    </w:p>
    <w:tbl>
      <w:tblPr>
        <w:tblStyle w:val="Table"/>
        <w:tblW w:type="pct" w:w="5000"/>
        <w:tblLayout w:type="fixed"/>
        <w:tblLook w:firstRow="1" w:lastRow="0" w:firstColumn="0" w:lastColumn="0" w:noHBand="0" w:noVBand="0" w:val="0020"/>
      </w:tblPr>
      <w:tblGrid>
        <w:gridCol w:w="1382"/>
        <w:gridCol w:w="2765"/>
        <w:gridCol w:w="2640"/>
        <w:gridCol w:w="1131"/>
      </w:tblGrid>
      <w:tr>
        <w:trPr>
          <w:tblHeader w:val="on"/>
        </w:trPr>
        <w:tc>
          <w:tcPr/>
          <w:p>
            <w:pPr>
              <w:pStyle w:val="Compact"/>
            </w:pPr>
            <w:r>
              <w:t xml:space="preserve">Component</w:t>
            </w:r>
          </w:p>
        </w:tc>
        <w:tc>
          <w:tcPr/>
          <w:p>
            <w:pPr>
              <w:pStyle w:val="Compact"/>
            </w:pPr>
            <w:r>
              <w:t xml:space="preserve">Version 2.1 (Before)</w:t>
            </w:r>
          </w:p>
        </w:tc>
        <w:tc>
          <w:tcPr/>
          <w:p>
            <w:pPr>
              <w:pStyle w:val="Compact"/>
            </w:pPr>
            <w:r>
              <w:t xml:space="preserve">Version 2.2 (After)</w:t>
            </w:r>
          </w:p>
        </w:tc>
        <w:tc>
          <w:tcPr/>
          <w:p>
            <w:pPr>
              <w:pStyle w:val="Compact"/>
            </w:pPr>
            <w:r>
              <w:t xml:space="preserve">Impact</w:t>
            </w:r>
          </w:p>
        </w:tc>
      </w:tr>
      <w:tr>
        <w:tc>
          <w:tcPr/>
          <w:p>
            <w:pPr>
              <w:pStyle w:val="Compact"/>
            </w:pPr>
            <w:r>
              <w:rPr>
                <w:b/>
                <w:bCs/>
              </w:rPr>
              <w:t xml:space="preserve">Primary Storage</w:t>
            </w:r>
          </w:p>
        </w:tc>
        <w:tc>
          <w:tcPr/>
          <w:p>
            <w:pPr>
              <w:pStyle w:val="Compact"/>
            </w:pPr>
            <w:r>
              <w:t xml:space="preserve">UCT on-premise servers</w:t>
            </w:r>
          </w:p>
        </w:tc>
        <w:tc>
          <w:tcPr/>
          <w:p>
            <w:pPr>
              <w:pStyle w:val="Compact"/>
            </w:pPr>
            <w:r>
              <w:t xml:space="preserve">WHC-managed cloud + UCT (dual capability)</w:t>
            </w:r>
          </w:p>
        </w:tc>
        <w:tc>
          <w:tcPr/>
          <w:p>
            <w:pPr>
              <w:pStyle w:val="Compact"/>
            </w:pPr>
            <w:r>
              <w:t xml:space="preserve">Improved scalability and reliability</w:t>
            </w:r>
          </w:p>
        </w:tc>
      </w:tr>
      <w:tr>
        <w:tc>
          <w:tcPr/>
          <w:p>
            <w:pPr>
              <w:pStyle w:val="Compact"/>
            </w:pPr>
            <w:r>
              <w:rPr>
                <w:b/>
                <w:bCs/>
              </w:rPr>
              <w:t xml:space="preserve">Data Access</w:t>
            </w:r>
          </w:p>
        </w:tc>
        <w:tc>
          <w:tcPr/>
          <w:p>
            <w:pPr>
              <w:pStyle w:val="Compact"/>
            </w:pPr>
            <w:r>
              <w:t xml:space="preserve">On-premise authentication</w:t>
            </w:r>
          </w:p>
        </w:tc>
        <w:tc>
          <w:tcPr/>
          <w:p>
            <w:pPr>
              <w:pStyle w:val="Compact"/>
            </w:pPr>
            <w:r>
              <w:t xml:space="preserve">Cloud-based identity management + existing systems</w:t>
            </w:r>
          </w:p>
        </w:tc>
        <w:tc>
          <w:tcPr/>
          <w:p>
            <w:pPr>
              <w:pStyle w:val="Compact"/>
            </w:pPr>
            <w:r>
              <w:t xml:space="preserve">Enhanced access control</w:t>
            </w:r>
          </w:p>
        </w:tc>
      </w:tr>
      <w:tr>
        <w:tc>
          <w:tcPr/>
          <w:p>
            <w:pPr>
              <w:pStyle w:val="Compact"/>
            </w:pPr>
            <w:r>
              <w:rPr>
                <w:b/>
                <w:bCs/>
              </w:rPr>
              <w:t xml:space="preserve">Security Monitoring</w:t>
            </w:r>
          </w:p>
        </w:tc>
        <w:tc>
          <w:tcPr/>
          <w:p>
            <w:pPr>
              <w:pStyle w:val="Compact"/>
            </w:pPr>
            <w:r>
              <w:t xml:space="preserve">Standard monitoring</w:t>
            </w:r>
          </w:p>
        </w:tc>
        <w:tc>
          <w:tcPr/>
          <w:p>
            <w:pPr>
              <w:pStyle w:val="Compact"/>
            </w:pPr>
            <w:r>
              <w:t xml:space="preserve">SOC monitoring + zero-trust architecture</w:t>
            </w:r>
          </w:p>
        </w:tc>
        <w:tc>
          <w:tcPr/>
          <w:p>
            <w:pPr>
              <w:pStyle w:val="Compact"/>
            </w:pPr>
            <w:r>
              <w:t xml:space="preserve">Proactive threat detection</w:t>
            </w:r>
          </w:p>
        </w:tc>
      </w:tr>
      <w:tr>
        <w:tc>
          <w:tcPr/>
          <w:p>
            <w:pPr>
              <w:pStyle w:val="Compact"/>
            </w:pPr>
            <w:r>
              <w:rPr>
                <w:b/>
                <w:bCs/>
              </w:rPr>
              <w:t xml:space="preserve">Backup Strategy</w:t>
            </w:r>
          </w:p>
        </w:tc>
        <w:tc>
          <w:tcPr/>
          <w:p>
            <w:pPr>
              <w:pStyle w:val="Compact"/>
            </w:pPr>
            <w:r>
              <w:t xml:space="preserve">Local backups</w:t>
            </w:r>
          </w:p>
        </w:tc>
        <w:tc>
          <w:tcPr/>
          <w:p>
            <w:pPr>
              <w:pStyle w:val="Compact"/>
            </w:pPr>
            <w:r>
              <w:t xml:space="preserve">Geographic redundancy across cloud regions</w:t>
            </w:r>
          </w:p>
        </w:tc>
        <w:tc>
          <w:tcPr/>
          <w:p>
            <w:pPr>
              <w:pStyle w:val="Compact"/>
            </w:pPr>
            <w:r>
              <w:t xml:space="preserve">Enhanced disaster recovery</w:t>
            </w:r>
          </w:p>
        </w:tc>
      </w:tr>
      <w:tr>
        <w:tc>
          <w:tcPr/>
          <w:p>
            <w:pPr>
              <w:pStyle w:val="Compact"/>
            </w:pPr>
            <w:r>
              <w:rPr>
                <w:b/>
                <w:bCs/>
              </w:rPr>
              <w:t xml:space="preserve">Encryption</w:t>
            </w:r>
          </w:p>
        </w:tc>
        <w:tc>
          <w:tcPr/>
          <w:p>
            <w:pPr>
              <w:pStyle w:val="Compact"/>
            </w:pPr>
            <w:r>
              <w:t xml:space="preserve">Standard encryption</w:t>
            </w:r>
          </w:p>
        </w:tc>
        <w:tc>
          <w:tcPr/>
          <w:p>
            <w:pPr>
              <w:pStyle w:val="Compact"/>
            </w:pPr>
            <w:r>
              <w:t xml:space="preserve">AES-256 encryption for data in transit and at rest</w:t>
            </w:r>
          </w:p>
        </w:tc>
        <w:tc>
          <w:tcPr/>
          <w:p>
            <w:pPr>
              <w:pStyle w:val="Compact"/>
            </w:pPr>
            <w:r>
              <w:t xml:space="preserve">Strengthened data protection</w:t>
            </w:r>
          </w:p>
        </w:tc>
      </w:tr>
    </w:tbl>
    <w:bookmarkEnd w:id="11"/>
    <w:bookmarkStart w:id="12" w:name="data-categories-affected"/>
    <w:p>
      <w:pPr>
        <w:pStyle w:val="Heading2"/>
      </w:pPr>
      <w:r>
        <w:t xml:space="preserve">Data Categories Affected</w:t>
      </w:r>
    </w:p>
    <w:tbl>
      <w:tblPr>
        <w:tblStyle w:val="Table"/>
        <w:tblW w:type="pct" w:w="5000"/>
        <w:tblLayout w:type="fixed"/>
        <w:tblLook w:firstRow="1" w:lastRow="0" w:firstColumn="0" w:lastColumn="0" w:noHBand="0" w:noVBand="0" w:val="0020"/>
      </w:tblPr>
      <w:tblGrid>
        <w:gridCol w:w="1428"/>
        <w:gridCol w:w="2337"/>
        <w:gridCol w:w="1298"/>
        <w:gridCol w:w="2856"/>
      </w:tblGrid>
      <w:tr>
        <w:trPr>
          <w:tblHeader w:val="on"/>
        </w:trPr>
        <w:tc>
          <w:tcPr/>
          <w:p>
            <w:pPr>
              <w:pStyle w:val="Compact"/>
            </w:pPr>
            <w:r>
              <w:t xml:space="preserve">Data Type</w:t>
            </w:r>
          </w:p>
        </w:tc>
        <w:tc>
          <w:tcPr/>
          <w:p>
            <w:pPr>
              <w:pStyle w:val="Compact"/>
            </w:pPr>
            <w:r>
              <w:t xml:space="preserve">Migration Impact</w:t>
            </w:r>
          </w:p>
        </w:tc>
        <w:tc>
          <w:tcPr/>
          <w:p>
            <w:pPr>
              <w:pStyle w:val="Compact"/>
            </w:pPr>
            <w:r>
              <w:t xml:space="preserve">Timeline</w:t>
            </w:r>
          </w:p>
        </w:tc>
        <w:tc>
          <w:tcPr/>
          <w:p>
            <w:pPr>
              <w:pStyle w:val="Compact"/>
            </w:pPr>
            <w:r>
              <w:t xml:space="preserve">Special Considerations</w:t>
            </w:r>
          </w:p>
        </w:tc>
      </w:tr>
      <w:tr>
        <w:tc>
          <w:tcPr/>
          <w:p>
            <w:pPr>
              <w:pStyle w:val="Compact"/>
            </w:pPr>
            <w:r>
              <w:rPr>
                <w:b/>
                <w:bCs/>
              </w:rPr>
              <w:t xml:space="preserve">Original Study Data</w:t>
            </w:r>
          </w:p>
        </w:tc>
        <w:tc>
          <w:tcPr/>
          <w:p>
            <w:pPr>
              <w:pStyle w:val="Compact"/>
            </w:pPr>
            <w:r>
              <w:t xml:space="preserve">Gradual migration with validation</w:t>
            </w:r>
          </w:p>
        </w:tc>
        <w:tc>
          <w:tcPr/>
          <w:p>
            <w:pPr>
              <w:pStyle w:val="Compact"/>
            </w:pPr>
            <w:r>
              <w:t xml:space="preserve">Months 1-6</w:t>
            </w:r>
          </w:p>
        </w:tc>
        <w:tc>
          <w:tcPr/>
          <w:p>
            <w:pPr>
              <w:pStyle w:val="Compact"/>
            </w:pPr>
            <w:r>
              <w:t xml:space="preserve">Requires extensive validation protocols</w:t>
            </w:r>
          </w:p>
        </w:tc>
      </w:tr>
      <w:tr>
        <w:tc>
          <w:tcPr/>
          <w:p>
            <w:pPr>
              <w:pStyle w:val="Compact"/>
            </w:pPr>
            <w:r>
              <w:rPr>
                <w:b/>
                <w:bCs/>
              </w:rPr>
              <w:t xml:space="preserve">Consortium Shared Data</w:t>
            </w:r>
          </w:p>
        </w:tc>
        <w:tc>
          <w:tcPr/>
          <w:p>
            <w:pPr>
              <w:pStyle w:val="Compact"/>
            </w:pPr>
            <w:r>
              <w:t xml:space="preserve">Priority migration</w:t>
            </w:r>
          </w:p>
        </w:tc>
        <w:tc>
          <w:tcPr/>
          <w:p>
            <w:pPr>
              <w:pStyle w:val="Compact"/>
            </w:pPr>
            <w:r>
              <w:t xml:space="preserve">Months 2-4</w:t>
            </w:r>
          </w:p>
        </w:tc>
        <w:tc>
          <w:tcPr/>
          <w:p>
            <w:pPr>
              <w:pStyle w:val="Compact"/>
            </w:pPr>
            <w:r>
              <w:t xml:space="preserve">Collaboration tools integration needed</w:t>
            </w:r>
          </w:p>
        </w:tc>
      </w:tr>
      <w:tr>
        <w:tc>
          <w:tcPr/>
          <w:p>
            <w:pPr>
              <w:pStyle w:val="Compact"/>
            </w:pPr>
            <w:r>
              <w:rPr>
                <w:b/>
                <w:bCs/>
              </w:rPr>
              <w:t xml:space="preserve">De-identified Data</w:t>
            </w:r>
          </w:p>
        </w:tc>
        <w:tc>
          <w:tcPr/>
          <w:p>
            <w:pPr>
              <w:pStyle w:val="Compact"/>
            </w:pPr>
            <w:r>
              <w:t xml:space="preserve">Standard migration</w:t>
            </w:r>
          </w:p>
        </w:tc>
        <w:tc>
          <w:tcPr/>
          <w:p>
            <w:pPr>
              <w:pStyle w:val="Compact"/>
            </w:pPr>
            <w:r>
              <w:t xml:space="preserve">Months 3-8</w:t>
            </w:r>
          </w:p>
        </w:tc>
        <w:tc>
          <w:tcPr/>
          <w:p>
            <w:pPr>
              <w:pStyle w:val="Compact"/>
            </w:pPr>
            <w:r>
              <w:t xml:space="preserve">Analytics platform compatibility</w:t>
            </w:r>
          </w:p>
        </w:tc>
      </w:tr>
      <w:tr>
        <w:tc>
          <w:tcPr/>
          <w:p>
            <w:pPr>
              <w:pStyle w:val="Compact"/>
            </w:pPr>
            <w:r>
              <w:rPr>
                <w:b/>
                <w:bCs/>
              </w:rPr>
              <w:t xml:space="preserve">Inferential Data</w:t>
            </w:r>
          </w:p>
        </w:tc>
        <w:tc>
          <w:tcPr/>
          <w:p>
            <w:pPr>
              <w:pStyle w:val="Compact"/>
            </w:pPr>
            <w:r>
              <w:t xml:space="preserve">Phased migration</w:t>
            </w:r>
          </w:p>
        </w:tc>
        <w:tc>
          <w:tcPr/>
          <w:p>
            <w:pPr>
              <w:pStyle w:val="Compact"/>
            </w:pPr>
            <w:r>
              <w:t xml:space="preserve">Months 4-10</w:t>
            </w:r>
          </w:p>
        </w:tc>
        <w:tc>
          <w:tcPr/>
          <w:p>
            <w:pPr>
              <w:pStyle w:val="Compact"/>
            </w:pPr>
            <w:r>
              <w:t xml:space="preserve">Model deployment considerations</w:t>
            </w:r>
          </w:p>
        </w:tc>
      </w:tr>
    </w:tbl>
    <w:bookmarkEnd w:id="12"/>
    <w:bookmarkStart w:id="13" w:name="compliance-and-governance-changes"/>
    <w:p>
      <w:pPr>
        <w:pStyle w:val="Heading2"/>
      </w:pPr>
      <w:r>
        <w:t xml:space="preserve">Compliance and Governance Changes</w:t>
      </w:r>
    </w:p>
    <w:tbl>
      <w:tblPr>
        <w:tblStyle w:val="Table"/>
        <w:tblW w:type="pct" w:w="5000"/>
        <w:tblLayout w:type="fixed"/>
        <w:tblLook w:firstRow="1" w:lastRow="0" w:firstColumn="0" w:lastColumn="0" w:noHBand="0" w:noVBand="0" w:val="0020"/>
      </w:tblPr>
      <w:tblGrid>
        <w:gridCol w:w="1712"/>
        <w:gridCol w:w="2782"/>
        <w:gridCol w:w="3424"/>
      </w:tblGrid>
      <w:tr>
        <w:trPr>
          <w:tblHeader w:val="on"/>
        </w:trPr>
        <w:tc>
          <w:tcPr/>
          <w:p>
            <w:pPr>
              <w:pStyle w:val="Compact"/>
            </w:pPr>
            <w:r>
              <w:t xml:space="preserve">Aspect</w:t>
            </w:r>
          </w:p>
        </w:tc>
        <w:tc>
          <w:tcPr/>
          <w:p>
            <w:pPr>
              <w:pStyle w:val="Compact"/>
            </w:pPr>
            <w:r>
              <w:t xml:space="preserve">Enhancement</w:t>
            </w:r>
          </w:p>
        </w:tc>
        <w:tc>
          <w:tcPr/>
          <w:p>
            <w:pPr>
              <w:pStyle w:val="Compact"/>
            </w:pPr>
            <w:r>
              <w:t xml:space="preserve">Implementation</w:t>
            </w:r>
          </w:p>
        </w:tc>
      </w:tr>
      <w:tr>
        <w:tc>
          <w:tcPr/>
          <w:p>
            <w:pPr>
              <w:pStyle w:val="Compact"/>
            </w:pPr>
            <w:r>
              <w:rPr>
                <w:b/>
                <w:bCs/>
              </w:rPr>
              <w:t xml:space="preserve">POPIA Compliance</w:t>
            </w:r>
          </w:p>
        </w:tc>
        <w:tc>
          <w:tcPr/>
          <w:p>
            <w:pPr>
              <w:pStyle w:val="Compact"/>
            </w:pPr>
            <w:r>
              <w:t xml:space="preserve">Cloud-specific privacy controls</w:t>
            </w:r>
          </w:p>
        </w:tc>
        <w:tc>
          <w:tcPr/>
          <w:p>
            <w:pPr>
              <w:pStyle w:val="Compact"/>
            </w:pPr>
            <w:r>
              <w:t xml:space="preserve">Regular audits and assessments</w:t>
            </w:r>
          </w:p>
        </w:tc>
      </w:tr>
      <w:tr>
        <w:tc>
          <w:tcPr/>
          <w:p>
            <w:pPr>
              <w:pStyle w:val="Compact"/>
            </w:pPr>
            <w:r>
              <w:rPr>
                <w:b/>
                <w:bCs/>
              </w:rPr>
              <w:t xml:space="preserve">Data Governance</w:t>
            </w:r>
          </w:p>
        </w:tc>
        <w:tc>
          <w:tcPr/>
          <w:p>
            <w:pPr>
              <w:pStyle w:val="Compact"/>
            </w:pPr>
            <w:r>
              <w:t xml:space="preserve">Enhanced cloud governance framework</w:t>
            </w:r>
          </w:p>
        </w:tc>
        <w:tc>
          <w:tcPr/>
          <w:p>
            <w:pPr>
              <w:pStyle w:val="Compact"/>
            </w:pPr>
            <w:r>
              <w:t xml:space="preserve">Updated policies and procedures</w:t>
            </w:r>
          </w:p>
        </w:tc>
      </w:tr>
      <w:tr>
        <w:tc>
          <w:tcPr/>
          <w:p>
            <w:pPr>
              <w:pStyle w:val="Compact"/>
            </w:pPr>
            <w:r>
              <w:rPr>
                <w:b/>
                <w:bCs/>
              </w:rPr>
              <w:t xml:space="preserve">Access Controls</w:t>
            </w:r>
          </w:p>
        </w:tc>
        <w:tc>
          <w:tcPr/>
          <w:p>
            <w:pPr>
              <w:pStyle w:val="Compact"/>
            </w:pPr>
            <w:r>
              <w:t xml:space="preserve">Multi-factor authentication</w:t>
            </w:r>
          </w:p>
        </w:tc>
        <w:tc>
          <w:tcPr/>
          <w:p>
            <w:pPr>
              <w:pStyle w:val="Compact"/>
            </w:pPr>
            <w:r>
              <w:t xml:space="preserve">Phased rollout to all users</w:t>
            </w:r>
          </w:p>
        </w:tc>
      </w:tr>
      <w:tr>
        <w:tc>
          <w:tcPr/>
          <w:p>
            <w:pPr>
              <w:pStyle w:val="Compact"/>
            </w:pPr>
            <w:r>
              <w:rPr>
                <w:b/>
                <w:bCs/>
              </w:rPr>
              <w:t xml:space="preserve">Audit Trails</w:t>
            </w:r>
          </w:p>
        </w:tc>
        <w:tc>
          <w:tcPr/>
          <w:p>
            <w:pPr>
              <w:pStyle w:val="Compact"/>
            </w:pPr>
            <w:r>
              <w:t xml:space="preserve">Enhanced logging and monitoring</w:t>
            </w:r>
          </w:p>
        </w:tc>
        <w:tc>
          <w:tcPr/>
          <w:p>
            <w:pPr>
              <w:pStyle w:val="Compact"/>
            </w:pPr>
            <w:r>
              <w:t xml:space="preserve">Real-time compliance tracking</w:t>
            </w:r>
          </w:p>
        </w:tc>
      </w:tr>
    </w:tbl>
    <w:bookmarkEnd w:id="13"/>
    <w:bookmarkStart w:id="14" w:name="implementation-timeline"/>
    <w:p>
      <w:pPr>
        <w:pStyle w:val="Heading2"/>
      </w:pPr>
      <w:r>
        <w:t xml:space="preserve">Implementation Timeline</w:t>
      </w:r>
    </w:p>
    <w:tbl>
      <w:tblPr>
        <w:tblStyle w:val="Table"/>
        <w:tblW w:type="pct" w:w="5000"/>
        <w:tblLayout w:type="fixed"/>
        <w:tblLook w:firstRow="1" w:lastRow="0" w:firstColumn="0" w:lastColumn="0" w:noHBand="0" w:noVBand="0" w:val="0020"/>
      </w:tblPr>
      <w:tblGrid>
        <w:gridCol w:w="1179"/>
        <w:gridCol w:w="1685"/>
        <w:gridCol w:w="2696"/>
        <w:gridCol w:w="2359"/>
      </w:tblGrid>
      <w:tr>
        <w:trPr>
          <w:tblHeader w:val="on"/>
        </w:trPr>
        <w:tc>
          <w:tcPr/>
          <w:p>
            <w:pPr>
              <w:pStyle w:val="Compact"/>
            </w:pPr>
            <w:r>
              <w:t xml:space="preserve">Phase</w:t>
            </w:r>
          </w:p>
        </w:tc>
        <w:tc>
          <w:tcPr/>
          <w:p>
            <w:pPr>
              <w:pStyle w:val="Compact"/>
            </w:pPr>
            <w:r>
              <w:t xml:space="preserve">Duration</w:t>
            </w:r>
          </w:p>
        </w:tc>
        <w:tc>
          <w:tcPr/>
          <w:p>
            <w:pPr>
              <w:pStyle w:val="Compact"/>
            </w:pPr>
            <w:r>
              <w:t xml:space="preserve">Key Activities</w:t>
            </w:r>
          </w:p>
        </w:tc>
        <w:tc>
          <w:tcPr/>
          <w:p>
            <w:pPr>
              <w:pStyle w:val="Compact"/>
            </w:pPr>
            <w:r>
              <w:t xml:space="preserve">Deliverables</w:t>
            </w:r>
          </w:p>
        </w:tc>
      </w:tr>
      <w:tr>
        <w:tc>
          <w:tcPr/>
          <w:p>
            <w:pPr>
              <w:pStyle w:val="Compact"/>
            </w:pPr>
            <w:r>
              <w:rPr>
                <w:b/>
                <w:bCs/>
              </w:rPr>
              <w:t xml:space="preserve">Phase 1: Planning</w:t>
            </w:r>
          </w:p>
        </w:tc>
        <w:tc>
          <w:tcPr/>
          <w:p>
            <w:pPr>
              <w:pStyle w:val="Compact"/>
            </w:pPr>
            <w:r>
              <w:t xml:space="preserve">Months 1-2</w:t>
            </w:r>
          </w:p>
        </w:tc>
        <w:tc>
          <w:tcPr/>
          <w:p>
            <w:pPr>
              <w:pStyle w:val="Compact"/>
            </w:pPr>
            <w:r>
              <w:t xml:space="preserve">Infrastructure setup, policy updates</w:t>
            </w:r>
          </w:p>
        </w:tc>
        <w:tc>
          <w:tcPr/>
          <w:p>
            <w:pPr>
              <w:pStyle w:val="Compact"/>
            </w:pPr>
            <w:r>
              <w:t xml:space="preserve">Cloud environment ready</w:t>
            </w:r>
          </w:p>
        </w:tc>
      </w:tr>
      <w:tr>
        <w:tc>
          <w:tcPr/>
          <w:p>
            <w:pPr>
              <w:pStyle w:val="Compact"/>
            </w:pPr>
            <w:r>
              <w:rPr>
                <w:b/>
                <w:bCs/>
              </w:rPr>
              <w:t xml:space="preserve">Phase 2: Pilot Migration</w:t>
            </w:r>
          </w:p>
        </w:tc>
        <w:tc>
          <w:tcPr/>
          <w:p>
            <w:pPr>
              <w:pStyle w:val="Compact"/>
            </w:pPr>
            <w:r>
              <w:t xml:space="preserve">Months 2-4</w:t>
            </w:r>
          </w:p>
        </w:tc>
        <w:tc>
          <w:tcPr/>
          <w:p>
            <w:pPr>
              <w:pStyle w:val="Compact"/>
            </w:pPr>
            <w:r>
              <w:t xml:space="preserve">Test data migration, validate processes</w:t>
            </w:r>
          </w:p>
        </w:tc>
        <w:tc>
          <w:tcPr/>
          <w:p>
            <w:pPr>
              <w:pStyle w:val="Compact"/>
            </w:pPr>
            <w:r>
              <w:t xml:space="preserve">Pilot validation complete</w:t>
            </w:r>
          </w:p>
        </w:tc>
      </w:tr>
      <w:tr>
        <w:tc>
          <w:tcPr/>
          <w:p>
            <w:pPr>
              <w:pStyle w:val="Compact"/>
            </w:pPr>
            <w:r>
              <w:rPr>
                <w:b/>
                <w:bCs/>
              </w:rPr>
              <w:t xml:space="preserve">Phase 3: Full Migration</w:t>
            </w:r>
          </w:p>
        </w:tc>
        <w:tc>
          <w:tcPr/>
          <w:p>
            <w:pPr>
              <w:pStyle w:val="Compact"/>
            </w:pPr>
            <w:r>
              <w:t xml:space="preserve">Months 4-8</w:t>
            </w:r>
          </w:p>
        </w:tc>
        <w:tc>
          <w:tcPr/>
          <w:p>
            <w:pPr>
              <w:pStyle w:val="Compact"/>
            </w:pPr>
            <w:r>
              <w:t xml:space="preserve">Migrate all data categories</w:t>
            </w:r>
          </w:p>
        </w:tc>
        <w:tc>
          <w:tcPr/>
          <w:p>
            <w:pPr>
              <w:pStyle w:val="Compact"/>
            </w:pPr>
            <w:r>
              <w:t xml:space="preserve">All data in cloud</w:t>
            </w:r>
          </w:p>
        </w:tc>
      </w:tr>
      <w:tr>
        <w:tc>
          <w:tcPr/>
          <w:p>
            <w:pPr>
              <w:pStyle w:val="Compact"/>
            </w:pPr>
            <w:r>
              <w:rPr>
                <w:b/>
                <w:bCs/>
              </w:rPr>
              <w:t xml:space="preserve">Phase 4: Optimisation</w:t>
            </w:r>
          </w:p>
        </w:tc>
        <w:tc>
          <w:tcPr/>
          <w:p>
            <w:pPr>
              <w:pStyle w:val="Compact"/>
            </w:pPr>
            <w:r>
              <w:t xml:space="preserve">Months 8-10</w:t>
            </w:r>
          </w:p>
        </w:tc>
        <w:tc>
          <w:tcPr/>
          <w:p>
            <w:pPr>
              <w:pStyle w:val="Compact"/>
            </w:pPr>
            <w:r>
              <w:t xml:space="preserve">Performance tuning, process refinement</w:t>
            </w:r>
          </w:p>
        </w:tc>
        <w:tc>
          <w:tcPr/>
          <w:p>
            <w:pPr>
              <w:pStyle w:val="Compact"/>
            </w:pPr>
            <w:r>
              <w:t xml:space="preserve">Optimised operations</w:t>
            </w:r>
          </w:p>
        </w:tc>
      </w:tr>
    </w:tbl>
    <w:bookmarkEnd w:id="14"/>
    <w:bookmarkStart w:id="15" w:name="risk-mitigation"/>
    <w:p>
      <w:pPr>
        <w:pStyle w:val="Heading2"/>
      </w:pPr>
      <w:r>
        <w:t xml:space="preserve">Risk Mitigation</w:t>
      </w:r>
    </w:p>
    <w:tbl>
      <w:tblPr>
        <w:tblStyle w:val="Table"/>
        <w:tblW w:type="pct" w:w="5000"/>
        <w:tblLayout w:type="fixed"/>
        <w:tblLook w:firstRow="1" w:lastRow="0" w:firstColumn="0" w:lastColumn="0" w:noHBand="0" w:noVBand="0" w:val="0020"/>
      </w:tblPr>
      <w:tblGrid>
        <w:gridCol w:w="1284"/>
        <w:gridCol w:w="4067"/>
        <w:gridCol w:w="2568"/>
      </w:tblGrid>
      <w:tr>
        <w:trPr>
          <w:tblHeader w:val="on"/>
        </w:trPr>
        <w:tc>
          <w:tcPr/>
          <w:p>
            <w:pPr>
              <w:pStyle w:val="Compact"/>
            </w:pPr>
            <w:r>
              <w:t xml:space="preserve">Risk</w:t>
            </w:r>
          </w:p>
        </w:tc>
        <w:tc>
          <w:tcPr/>
          <w:p>
            <w:pPr>
              <w:pStyle w:val="Compact"/>
            </w:pPr>
            <w:r>
              <w:t xml:space="preserve">Mitigation Strategy</w:t>
            </w:r>
          </w:p>
        </w:tc>
        <w:tc>
          <w:tcPr/>
          <w:p>
            <w:pPr>
              <w:pStyle w:val="Compact"/>
            </w:pPr>
            <w:r>
              <w:t xml:space="preserve">Monitoring</w:t>
            </w:r>
          </w:p>
        </w:tc>
      </w:tr>
      <w:tr>
        <w:tc>
          <w:tcPr/>
          <w:p>
            <w:pPr>
              <w:pStyle w:val="Compact"/>
            </w:pPr>
            <w:r>
              <w:rPr>
                <w:b/>
                <w:bCs/>
              </w:rPr>
              <w:t xml:space="preserve">Data Loss</w:t>
            </w:r>
          </w:p>
        </w:tc>
        <w:tc>
          <w:tcPr/>
          <w:p>
            <w:pPr>
              <w:pStyle w:val="Compact"/>
            </w:pPr>
            <w:r>
              <w:t xml:space="preserve">Dual storage during transition</w:t>
            </w:r>
          </w:p>
        </w:tc>
        <w:tc>
          <w:tcPr/>
          <w:p>
            <w:pPr>
              <w:pStyle w:val="Compact"/>
            </w:pPr>
            <w:r>
              <w:t xml:space="preserve">Continuous validation</w:t>
            </w:r>
          </w:p>
        </w:tc>
      </w:tr>
      <w:tr>
        <w:tc>
          <w:tcPr/>
          <w:p>
            <w:pPr>
              <w:pStyle w:val="Compact"/>
            </w:pPr>
            <w:r>
              <w:rPr>
                <w:b/>
                <w:bCs/>
              </w:rPr>
              <w:t xml:space="preserve">Security Breach</w:t>
            </w:r>
          </w:p>
        </w:tc>
        <w:tc>
          <w:tcPr/>
          <w:p>
            <w:pPr>
              <w:pStyle w:val="Compact"/>
            </w:pPr>
            <w:r>
              <w:t xml:space="preserve">Zero-trust architecture</w:t>
            </w:r>
          </w:p>
        </w:tc>
        <w:tc>
          <w:tcPr/>
          <w:p>
            <w:pPr>
              <w:pStyle w:val="Compact"/>
            </w:pPr>
            <w:r>
              <w:t xml:space="preserve">24/7 SOC monitoring</w:t>
            </w:r>
          </w:p>
        </w:tc>
      </w:tr>
      <w:tr>
        <w:tc>
          <w:tcPr/>
          <w:p>
            <w:pPr>
              <w:pStyle w:val="Compact"/>
            </w:pPr>
            <w:r>
              <w:rPr>
                <w:b/>
                <w:bCs/>
              </w:rPr>
              <w:t xml:space="preserve">Compliance Gaps</w:t>
            </w:r>
          </w:p>
        </w:tc>
        <w:tc>
          <w:tcPr/>
          <w:p>
            <w:pPr>
              <w:pStyle w:val="Compact"/>
            </w:pPr>
            <w:r>
              <w:t xml:space="preserve">Regular compliance assessments</w:t>
            </w:r>
          </w:p>
        </w:tc>
        <w:tc>
          <w:tcPr/>
          <w:p>
            <w:pPr>
              <w:pStyle w:val="Compact"/>
            </w:pPr>
            <w:r>
              <w:t xml:space="preserve">Monthly reviews</w:t>
            </w:r>
          </w:p>
        </w:tc>
      </w:tr>
      <w:tr>
        <w:tc>
          <w:tcPr/>
          <w:p>
            <w:pPr>
              <w:pStyle w:val="Compact"/>
            </w:pPr>
            <w:r>
              <w:rPr>
                <w:b/>
                <w:bCs/>
              </w:rPr>
              <w:t xml:space="preserve">Performance Issues</w:t>
            </w:r>
          </w:p>
        </w:tc>
        <w:tc>
          <w:tcPr/>
          <w:p>
            <w:pPr>
              <w:pStyle w:val="Compact"/>
            </w:pPr>
            <w:r>
              <w:t xml:space="preserve">Gradual migration approach</w:t>
            </w:r>
          </w:p>
        </w:tc>
        <w:tc>
          <w:tcPr/>
          <w:p>
            <w:pPr>
              <w:pStyle w:val="Compact"/>
            </w:pPr>
            <w:r>
              <w:t xml:space="preserve">Performance metrics tracking</w:t>
            </w:r>
          </w:p>
        </w:tc>
      </w:tr>
    </w:tbl>
    <w:bookmarkEnd w:id="15"/>
    <w:bookmarkStart w:id="16" w:name="training-and-support"/>
    <w:p>
      <w:pPr>
        <w:pStyle w:val="Heading2"/>
      </w:pPr>
      <w:r>
        <w:t xml:space="preserve">Training and Support</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Stakeholder Group</w:t>
            </w:r>
          </w:p>
        </w:tc>
        <w:tc>
          <w:tcPr/>
          <w:p>
            <w:pPr>
              <w:pStyle w:val="Compact"/>
            </w:pPr>
            <w:r>
              <w:t xml:space="preserve">Training Requirements</w:t>
            </w:r>
          </w:p>
        </w:tc>
        <w:tc>
          <w:tcPr/>
          <w:p>
            <w:pPr>
              <w:pStyle w:val="Compact"/>
            </w:pPr>
            <w:r>
              <w:t xml:space="preserve">Timeline</w:t>
            </w:r>
          </w:p>
        </w:tc>
      </w:tr>
      <w:tr>
        <w:tc>
          <w:tcPr/>
          <w:p>
            <w:pPr>
              <w:pStyle w:val="Compact"/>
            </w:pPr>
            <w:r>
              <w:rPr>
                <w:b/>
                <w:bCs/>
              </w:rPr>
              <w:t xml:space="preserve">Data Managers</w:t>
            </w:r>
          </w:p>
        </w:tc>
        <w:tc>
          <w:tcPr/>
          <w:p>
            <w:pPr>
              <w:pStyle w:val="Compact"/>
            </w:pPr>
            <w:r>
              <w:t xml:space="preserve">Cloud platform administration</w:t>
            </w:r>
          </w:p>
        </w:tc>
        <w:tc>
          <w:tcPr/>
          <w:p>
            <w:pPr>
              <w:pStyle w:val="Compact"/>
            </w:pPr>
            <w:r>
              <w:t xml:space="preserve">Month 1</w:t>
            </w:r>
          </w:p>
        </w:tc>
      </w:tr>
      <w:tr>
        <w:tc>
          <w:tcPr/>
          <w:p>
            <w:pPr>
              <w:pStyle w:val="Compact"/>
            </w:pPr>
            <w:r>
              <w:rPr>
                <w:b/>
                <w:bCs/>
              </w:rPr>
              <w:t xml:space="preserve">Researchers</w:t>
            </w:r>
          </w:p>
        </w:tc>
        <w:tc>
          <w:tcPr/>
          <w:p>
            <w:pPr>
              <w:pStyle w:val="Compact"/>
            </w:pPr>
            <w:r>
              <w:t xml:space="preserve">New access procedures</w:t>
            </w:r>
          </w:p>
        </w:tc>
        <w:tc>
          <w:tcPr/>
          <w:p>
            <w:pPr>
              <w:pStyle w:val="Compact"/>
            </w:pPr>
            <w:r>
              <w:t xml:space="preserve">Month 2</w:t>
            </w:r>
          </w:p>
        </w:tc>
      </w:tr>
      <w:tr>
        <w:tc>
          <w:tcPr/>
          <w:p>
            <w:pPr>
              <w:pStyle w:val="Compact"/>
            </w:pPr>
            <w:r>
              <w:rPr>
                <w:b/>
                <w:bCs/>
              </w:rPr>
              <w:t xml:space="preserve">IT Support</w:t>
            </w:r>
          </w:p>
        </w:tc>
        <w:tc>
          <w:tcPr/>
          <w:p>
            <w:pPr>
              <w:pStyle w:val="Compact"/>
            </w:pPr>
            <w:r>
              <w:t xml:space="preserve">Cloud infrastructure management</w:t>
            </w:r>
          </w:p>
        </w:tc>
        <w:tc>
          <w:tcPr/>
          <w:p>
            <w:pPr>
              <w:pStyle w:val="Compact"/>
            </w:pPr>
            <w:r>
              <w:t xml:space="preserve">Month 1-2</w:t>
            </w:r>
          </w:p>
        </w:tc>
      </w:tr>
      <w:tr>
        <w:tc>
          <w:tcPr/>
          <w:p>
            <w:pPr>
              <w:pStyle w:val="Compact"/>
            </w:pPr>
            <w:r>
              <w:rPr>
                <w:b/>
                <w:bCs/>
              </w:rPr>
              <w:t xml:space="preserve">Compliance Team</w:t>
            </w:r>
          </w:p>
        </w:tc>
        <w:tc>
          <w:tcPr/>
          <w:p>
            <w:pPr>
              <w:pStyle w:val="Compact"/>
            </w:pPr>
            <w:r>
              <w:t xml:space="preserve">Cloud governance and auditing</w:t>
            </w:r>
          </w:p>
        </w:tc>
        <w:tc>
          <w:tcPr/>
          <w:p>
            <w:pPr>
              <w:pStyle w:val="Compact"/>
            </w:pPr>
            <w:r>
              <w:t xml:space="preserve">Month 2-3</w:t>
            </w:r>
          </w:p>
        </w:tc>
      </w:tr>
    </w:tbl>
    <w:bookmarkEnd w:id="16"/>
    <w:bookmarkStart w:id="20" w:name="ethics-review-summary-for-wits-hrec"/>
    <w:p>
      <w:pPr>
        <w:pStyle w:val="Heading2"/>
      </w:pPr>
      <w:r>
        <w:t xml:space="preserve">Ethics Review Summary for Wits HREC</w:t>
      </w:r>
    </w:p>
    <w:bookmarkStart w:id="17" w:name="key-changes-requiring-hrec-awareness"/>
    <w:p>
      <w:pPr>
        <w:pStyle w:val="Heading3"/>
      </w:pPr>
      <w:r>
        <w:t xml:space="preserve">Key Changes Requiring HREC Awareness</w:t>
      </w:r>
    </w:p>
    <w:tbl>
      <w:tblPr>
        <w:tblStyle w:val="Table"/>
        <w:tblW w:type="pct" w:w="5000"/>
        <w:tblLayout w:type="fixed"/>
        <w:tblLook w:firstRow="1" w:lastRow="0" w:firstColumn="0" w:lastColumn="0" w:noHBand="0" w:noVBand="0" w:val="0020"/>
      </w:tblPr>
      <w:tblGrid>
        <w:gridCol w:w="1760"/>
        <w:gridCol w:w="2860"/>
        <w:gridCol w:w="3300"/>
      </w:tblGrid>
      <w:tr>
        <w:trPr>
          <w:tblHeader w:val="on"/>
        </w:trPr>
        <w:tc>
          <w:tcPr/>
          <w:p>
            <w:pPr>
              <w:pStyle w:val="Compact"/>
            </w:pPr>
            <w:r>
              <w:t xml:space="preserve">Change</w:t>
            </w:r>
          </w:p>
        </w:tc>
        <w:tc>
          <w:tcPr/>
          <w:p>
            <w:pPr>
              <w:pStyle w:val="Compact"/>
            </w:pPr>
            <w:r>
              <w:t xml:space="preserve">Description</w:t>
            </w:r>
          </w:p>
        </w:tc>
        <w:tc>
          <w:tcPr/>
          <w:p>
            <w:pPr>
              <w:pStyle w:val="Compact"/>
            </w:pPr>
            <w:r>
              <w:t xml:space="preserve">Ethics Impact</w:t>
            </w:r>
          </w:p>
        </w:tc>
      </w:tr>
      <w:tr>
        <w:tc>
          <w:tcPr/>
          <w:p>
            <w:pPr>
              <w:pStyle w:val="Compact"/>
            </w:pPr>
            <w:r>
              <w:rPr>
                <w:b/>
                <w:bCs/>
              </w:rPr>
              <w:t xml:space="preserve">Enhanced Data Storage</w:t>
            </w:r>
          </w:p>
        </w:tc>
        <w:tc>
          <w:tcPr/>
          <w:p>
            <w:pPr>
              <w:pStyle w:val="Compact"/>
            </w:pPr>
            <w:r>
              <w:t xml:space="preserve">Addition of WHC-managed cloud infrastructure with AES-256 encryption</w:t>
            </w:r>
          </w:p>
        </w:tc>
        <w:tc>
          <w:tcPr/>
          <w:p>
            <w:pPr>
              <w:pStyle w:val="Compact"/>
            </w:pPr>
            <w:r>
              <w:rPr>
                <w:b/>
                <w:bCs/>
              </w:rPr>
              <w:t xml:space="preserve">Improved participant data protection</w:t>
            </w:r>
            <w:r>
              <w:t xml:space="preserve"> </w:t>
            </w:r>
            <w:r>
              <w:t xml:space="preserve">- stronger encryption and security</w:t>
            </w:r>
          </w:p>
        </w:tc>
      </w:tr>
      <w:tr>
        <w:tc>
          <w:tcPr/>
          <w:p>
            <w:pPr>
              <w:pStyle w:val="Compact"/>
            </w:pPr>
            <w:r>
              <w:rPr>
                <w:b/>
                <w:bCs/>
              </w:rPr>
              <w:t xml:space="preserve">Dual Infrastructure</w:t>
            </w:r>
          </w:p>
        </w:tc>
        <w:tc>
          <w:tcPr/>
          <w:p>
            <w:pPr>
              <w:pStyle w:val="Compact"/>
            </w:pPr>
            <w:r>
              <w:t xml:space="preserve">Maintaining UCT servers alongside new cloud services</w:t>
            </w:r>
          </w:p>
        </w:tc>
        <w:tc>
          <w:tcPr/>
          <w:p>
            <w:pPr>
              <w:pStyle w:val="Compact"/>
            </w:pPr>
            <w:r>
              <w:rPr>
                <w:b/>
                <w:bCs/>
              </w:rPr>
              <w:t xml:space="preserve">Continuity assurance</w:t>
            </w:r>
            <w:r>
              <w:t xml:space="preserve"> </w:t>
            </w:r>
            <w:r>
              <w:t xml:space="preserve">- no disruption to existing protections</w:t>
            </w:r>
          </w:p>
        </w:tc>
      </w:tr>
      <w:tr>
        <w:tc>
          <w:tcPr/>
          <w:p>
            <w:pPr>
              <w:pStyle w:val="Compact"/>
            </w:pPr>
            <w:r>
              <w:rPr>
                <w:b/>
                <w:bCs/>
              </w:rPr>
              <w:t xml:space="preserve">Enhanced Security Monitoring</w:t>
            </w:r>
          </w:p>
        </w:tc>
        <w:tc>
          <w:tcPr/>
          <w:p>
            <w:pPr>
              <w:pStyle w:val="Compact"/>
            </w:pPr>
            <w:r>
              <w:t xml:space="preserve">24/7 Security Operations Centre (SOC) monitoring and threat detection</w:t>
            </w:r>
          </w:p>
        </w:tc>
        <w:tc>
          <w:tcPr/>
          <w:p>
            <w:pPr>
              <w:pStyle w:val="Compact"/>
            </w:pPr>
            <w:r>
              <w:rPr>
                <w:b/>
                <w:bCs/>
              </w:rPr>
              <w:t xml:space="preserve">Proactive risk management</w:t>
            </w:r>
            <w:r>
              <w:t xml:space="preserve"> </w:t>
            </w:r>
            <w:r>
              <w:t xml:space="preserve">- immediate response to potential issues</w:t>
            </w:r>
          </w:p>
        </w:tc>
      </w:tr>
      <w:tr>
        <w:tc>
          <w:tcPr/>
          <w:p>
            <w:pPr>
              <w:pStyle w:val="Compact"/>
            </w:pPr>
            <w:r>
              <w:rPr>
                <w:b/>
                <w:bCs/>
              </w:rPr>
              <w:t xml:space="preserve">Automated Backup Systems</w:t>
            </w:r>
          </w:p>
        </w:tc>
        <w:tc>
          <w:tcPr/>
          <w:p>
            <w:pPr>
              <w:pStyle w:val="Compact"/>
            </w:pPr>
            <w:r>
              <w:t xml:space="preserve">Cloud-native backup and disaster recovery capabilities</w:t>
            </w:r>
          </w:p>
        </w:tc>
        <w:tc>
          <w:tcPr/>
          <w:p>
            <w:pPr>
              <w:pStyle w:val="Compact"/>
            </w:pPr>
            <w:r>
              <w:rPr>
                <w:b/>
                <w:bCs/>
              </w:rPr>
              <w:t xml:space="preserve">Data integrity protection</w:t>
            </w:r>
            <w:r>
              <w:t xml:space="preserve"> </w:t>
            </w:r>
            <w:r>
              <w:t xml:space="preserve">- enhanced protection against data loss</w:t>
            </w:r>
          </w:p>
        </w:tc>
      </w:tr>
      <w:tr>
        <w:tc>
          <w:tcPr/>
          <w:p>
            <w:pPr>
              <w:pStyle w:val="Compact"/>
            </w:pPr>
            <w:r>
              <w:rPr>
                <w:b/>
                <w:bCs/>
              </w:rPr>
              <w:t xml:space="preserve">Advanced Access Controls</w:t>
            </w:r>
          </w:p>
        </w:tc>
        <w:tc>
          <w:tcPr/>
          <w:p>
            <w:pPr>
              <w:pStyle w:val="Compact"/>
            </w:pPr>
            <w:r>
              <w:t xml:space="preserve">Cloud-specific access controls with automated compliance reporting</w:t>
            </w:r>
          </w:p>
        </w:tc>
        <w:tc>
          <w:tcPr/>
          <w:p>
            <w:pPr>
              <w:pStyle w:val="Compact"/>
            </w:pPr>
            <w:r>
              <w:rPr>
                <w:b/>
                <w:bCs/>
              </w:rPr>
              <w:t xml:space="preserve">Strengthened access management</w:t>
            </w:r>
            <w:r>
              <w:t xml:space="preserve"> </w:t>
            </w:r>
            <w:r>
              <w:t xml:space="preserve">- better audit trails and monitoring</w:t>
            </w:r>
          </w:p>
        </w:tc>
      </w:tr>
    </w:tbl>
    <w:bookmarkEnd w:id="17"/>
    <w:bookmarkStart w:id="18" w:name="ethics-compliance-status"/>
    <w:p>
      <w:pPr>
        <w:pStyle w:val="Heading3"/>
      </w:pPr>
      <w:r>
        <w:t xml:space="preserve">Ethics Compliance Status</w:t>
      </w:r>
    </w:p>
    <w:tbl>
      <w:tblPr>
        <w:tblStyle w:val="Table"/>
        <w:tblW w:type="pct" w:w="5000"/>
        <w:tblLayout w:type="fixed"/>
        <w:tblLook w:firstRow="1" w:lastRow="0" w:firstColumn="0" w:lastColumn="0" w:noHBand="0" w:noVBand="0" w:val="0020"/>
      </w:tblPr>
      <w:tblGrid>
        <w:gridCol w:w="1906"/>
        <w:gridCol w:w="1906"/>
        <w:gridCol w:w="1906"/>
        <w:gridCol w:w="2200"/>
      </w:tblGrid>
      <w:tr>
        <w:trPr>
          <w:tblHeader w:val="on"/>
        </w:trPr>
        <w:tc>
          <w:tcPr/>
          <w:p>
            <w:pPr>
              <w:pStyle w:val="Compact"/>
            </w:pPr>
            <w:r>
              <w:t xml:space="preserve">Requirement</w:t>
            </w:r>
          </w:p>
        </w:tc>
        <w:tc>
          <w:tcPr/>
          <w:p>
            <w:pPr>
              <w:pStyle w:val="Compact"/>
            </w:pPr>
            <w:r>
              <w:t xml:space="preserve">v2.1 Status</w:t>
            </w:r>
          </w:p>
        </w:tc>
        <w:tc>
          <w:tcPr/>
          <w:p>
            <w:pPr>
              <w:pStyle w:val="Compact"/>
            </w:pPr>
            <w:r>
              <w:t xml:space="preserve">v2.2 Status</w:t>
            </w:r>
          </w:p>
        </w:tc>
        <w:tc>
          <w:tcPr/>
          <w:p>
            <w:pPr>
              <w:pStyle w:val="Compact"/>
            </w:pPr>
            <w:r>
              <w:t xml:space="preserve">Change Impact</w:t>
            </w:r>
          </w:p>
        </w:tc>
      </w:tr>
      <w:tr>
        <w:tc>
          <w:tcPr/>
          <w:p>
            <w:pPr>
              <w:pStyle w:val="Compact"/>
            </w:pPr>
            <w:r>
              <w:rPr>
                <w:b/>
                <w:bCs/>
              </w:rPr>
              <w:t xml:space="preserve">POPIA Compliance</w:t>
            </w:r>
          </w:p>
        </w:tc>
        <w:tc>
          <w:tcPr/>
          <w:p>
            <w:pPr>
              <w:pStyle w:val="Compact"/>
            </w:pPr>
            <w:r>
              <w:t xml:space="preserve">Compliant</w:t>
            </w:r>
          </w:p>
        </w:tc>
        <w:tc>
          <w:tcPr/>
          <w:p>
            <w:pPr>
              <w:pStyle w:val="Compact"/>
            </w:pPr>
            <w:r>
              <w:rPr>
                <w:b/>
                <w:bCs/>
              </w:rPr>
              <w:t xml:space="preserve">Enhanced</w:t>
            </w:r>
          </w:p>
        </w:tc>
        <w:tc>
          <w:tcPr/>
          <w:p>
            <w:pPr>
              <w:pStyle w:val="Compact"/>
            </w:pPr>
            <w:r>
              <w:t xml:space="preserve">Stronger encryption and monitoring improve compliance</w:t>
            </w:r>
          </w:p>
        </w:tc>
      </w:tr>
      <w:tr>
        <w:tc>
          <w:tcPr/>
          <w:p>
            <w:pPr>
              <w:pStyle w:val="Compact"/>
            </w:pPr>
            <w:r>
              <w:rPr>
                <w:b/>
                <w:bCs/>
              </w:rPr>
              <w:t xml:space="preserve">Data De-identification</w:t>
            </w:r>
          </w:p>
        </w:tc>
        <w:tc>
          <w:tcPr/>
          <w:p>
            <w:pPr>
              <w:pStyle w:val="Compact"/>
            </w:pPr>
            <w:r>
              <w:t xml:space="preserve">Standard procedures</w:t>
            </w:r>
          </w:p>
        </w:tc>
        <w:tc>
          <w:tcPr/>
          <w:p>
            <w:pPr>
              <w:pStyle w:val="Compact"/>
            </w:pPr>
            <w:r>
              <w:rPr>
                <w:b/>
                <w:bCs/>
              </w:rPr>
              <w:t xml:space="preserve">Maintained</w:t>
            </w:r>
          </w:p>
        </w:tc>
        <w:tc>
          <w:tcPr/>
          <w:p>
            <w:pPr>
              <w:pStyle w:val="Compact"/>
            </w:pPr>
            <w:r>
              <w:t xml:space="preserve">Same procedures with enhanced security infrastructure</w:t>
            </w:r>
          </w:p>
        </w:tc>
      </w:tr>
      <w:tr>
        <w:tc>
          <w:tcPr/>
          <w:p>
            <w:pPr>
              <w:pStyle w:val="Compact"/>
            </w:pPr>
            <w:r>
              <w:rPr>
                <w:b/>
                <w:bCs/>
              </w:rPr>
              <w:t xml:space="preserve">Consent Requirements</w:t>
            </w:r>
          </w:p>
        </w:tc>
        <w:tc>
          <w:tcPr/>
          <w:p>
            <w:pPr>
              <w:pStyle w:val="Compact"/>
            </w:pPr>
            <w:r>
              <w:t xml:space="preserve">Fully respected</w:t>
            </w:r>
          </w:p>
        </w:tc>
        <w:tc>
          <w:tcPr/>
          <w:p>
            <w:pPr>
              <w:pStyle w:val="Compact"/>
            </w:pPr>
            <w:r>
              <w:rPr>
                <w:b/>
                <w:bCs/>
              </w:rPr>
              <w:t xml:space="preserve">Maintained</w:t>
            </w:r>
          </w:p>
        </w:tc>
        <w:tc>
          <w:tcPr/>
          <w:p>
            <w:pPr>
              <w:pStyle w:val="Compact"/>
            </w:pPr>
            <w:r>
              <w:t xml:space="preserve">No changes to consent framework</w:t>
            </w:r>
          </w:p>
        </w:tc>
      </w:tr>
      <w:tr>
        <w:tc>
          <w:tcPr/>
          <w:p>
            <w:pPr>
              <w:pStyle w:val="Compact"/>
            </w:pPr>
            <w:r>
              <w:rPr>
                <w:b/>
                <w:bCs/>
              </w:rPr>
              <w:t xml:space="preserve">Access Restrictions</w:t>
            </w:r>
          </w:p>
        </w:tc>
        <w:tc>
          <w:tcPr/>
          <w:p>
            <w:pPr>
              <w:pStyle w:val="Compact"/>
            </w:pPr>
            <w:r>
              <w:t xml:space="preserve">Role-based control</w:t>
            </w:r>
          </w:p>
        </w:tc>
        <w:tc>
          <w:tcPr/>
          <w:p>
            <w:pPr>
              <w:pStyle w:val="Compact"/>
            </w:pPr>
            <w:r>
              <w:rPr>
                <w:b/>
                <w:bCs/>
              </w:rPr>
              <w:t xml:space="preserve">Strengthened</w:t>
            </w:r>
          </w:p>
        </w:tc>
        <w:tc>
          <w:tcPr/>
          <w:p>
            <w:pPr>
              <w:pStyle w:val="Compact"/>
            </w:pPr>
            <w:r>
              <w:t xml:space="preserve">Enhanced with cloud-specific controls and audit trails</w:t>
            </w:r>
          </w:p>
        </w:tc>
      </w:tr>
      <w:tr>
        <w:tc>
          <w:tcPr/>
          <w:p>
            <w:pPr>
              <w:pStyle w:val="Compact"/>
            </w:pPr>
            <w:r>
              <w:rPr>
                <w:b/>
                <w:bCs/>
              </w:rPr>
              <w:t xml:space="preserve">Data Retention</w:t>
            </w:r>
          </w:p>
        </w:tc>
        <w:tc>
          <w:tcPr/>
          <w:p>
            <w:pPr>
              <w:pStyle w:val="Compact"/>
            </w:pPr>
            <w:r>
              <w:t xml:space="preserve">Policy compliant</w:t>
            </w:r>
          </w:p>
        </w:tc>
        <w:tc>
          <w:tcPr/>
          <w:p>
            <w:pPr>
              <w:pStyle w:val="Compact"/>
            </w:pPr>
            <w:r>
              <w:rPr>
                <w:b/>
                <w:bCs/>
              </w:rPr>
              <w:t xml:space="preserve">Improved</w:t>
            </w:r>
          </w:p>
        </w:tc>
        <w:tc>
          <w:tcPr/>
          <w:p>
            <w:pPr>
              <w:pStyle w:val="Compact"/>
            </w:pPr>
            <w:r>
              <w:t xml:space="preserve">Same periods with better backup and recovery</w:t>
            </w:r>
          </w:p>
        </w:tc>
      </w:tr>
    </w:tbl>
    <w:bookmarkEnd w:id="18"/>
    <w:bookmarkStart w:id="19" w:name="risk-management-improvements"/>
    <w:p>
      <w:pPr>
        <w:pStyle w:val="Heading3"/>
      </w:pPr>
      <w:r>
        <w:t xml:space="preserve">Risk Management Improvements</w:t>
      </w:r>
    </w:p>
    <w:tbl>
      <w:tblPr>
        <w:tblStyle w:val="Table"/>
        <w:tblW w:type="pct" w:w="5000"/>
        <w:tblLayout w:type="fixed"/>
        <w:tblLook w:firstRow="1" w:lastRow="0" w:firstColumn="0" w:lastColumn="0" w:noHBand="0" w:noVBand="0" w:val="0020"/>
      </w:tblPr>
      <w:tblGrid>
        <w:gridCol w:w="1777"/>
        <w:gridCol w:w="3071"/>
        <w:gridCol w:w="3071"/>
      </w:tblGrid>
      <w:tr>
        <w:trPr>
          <w:tblHeader w:val="on"/>
        </w:trPr>
        <w:tc>
          <w:tcPr/>
          <w:p>
            <w:pPr>
              <w:pStyle w:val="Compact"/>
            </w:pPr>
            <w:r>
              <w:t xml:space="preserve">Risk Area</w:t>
            </w:r>
          </w:p>
        </w:tc>
        <w:tc>
          <w:tcPr/>
          <w:p>
            <w:pPr>
              <w:pStyle w:val="Compact"/>
            </w:pPr>
            <w:r>
              <w:t xml:space="preserve">Previous Mitigation</w:t>
            </w:r>
          </w:p>
        </w:tc>
        <w:tc>
          <w:tcPr/>
          <w:p>
            <w:pPr>
              <w:pStyle w:val="Compact"/>
            </w:pPr>
            <w:r>
              <w:t xml:space="preserve">Enhanced Mitigation</w:t>
            </w:r>
          </w:p>
        </w:tc>
      </w:tr>
      <w:tr>
        <w:tc>
          <w:tcPr/>
          <w:p>
            <w:pPr>
              <w:pStyle w:val="Compact"/>
            </w:pPr>
            <w:r>
              <w:rPr>
                <w:b/>
                <w:bCs/>
              </w:rPr>
              <w:t xml:space="preserve">Data Breaches</w:t>
            </w:r>
          </w:p>
        </w:tc>
        <w:tc>
          <w:tcPr/>
          <w:p>
            <w:pPr>
              <w:pStyle w:val="Compact"/>
            </w:pPr>
            <w:r>
              <w:t xml:space="preserve">Standard security measures</w:t>
            </w:r>
          </w:p>
        </w:tc>
        <w:tc>
          <w:tcPr/>
          <w:p>
            <w:pPr>
              <w:pStyle w:val="Compact"/>
            </w:pPr>
            <w:r>
              <w:t xml:space="preserve">24/7 SOC monitoring with real-time threat detection</w:t>
            </w:r>
          </w:p>
        </w:tc>
      </w:tr>
      <w:tr>
        <w:tc>
          <w:tcPr/>
          <w:p>
            <w:pPr>
              <w:pStyle w:val="Compact"/>
            </w:pPr>
            <w:r>
              <w:rPr>
                <w:b/>
                <w:bCs/>
              </w:rPr>
              <w:t xml:space="preserve">Unauthorized Access</w:t>
            </w:r>
          </w:p>
        </w:tc>
        <w:tc>
          <w:tcPr/>
          <w:p>
            <w:pPr>
              <w:pStyle w:val="Compact"/>
            </w:pPr>
            <w:r>
              <w:t xml:space="preserve">Role-based access control</w:t>
            </w:r>
          </w:p>
        </w:tc>
        <w:tc>
          <w:tcPr/>
          <w:p>
            <w:pPr>
              <w:pStyle w:val="Compact"/>
            </w:pPr>
            <w:r>
              <w:t xml:space="preserve">Enhanced access controls with automated compliance reporting</w:t>
            </w:r>
          </w:p>
        </w:tc>
      </w:tr>
      <w:tr>
        <w:tc>
          <w:tcPr/>
          <w:p>
            <w:pPr>
              <w:pStyle w:val="Compact"/>
            </w:pPr>
            <w:r>
              <w:rPr>
                <w:b/>
                <w:bCs/>
              </w:rPr>
              <w:t xml:space="preserve">Data Loss</w:t>
            </w:r>
          </w:p>
        </w:tc>
        <w:tc>
          <w:tcPr/>
          <w:p>
            <w:pPr>
              <w:pStyle w:val="Compact"/>
            </w:pPr>
            <w:r>
              <w:t xml:space="preserve">Regular backups</w:t>
            </w:r>
          </w:p>
        </w:tc>
        <w:tc>
          <w:tcPr/>
          <w:p>
            <w:pPr>
              <w:pStyle w:val="Compact"/>
            </w:pPr>
            <w:r>
              <w:t xml:space="preserve">Automated backup systems with geographic redundancy</w:t>
            </w:r>
          </w:p>
        </w:tc>
      </w:tr>
      <w:tr>
        <w:tc>
          <w:tcPr/>
          <w:p>
            <w:pPr>
              <w:pStyle w:val="Compact"/>
            </w:pPr>
            <w:r>
              <w:rPr>
                <w:b/>
                <w:bCs/>
              </w:rPr>
              <w:t xml:space="preserve">System Failures</w:t>
            </w:r>
          </w:p>
        </w:tc>
        <w:tc>
          <w:tcPr/>
          <w:p>
            <w:pPr>
              <w:pStyle w:val="Compact"/>
            </w:pPr>
            <w:r>
              <w:t xml:space="preserve">Standard disaster recovery</w:t>
            </w:r>
          </w:p>
        </w:tc>
        <w:tc>
          <w:tcPr/>
          <w:p>
            <w:pPr>
              <w:pStyle w:val="Compact"/>
            </w:pPr>
            <w:r>
              <w:t xml:space="preserve">Cloud-native disaster recovery with enhanced capabilities</w:t>
            </w:r>
          </w:p>
        </w:tc>
      </w:tr>
    </w:tbl>
    <w:p>
      <w:r>
        <w:pict>
          <v:rect style="width:0;height:1.5pt" o:hralign="center" o:hrstd="t" o:hr="t"/>
        </w:pict>
      </w:r>
    </w:p>
    <w:p>
      <w:pPr>
        <w:pStyle w:val="FirstParagraph"/>
      </w:pPr>
      <w:r>
        <w:rPr>
          <w:b/>
          <w:bCs/>
        </w:rPr>
        <w:t xml:space="preserve">HREC Submission Requirements:</w:t>
      </w:r>
      <w:r>
        <w:t xml:space="preserve"> </w:t>
      </w:r>
      <w:r>
        <w:t xml:space="preserve">- Updated Data Management Plan (v2.2)</w:t>
      </w:r>
      <w:r>
        <w:t xml:space="preserve"> </w:t>
      </w:r>
      <w:r>
        <w:t xml:space="preserve">- Risk assessment for cloud migration</w:t>
      </w:r>
      <w:r>
        <w:t xml:space="preserve"> </w:t>
      </w:r>
      <w:r>
        <w:t xml:space="preserve">- Security enhancement documentation</w:t>
      </w:r>
      <w:r>
        <w:t xml:space="preserve"> </w:t>
      </w:r>
      <w:r>
        <w:t xml:space="preserve">- Compliance monitoring procedures</w:t>
      </w:r>
      <w:r>
        <w:t xml:space="preserve"> </w:t>
      </w:r>
      <w:r>
        <w:t xml:space="preserve">- Staff training records for new systems</w:t>
      </w:r>
    </w:p>
    <w:p>
      <w:pPr>
        <w:pStyle w:val="BodyText"/>
      </w:pPr>
      <w:r>
        <w:rPr>
          <w:b/>
          <w:bCs/>
        </w:rPr>
        <w:t xml:space="preserve">Contact for HREC Queries:</w:t>
      </w:r>
      <w:r>
        <w:t xml:space="preserve"> </w:t>
      </w:r>
      <w:r>
        <w:t xml:space="preserve">-</w:t>
      </w:r>
      <w:r>
        <w:t xml:space="preserve"> </w:t>
      </w:r>
      <w:r>
        <w:rPr>
          <w:b/>
          <w:bCs/>
        </w:rPr>
        <w:t xml:space="preserve">Primary Contact</w:t>
      </w:r>
      <w:r>
        <w:t xml:space="preserve">: Craig Parker (Craig.parker@witsphr.org)</w:t>
      </w:r>
      <w:r>
        <w:t xml:space="preserve"> </w:t>
      </w:r>
      <w:r>
        <w:t xml:space="preserve">-</w:t>
      </w:r>
      <w:r>
        <w:t xml:space="preserve"> </w:t>
      </w:r>
      <w:r>
        <w:rPr>
          <w:b/>
          <w:bCs/>
        </w:rPr>
        <w:t xml:space="preserve">Data Management Lead</w:t>
      </w:r>
      <w:r>
        <w:t xml:space="preserve">: Christopher Jack (cjack@csag.uct.ac.za)</w:t>
      </w:r>
      <w:r>
        <w:t xml:space="preserve"> </w:t>
      </w:r>
      <w:r>
        <w:t xml:space="preserve">-</w:t>
      </w:r>
      <w:r>
        <w:t xml:space="preserve"> </w:t>
      </w:r>
      <w:r>
        <w:rPr>
          <w:b/>
          <w:bCs/>
        </w:rPr>
        <w:t xml:space="preserve">Ethics Compliance Officer</w:t>
      </w:r>
      <w:r>
        <w:t xml:space="preserve">: [To be designated]</w:t>
      </w:r>
    </w:p>
    <w:p>
      <w:r>
        <w:pict>
          <v:rect style="width:0;height:1.5pt" o:hralign="center" o:hrstd="t" o:hr="t"/>
        </w:pict>
      </w:r>
    </w:p>
    <w:p>
      <w:pPr>
        <w:pStyle w:val="FirstParagraph"/>
      </w:pPr>
      <w:r>
        <w:rPr>
          <w:b/>
          <w:bCs/>
        </w:rPr>
        <w:t xml:space="preserve">Note</w:t>
      </w:r>
      <w:r>
        <w:t xml:space="preserve">: All changes maintain backward compatibility and dual capability during the transition period to ensure continuity of research operations whilst migrating to the cloud infrastructure. Enhanced ethics safeguards have been implemented throughout the migration process to ensure participant protection exceeds previous standards.</w:t>
      </w:r>
    </w:p>
    <w:bookmarkEnd w:id="19"/>
    <w:bookmarkEnd w:id="2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2025-08-05T10:21:14Z</dcterms:created>
  <dcterms:modified xsi:type="dcterms:W3CDTF">2025-08-05T10:21:14Z</dcterms:modified>
</cp:coreProperties>
</file>

<file path=docProps/custom.xml><?xml version="1.0" encoding="utf-8"?>
<Properties xmlns="http://schemas.openxmlformats.org/officeDocument/2006/custom-properties" xmlns:vt="http://schemas.openxmlformats.org/officeDocument/2006/docPropsVTypes"/>
</file>