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Style w:val="842"/>
        <w:pBdr/>
        <w:spacing/>
        <w:ind/>
        <w:rPr/>
      </w:pPr>
      <w:r>
        <w:rPr>
          <w:lang w:val="en-ZA"/>
        </w:rPr>
        <w:t xml:space="preserve">HE2AT Centre Data Access Committee - ToR</w:t>
      </w:r>
      <w:r/>
    </w:p>
    <w:p>
      <w:pPr>
        <w:pStyle w:val="823"/>
        <w:pBdr/>
        <w:spacing/>
        <w:ind/>
        <w:rPr/>
      </w:pPr>
      <w:r>
        <w:t xml:space="preserve">Preamble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</w:t>
      </w:r>
      <w:r>
        <w:rPr>
          <w:lang w:val="en-ZA"/>
        </w:rPr>
        <w:t xml:space="preserve"> HE2AT Centre Data</w:t>
      </w:r>
      <w:r>
        <w:t xml:space="preserve"> Access Committee (</w:t>
      </w:r>
      <w:r>
        <w:rPr>
          <w:lang w:val="en-ZA"/>
        </w:rPr>
        <w:t xml:space="preserve">HC</w:t>
      </w:r>
      <w:r>
        <w:rPr>
          <w:lang w:val="en-ZA"/>
        </w:rPr>
        <w:t xml:space="preserve">DAC</w:t>
      </w:r>
      <w:r>
        <w:t xml:space="preserve">) </w:t>
      </w:r>
      <w:r>
        <w:t xml:space="preserve">will review and approve or reject all requests from the research community for access to </w:t>
      </w:r>
      <w:r>
        <w:rPr>
          <w:lang w:val="en-ZA"/>
        </w:rPr>
        <w:t xml:space="preserve">harmonized health data processed by the HE2AT Centre</w:t>
      </w:r>
      <w:r>
        <w:t xml:space="preserve">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en-ZA"/>
        </w:rPr>
      </w:pPr>
      <w:r>
        <w:t xml:space="preserve">The Committee will evaluate whether the request conforms to </w:t>
      </w:r>
      <w:r>
        <w:rPr>
          <w:lang w:val="en-ZA"/>
        </w:rPr>
        <w:t xml:space="preserve">HE2AT Centre data use</w:t>
      </w:r>
      <w:r>
        <w:t xml:space="preserve"> policies and procedures</w:t>
      </w:r>
      <w:r>
        <w:rPr>
          <w:lang w:val="en-ZA"/>
        </w:rPr>
        <w:t xml:space="preserve">,</w:t>
      </w:r>
      <w:r>
        <w:rPr>
          <w:lang w:val="en-ZA"/>
        </w:rPr>
        <w:t xml:space="preserve"> i</w:t>
      </w:r>
      <w:r>
        <w:t xml:space="preserve">ncluding consistency of the proposed research use with the informed consent under which the data </w:t>
      </w:r>
      <w:r>
        <w:t xml:space="preserve">were collected and any other limitations stipulated by the </w:t>
      </w:r>
      <w:r>
        <w:rPr>
          <w:lang w:val="en-ZA"/>
        </w:rPr>
        <w:t xml:space="preserve">data providers.</w:t>
      </w:r>
      <w:r>
        <w:rPr>
          <w:lang w:val="en-Z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n-ZA"/>
        </w:rPr>
        <w:t xml:space="preserve">Requests will only be considered for </w:t>
      </w:r>
      <w:r>
        <w:rPr>
          <w:i/>
          <w:iCs/>
          <w:lang w:val="en-ZA"/>
        </w:rPr>
        <w:t xml:space="preserve">harmonized and de-identified datasets</w:t>
      </w:r>
      <w:r>
        <w:rPr>
          <w:lang w:val="en-ZA"/>
        </w:rPr>
        <w:t xml:space="preserve"> processed under the HE2AT Centre project.  Requests for original source datasets will be referred back to the original data provider with consideration by the DAC.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23"/>
        <w:pBdr/>
        <w:spacing/>
        <w:ind/>
        <w:rPr/>
      </w:pPr>
      <w:r>
        <w:t xml:space="preserve">Composition of the Committee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lang w:val="en-ZA"/>
        </w:rPr>
        <w:t xml:space="preserve">HCDAC</w:t>
      </w:r>
      <w:r>
        <w:t xml:space="preserve"> will be composed of 9 voting members with appropriate scientific, </w:t>
      </w:r>
      <w:r>
        <w:rPr>
          <w:lang w:val="en-ZA"/>
        </w:rPr>
        <w:t xml:space="preserve">health </w:t>
      </w:r>
      <w:r>
        <w:t xml:space="preserve">ethics and data </w:t>
      </w:r>
      <w:r>
        <w:t xml:space="preserve">expertise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committee members will include individuals who are: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(i) </w:t>
      </w:r>
      <w:r>
        <w:t xml:space="preserve">scientists involved in research relevant to HE2AT,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(ii) scientists with expertise in </w:t>
      </w:r>
      <w:r>
        <w:rPr>
          <w:lang w:val="en-ZA"/>
        </w:rPr>
        <w:t xml:space="preserve">public </w:t>
      </w:r>
      <w:r>
        <w:rPr>
          <w:lang w:val="en-ZA"/>
        </w:rPr>
        <w:t xml:space="preserve">health data</w:t>
      </w:r>
      <w:r>
        <w:t xml:space="preserve">, (iii) a </w:t>
      </w:r>
      <w:r>
        <w:t xml:space="preserve">data </w:t>
      </w:r>
      <w:r>
        <w:rPr>
          <w:lang w:val="en-ZA"/>
        </w:rPr>
        <w:t xml:space="preserve">science </w:t>
      </w:r>
      <w:r>
        <w:t xml:space="preserve">expert, (iv) individuals knowledgeable in ethics of health research in Africa,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(v) person with legal</w:t>
      </w:r>
      <w:r>
        <w:rPr>
          <w:lang w:val="en-ZA"/>
        </w:rPr>
        <w:t xml:space="preserve"> </w:t>
      </w:r>
      <w:r>
        <w:t xml:space="preserve">expertise.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They </w:t>
      </w:r>
      <w:r>
        <w:rPr>
          <w:b/>
          <w:bCs/>
        </w:rPr>
        <w:t xml:space="preserve">should not be members of the HE2AT Consortium and should have no conflict of interest with any of </w:t>
      </w:r>
      <w:r>
        <w:rPr>
          <w:b/>
          <w:bCs/>
        </w:rPr>
        <w:t xml:space="preserve">the HE2AT projects.</w:t>
      </w:r>
      <w:r>
        <w:t xml:space="preserve"> The HE2AT Steering Committee will consult broadly to identify appropriate </w:t>
      </w:r>
      <w:r>
        <w:t xml:space="preserve">members of the HE2AT DAC. Selection of members will be done by the HE2AT Steering </w:t>
      </w:r>
      <w:r>
        <w:t xml:space="preserve">Committee together with Funders.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The aim is that the majority of DAC members are people residing </w:t>
      </w:r>
      <w:r>
        <w:t xml:space="preserve">in Africa.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hd w:val="nil"/>
        <w:spacing/>
        <w:ind/>
        <w:rPr/>
      </w:pPr>
      <w:r>
        <w:rPr>
          <w:rStyle w:val="834"/>
          <w:highlight w:val="none"/>
        </w:rPr>
        <w:br w:type="page" w:clear="all"/>
      </w:r>
      <w:r>
        <w:rPr>
          <w:rStyle w:val="83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Style w:val="834"/>
          <w:highlight w:val="none"/>
        </w:rPr>
      </w:pPr>
      <w:r>
        <w:rPr>
          <w:rStyle w:val="834"/>
        </w:rPr>
        <w:t xml:space="preserve">Terms of Appointment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Chair shall be elected by a majority vote of the DAC members to a 3 year term which is renewable </w:t>
      </w:r>
      <w:r>
        <w:t xml:space="preserve">once.  The start date of the first 3 year term will be set by the DAC.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Members will be appointed for a term of 3 years, with the possibility of serving a further three-year </w:t>
      </w:r>
      <w:r>
        <w:t xml:space="preserve">term. Rotation of members will be staggered to allow for continuity of membership; at least three </w:t>
      </w:r>
      <w:r>
        <w:t xml:space="preserve">committee members should remain on the committee while others are replaced.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Style w:val="824"/>
        <w:pBdr/>
        <w:spacing/>
        <w:ind/>
        <w:rPr/>
      </w:pPr>
      <w:r/>
      <w:r>
        <w:rPr>
          <w:rStyle w:val="833"/>
        </w:rPr>
        <w:t xml:space="preserve">Scope of Work</w:t>
      </w:r>
      <w:r>
        <w:rPr>
          <w:rStyle w:val="835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HE2AT DAC will review and approve or reject all requests from the research community (the </w:t>
      </w:r>
      <w:r>
        <w:t xml:space="preserve">"Research community" also includes members of commercial enterprises) for access to datasets</w:t>
      </w:r>
      <w:r>
        <w:t xml:space="preserve">. The DAC may request modifications to access requests before approval. If</w:t>
      </w:r>
      <w:r>
        <w:rPr>
          <w:lang w:val="en-ZA"/>
        </w:rPr>
        <w:t xml:space="preserve"> </w:t>
      </w:r>
      <w:r>
        <w:t xml:space="preserve">necessary, the DAC will delay a decision pending a request for additional information from the </w:t>
      </w:r>
      <w:r>
        <w:t xml:space="preserve">submitter.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DAC must ensure that all requests conform with HE2AT policies and procedures including </w:t>
      </w:r>
      <w:r>
        <w:t xml:space="preserve">compliance with the terms of informed consent and any limitations stipulated by the submitting</w:t>
      </w:r>
      <w:r>
        <w:rPr>
          <w:lang w:val="en-ZA"/>
        </w:rPr>
        <w:t xml:space="preserve"> </w:t>
      </w:r>
      <w:r>
        <w:t xml:space="preserve">institution/investigators for each study.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Researchers who qualify to submit a request are defined as scientists or medical professionals </w:t>
      </w:r>
      <w:r>
        <w:t xml:space="preserve">employed at, or legitimately affiliated with academic, non-profit or government institutions, or</w:t>
      </w:r>
      <w:r>
        <w:rPr>
          <w:lang w:val="en-ZA"/>
        </w:rPr>
        <w:t xml:space="preserve"> </w:t>
      </w:r>
      <w:r>
        <w:t xml:space="preserve">commercial companies.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HE2AT DAC will only consider requests for access to data submitted using </w:t>
      </w:r>
      <w:r>
        <w:t xml:space="preserve">the Data Access Request Form.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Submission of a Data Access Request (DAR) indicates that the Requesting Investigator (Requester) and </w:t>
      </w:r>
      <w:r>
        <w:t xml:space="preserve">his/her institution have agreed to the terms and conditions for data use specified in the Data Access </w:t>
      </w:r>
      <w:r>
        <w:t xml:space="preserve">Agreement (DAA) for the HE2AT Data Access Policy. This requires that Requesters, at a minimum,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agree to: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Abide by the agreed upon research uses of the requested dataset,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Not seek to identify individuals within the dataset,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Not distribute the data in any form to any entity or individual other than his/her research </w:t>
      </w:r>
      <w:r>
        <w:t xml:space="preserve">staff or trainees or independent collaborating investigators listed in the DAR under </w:t>
      </w:r>
      <w:r>
        <w:t xml:space="preserve">"Research &amp; Related Senior/Key Person Profile"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 xml:space="preserve">Keep the data secure, and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Acknowledge HE2AT as appropriate in publications and presentations. </w:t>
      </w:r>
      <w:r/>
    </w:p>
    <w:p>
      <w:pPr>
        <w:pStyle w:val="825"/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en-ZA"/>
        </w:rPr>
        <w:t xml:space="preserve">Data availability requests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 instances where an investigator wishes to refer to availability and use of HE2AT </w:t>
      </w:r>
      <w:r>
        <w:rPr>
          <w:lang w:val="en-ZA"/>
        </w:rPr>
        <w:t xml:space="preserve">data</w:t>
      </w:r>
      <w:r>
        <w:t xml:space="preserve"> in research, prior to submission of a funding application, applicants may contact the </w:t>
      </w:r>
      <w:r>
        <w:t xml:space="preserve">HE2AT </w:t>
      </w:r>
      <w:r>
        <w:rPr>
          <w:lang w:val="en-ZA"/>
        </w:rPr>
        <w:t xml:space="preserve">DAC</w:t>
      </w:r>
      <w:r>
        <w:t xml:space="preserve"> to obtain information about </w:t>
      </w:r>
      <w:r>
        <w:rPr>
          <w:lang w:val="en-ZA"/>
        </w:rPr>
        <w:t xml:space="preserve">data</w:t>
      </w:r>
      <w:r>
        <w:t xml:space="preserve"> availability and access procedures to </w:t>
      </w:r>
      <w:r>
        <w:t xml:space="preserve">include in their research proposals, however, this by no means guarantees approval or availability at </w:t>
      </w:r>
      <w:r>
        <w:t xml:space="preserve">the time of eventual request</w:t>
      </w:r>
      <w:r>
        <w:rPr>
          <w:lang w:val="en-ZA"/>
        </w:rPr>
        <w:t xml:space="preserve">.</w:t>
      </w:r>
      <w:r>
        <w:t xml:space="preserve"> The DAC will only grant final approval for </w:t>
      </w:r>
      <w:r>
        <w:rPr>
          <w:lang w:val="en-ZA"/>
        </w:rPr>
        <w:t xml:space="preserve">data</w:t>
      </w:r>
      <w:r>
        <w:t xml:space="preserve"> </w:t>
      </w:r>
      <w:r>
        <w:rPr>
          <w:lang w:val="en-ZA"/>
        </w:rPr>
        <w:t xml:space="preserve">sharing</w:t>
      </w:r>
      <w:r>
        <w:t xml:space="preserve"> to </w:t>
      </w:r>
      <w:r>
        <w:t xml:space="preserve">appropriately reviewed funded applications.</w:t>
      </w:r>
      <w:r>
        <w:rPr>
          <w:highlight w:val="none"/>
        </w:rPr>
      </w:r>
      <w:r/>
    </w:p>
    <w:p>
      <w:pPr>
        <w:pStyle w:val="825"/>
        <w:pBdr/>
        <w:spacing/>
        <w:ind/>
        <w:rPr>
          <w:highlight w:val="none"/>
        </w:rPr>
      </w:pPr>
      <w:r>
        <w:rPr>
          <w:lang w:val="en-ZA"/>
        </w:rPr>
        <w:t xml:space="preserve">Monitoring and evaluation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HE2AT DAC Secretariat will develop an annual report on the DAC activities which will be </w:t>
      </w:r>
      <w:r>
        <w:t xml:space="preserve">available to the ethics committees involved in the original approval of HE2AT research projects upon </w:t>
      </w:r>
      <w:r>
        <w:t xml:space="preserve">request. The report will include information on approved and rejected applications.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25"/>
        <w:pBdr/>
        <w:spacing/>
        <w:ind/>
        <w:rPr/>
      </w:pPr>
      <w:r>
        <w:t xml:space="preserve">Conflicts of Interest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yellow"/>
        </w:rPr>
        <w:t xml:space="preserve">Conflict of interest for DAC members includes</w:t>
      </w:r>
      <w:r>
        <w:t xml:space="preserve">, but is not limited to: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a.  </w:t>
      </w:r>
      <w:r>
        <w:rPr>
          <w:highlight w:val="yellow"/>
        </w:rPr>
        <w:t xml:space="preserve">Collaboration on scientific publications with a Requester or a Co-Investigator listed on a data </w:t>
      </w:r>
      <w:r>
        <w:rPr>
          <w:highlight w:val="yellow"/>
        </w:rPr>
        <w:t xml:space="preserve">access request within three years of the submission date of the Request</w:t>
      </w:r>
      <w:r>
        <w:t xml:space="preserve">. In cases </w:t>
      </w:r>
      <w:r>
        <w:t xml:space="preserve">where the collaboration was on consortia-type publications, DAC will critically evaluate each </w:t>
      </w:r>
      <w:r>
        <w:t xml:space="preserve">case on its own merit.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b.  </w:t>
      </w:r>
      <w:r>
        <w:rPr>
          <w:highlight w:val="yellow"/>
        </w:rPr>
        <w:t xml:space="preserve">Supervisory relationship with a Requestor or a Co-Investigator listed on a data </w:t>
      </w:r>
      <w:r>
        <w:rPr>
          <w:highlight w:val="yellow"/>
        </w:rPr>
        <w:t xml:space="preserve">access request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c.  </w:t>
      </w:r>
      <w:r>
        <w:rPr>
          <w:highlight w:val="yellow"/>
        </w:rPr>
        <w:t xml:space="preserve">Being a Requester or a Co-Investigator on a data access request.</w:t>
      </w: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d.  Business or financial connection to the requestor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DAC members are expected to review data access requests in advance to identify </w:t>
      </w:r>
      <w:r>
        <w:t xml:space="preserve">conflicts and communicate them to HE2AT </w:t>
      </w:r>
      <w:r>
        <w:rPr>
          <w:lang w:val="en-ZA"/>
        </w:rPr>
        <w:t xml:space="preserve">s</w:t>
      </w:r>
      <w:r>
        <w:t xml:space="preserve">secretariat staff. </w:t>
      </w:r>
      <w:r>
        <w:rPr>
          <w:highlight w:val="yellow"/>
        </w:rPr>
        <w:t xml:space="preserve">DAC members will recuse themselves </w:t>
      </w:r>
      <w:r>
        <w:rPr>
          <w:highlight w:val="yellow"/>
        </w:rPr>
        <w:t xml:space="preserve">from discussion and voting on requests for which they are in conflict.</w:t>
      </w:r>
      <w:r>
        <w:t xml:space="preserve"> All conflicts of interest will be </w:t>
      </w:r>
      <w:r>
        <w:t xml:space="preserve">recorded in the minutes.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Style w:val="834"/>
        </w:rPr>
        <w:t xml:space="preserve">Operations</w:t>
      </w: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Review schedule 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a.  After submission of a DAR, HE2AT DAC Secretariat staff will use a standardized </w:t>
      </w:r>
      <w:r>
        <w:t xml:space="preserve">request review checklist (Appendix A) to determine whether applications are complete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b.  HE2AT DAC Secretariat staff may ask for more information from the Requester and/or </w:t>
      </w:r>
      <w:r>
        <w:rPr>
          <w:lang w:val="en-ZA"/>
        </w:rPr>
        <w:t xml:space="preserve">h</w:t>
      </w:r>
      <w:r>
        <w:t xml:space="preserve">er/his institution if necessary. 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c.  HE2AT DAC Secretariat staff will post a summary of the request and completed checklist in a </w:t>
      </w:r>
      <w:r>
        <w:t xml:space="preserve">place accessible to the DAC only and ask members to review for Conflicts of Interest.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d.  Once all actual and potential conflicts of interest are resolved, the full requests will be posted </w:t>
      </w:r>
      <w:r>
        <w:t xml:space="preserve">for all DAC members to review.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e.  From an initial request, the HE2AT DAC will aim to reach and communicate a decision in 30-</w:t>
      </w:r>
      <w:r>
        <w:t xml:space="preserve">60 days.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Quorum</w:t>
      </w: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quorum is defined as 5 out of 9 of the HE2AT DAC members.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If it is anticipated that a quorum will not be present for making decisions about requests at a DAC </w:t>
      </w:r>
      <w:r>
        <w:t xml:space="preserve">meeting, the meeting will be moved to a date such that a quorum is reached. </w:t>
      </w:r>
      <w:r>
        <w:t xml:space="preserve">Applications that have specific issues not covered by expertise on the Committee can be deferred for</w:t>
      </w:r>
      <w:r>
        <w:rPr>
          <w:lang w:val="en-ZA"/>
        </w:rPr>
        <w:t xml:space="preserve"> </w:t>
      </w:r>
      <w:r>
        <w:t xml:space="preserve">further consultation.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Decisions about Data Access Requests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  <w:r>
        <w:t xml:space="preserve">Requests will be reviewed by HE2AT DAC members who can vote via e-mail or any other approved </w:t>
      </w:r>
      <w:r>
        <w:t xml:space="preserve">means to approve, reject, or discuss the request. Voting responses will be tracked by the Secretariat. If </w:t>
      </w:r>
      <w:r>
        <w:t xml:space="preserve">a quorum of HE2AT DAC members vote by the stated deadline and the vote to approve or reject a </w:t>
      </w:r>
      <w:r>
        <w:t xml:space="preserve">request is unanimous, the request can be approved/rejected without discussion at a DAC meeting </w:t>
      </w:r>
      <w:r>
        <w:t xml:space="preserve">and the requestor will be informed of the outcome. If the vote is not unanimous, the Chair will go with </w:t>
      </w:r>
      <w:r>
        <w:t xml:space="preserve">the consensus vote, and if there is no consensus then the majority vote should be accepted .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DAC </w:t>
      </w:r>
      <w:r>
        <w:t xml:space="preserve">will aim to hold regular meetings in person, or via telephone or video conferencing software.  If there is </w:t>
      </w:r>
      <w:r>
        <w:t xml:space="preserve">a disagreement that relates to an ethical matter, this should be referred to external ethics experts, and </w:t>
      </w:r>
      <w:r>
        <w:t xml:space="preserve">if agreement is still not reached it can be deferred to the original ethics committee(s) for the project. </w:t>
      </w:r>
      <w:r>
        <w:t xml:space="preserve">Other disagreements may be addressed by the project PI or the funder or by calling on external </w:t>
      </w:r>
      <w:r>
        <w:t xml:space="preserve">experts.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If an HE2AT DAC member is not able to attend a meeting at which a request will be discussed, the </w:t>
      </w:r>
      <w:r>
        <w:t xml:space="preserve">member can raise issues and vote via e-mail. If the HE2AT DAC member votes by e-mail prior to the </w:t>
      </w:r>
      <w:r>
        <w:t xml:space="preserve">meeting and important issues are raised at the meeting that may affect the member's vote, as judged </w:t>
      </w:r>
      <w:r>
        <w:t xml:space="preserve">by the members attending the meeting, the member who voted by e-mail will be </w:t>
      </w:r>
      <w:r>
        <w:t xml:space="preserve">informed of the discussion and given the opportunity to reconsider her/his vote and communicate this </w:t>
      </w:r>
      <w:r>
        <w:t xml:space="preserve">in writing to the DAC prior to a final decision. The DAC Chair will tally the in-meeting and e-mail </w:t>
      </w:r>
      <w:r>
        <w:t xml:space="preserve">votes, and this will constitute the final decision of the DAC on the matter.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decision-making process will be reviewed by the HE2AT DAC members at least once a year to </w:t>
      </w:r>
      <w:r>
        <w:t xml:space="preserve">determine whether changes need to be made. </w:t>
      </w:r>
      <w:r/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25"/>
        <w:pBdr/>
        <w:spacing/>
        <w:ind/>
        <w:rPr>
          <w:highlight w:val="none"/>
        </w:rPr>
      </w:pPr>
      <w:r>
        <w:t xml:space="preserve">Procedures for Checking Elements for Research Use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Authentication and Terms of Access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Applicants and their institutions are checked by the DAC Secretariat staff. To successfully submit a </w:t>
      </w:r>
      <w:r>
        <w:t xml:space="preserve">request, Requesters and their institutions must agree to the terms of access specified in the Data </w:t>
      </w:r>
      <w:r>
        <w:t xml:space="preserve">Access Agreement (DAA). Thus, authenticating Requesters and confirming agreement to the DAA </w:t>
      </w:r>
      <w:r>
        <w:t xml:space="preserve">require no further steps by the HE2AT DAC.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Ethics approvals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Ethics approval or a letter of exemption will be required for access to dat</w:t>
      </w:r>
      <w:r>
        <w:rPr>
          <w:lang w:val="en-ZA"/>
        </w:rPr>
        <w:t xml:space="preserve">a</w:t>
      </w:r>
      <w:r>
        <w:t xml:space="preserve">, </w:t>
      </w:r>
      <w:r>
        <w:t xml:space="preserve">depending on the scope of the research.</w:t>
      </w:r>
      <w:r>
        <w:rPr>
          <w:lang w:val="en-ZA"/>
        </w:rPr>
        <w:t xml:space="preserve">  </w:t>
      </w:r>
      <w:r>
        <w:t xml:space="preserve">By agreeing to the terms of access in the DAC, Requesters and their institutions are </w:t>
      </w:r>
      <w:r>
        <w:t xml:space="preserve">certifying that any applicable National; U.S. Federal, State, and Local laws are being followed and that, </w:t>
      </w:r>
      <w:r>
        <w:t xml:space="preserve">if applicable, a Requester is in compliance with local human subjects’ protections. While the HE2AT </w:t>
      </w:r>
      <w:r>
        <w:t xml:space="preserve">DAC is not responsible for reviewing the ethics approval letter, it must be provided if required. If </w:t>
      </w:r>
      <w:r>
        <w:t xml:space="preserve">required, the DAC can seek the opinion of the original ethics committee that approved sample </w:t>
      </w:r>
      <w:r>
        <w:t xml:space="preserve">collection. </w:t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Single institution application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Principal Investigator (applicant) must be a faculty member or government/private sector </w:t>
      </w:r>
      <w:r>
        <w:rPr>
          <w:lang w:val="en-ZA"/>
        </w:rPr>
        <w:t xml:space="preserve"> </w:t>
      </w:r>
      <w:r>
        <w:t xml:space="preserve">equivalent employed by the requesting institution. </w:t>
      </w:r>
      <w:r>
        <w:rPr>
          <w:lang w:val="en-ZA"/>
        </w:rPr>
        <w:t xml:space="preserve"> </w:t>
      </w:r>
      <w:r>
        <w:t xml:space="preserve">The Principal Investigator of the request and all collaborators listed as part of the request may </w:t>
      </w:r>
      <w:r>
        <w:t xml:space="preserve">be from the same institution. If they are not, then all participating institutions must be listed on </w:t>
      </w:r>
      <w:r>
        <w:t xml:space="preserve">the request form and HE2AT DAC staff will contact the Requester to explain to her/him that </w:t>
      </w:r>
      <w:r>
        <w:t xml:space="preserve">collaborators from different institutions will have to submit separate access agreements if </w:t>
      </w:r>
      <w:r>
        <w:t xml:space="preserve">access is granted.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Compliance with any data use limitations identified by the institutions that submitted the dataset(s):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DAC members will review the research use statement provided by the Requester and information </w:t>
      </w:r>
      <w:r>
        <w:t xml:space="preserve">provided by the submitting institution, to determine whether the proposed research use is consistent </w:t>
      </w:r>
      <w:r>
        <w:t xml:space="preserve">with any data use limitations identified by the institutions that </w:t>
      </w:r>
      <w:r>
        <w:t xml:space="preserve">submitted the dataset(s).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Decision fee</w:t>
      </w:r>
      <w:r>
        <w:rPr>
          <w:b/>
          <w:bCs/>
          <w:lang w:val="en-ZA"/>
        </w:rPr>
        <w:t xml:space="preserve">back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Any decision by the HE2AT DAC not to grant access will be conveyed to the </w:t>
      </w:r>
      <w:r>
        <w:t xml:space="preserve">Requester with fee</w:t>
      </w:r>
      <w:r>
        <w:rPr>
          <w:lang w:val="en-ZA"/>
        </w:rPr>
        <w:t xml:space="preserve">d</w:t>
      </w:r>
      <w:r>
        <w:rPr>
          <w:lang w:val="en-ZA"/>
        </w:rPr>
        <w:t xml:space="preserve">bac</w:t>
      </w:r>
      <w:r>
        <w:t xml:space="preserve">k on the reasoning behind the determination, for instance, a brief summary of </w:t>
      </w:r>
      <w:r>
        <w:t xml:space="preserve">the points considered about the proposed use and how these were not consistent with the data use </w:t>
      </w:r>
      <w:r>
        <w:t xml:space="preserve">parameters for the dataset in question. All approved requests will be listed on the HE2AT website.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Reconsideration of DAC decisions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If a Requester wishes to contest the HE2AT DAC’s decision regarding the appropriateness of his or </w:t>
      </w:r>
      <w:r>
        <w:t xml:space="preserve">her access to data, the Requester may contact the HE2AT DAC Chair to discuss </w:t>
      </w:r>
      <w:r>
        <w:t xml:space="preserve">the issues or resubmit her/his request. The HE2AT DAC Chair may approach the HE2AT Steering </w:t>
      </w:r>
      <w:r>
        <w:t xml:space="preserve">Committee for their advice in problematic cases.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DAC Annual Reports</w:t>
      </w: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Annual Reports summarizing DAC activities will be generated by the HE2AT DAC Chair and will be </w:t>
      </w:r>
      <w:r/>
      <w:r>
        <w:t xml:space="preserve">due to the HE2AT Steering Committee. </w:t>
      </w:r>
      <w:r/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Style w:val="833"/>
        </w:rPr>
        <w:t xml:space="preserve">Appendix A: Request Review Checklist</w:t>
      </w: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HE2AT DAC Secretariat will review requests for data prior to submission to </w:t>
      </w:r>
      <w:r/>
      <w:r>
        <w:t xml:space="preserve">the DAC to ensure that all documents are present and in order. They will check the following: </w:t>
      </w:r>
      <w:r/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 the HE2AT Data  Access request form complete, correctly filled in and is </w:t>
      </w:r>
      <w:r>
        <w:t xml:space="preserve">the data access agreement completed and signed? </w:t>
      </w:r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Check evidence of scientific review and letter demonstrating institutional support </w:t>
      </w:r>
      <w:r/>
    </w:p>
    <w:p>
      <w:pPr>
        <w:pStyle w:val="88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Ensure that PI comments regarding future use or caveats are included, if so requested.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The HE2AT DAC Secretariat will:  </w:t>
      </w:r>
      <w:r>
        <w:rPr>
          <w:b/>
          <w:bCs/>
        </w:rPr>
      </w:r>
      <w:r>
        <w:rPr>
          <w:b/>
          <w:bCs/>
        </w:rPr>
      </w:r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Using a standardized request review checklist, the HE2AT Secretariat staff </w:t>
      </w:r>
      <w:r/>
      <w:r>
        <w:t xml:space="preserve">will review requests to determine whether applications are complete prior to sending the request </w:t>
      </w:r>
      <w:r/>
      <w:r>
        <w:t xml:space="preserve">for a full HE2AT DAC review.  </w:t>
      </w:r>
      <w:r/>
      <w:r/>
      <w:r/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All applications will be made to the secretariat who will firstly check that the request is complete </w:t>
      </w:r>
      <w:r>
        <w:t xml:space="preserve">and eligible for applying, secondly, they will manage the process of communication with the </w:t>
      </w:r>
      <w:r/>
      <w:r/>
      <w:r>
        <w:t xml:space="preserve">applicants on instruction from the DAC </w:t>
      </w:r>
      <w:r/>
      <w:r/>
    </w:p>
    <w:p>
      <w:pPr>
        <w:pStyle w:val="88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secretariat will ensure the DAC receive all the documents required for making a decision,</w:t>
      </w:r>
      <w:r>
        <w:rPr>
          <w:lang w:val="en-ZA"/>
        </w:rPr>
        <w:t xml:space="preserve"> </w:t>
      </w:r>
      <w:r>
        <w:t xml:space="preserve">including: </w:t>
        <w:br/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Completed access request form 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Ethics consent information for relevant project </w:t>
      </w:r>
      <w:r/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Any additional conditions from relevant project 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Information on timeline of any publication embargo </w:t>
      </w:r>
      <w:r/>
    </w:p>
    <w:p>
      <w:pPr>
        <w:pStyle w:val="88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Availability of </w:t>
      </w:r>
      <w:r>
        <w:rPr>
          <w:lang w:val="en-ZA"/>
        </w:rPr>
        <w:t xml:space="preserve">data</w:t>
      </w:r>
      <w:r>
        <w:t xml:space="preserve"> being requested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8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Maintain a list of applications and a spreadsheet documenting the process (with deliverable dates </w:t>
      </w:r>
      <w:r/>
      <w:r/>
      <w:r>
        <w:t xml:space="preserve">for each step of the process) </w:t>
      </w:r>
      <w:r/>
      <w:r/>
      <w:r/>
      <w:r/>
      <w:r/>
    </w:p>
    <w:p>
      <w:pPr>
        <w:pStyle w:val="88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Maintain a list of granted access requests on the HE2AT website </w:t>
      </w:r>
      <w:r/>
      <w:r/>
    </w:p>
    <w:p>
      <w:pPr>
        <w:pStyle w:val="88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Check publications from requesters to ensure acknowledgement is provided and relevant </w:t>
      </w:r>
      <w:r/>
      <w:r>
        <w:t xml:space="preserve">HE2AT publications are cited. </w:t>
      </w:r>
      <w:r/>
      <w:r/>
    </w:p>
    <w:p>
      <w:pPr>
        <w:pStyle w:val="88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Develop and circulate an annual report to the ethics committees involved in the original </w:t>
      </w:r>
      <w:r/>
      <w:r>
        <w:t xml:space="preserve">approval of HE2AT research projects on applications made for sample access, upon request. </w:t>
      </w:r>
      <w:r/>
      <w:r/>
      <w:r>
        <w:t xml:space="preserve">This will include both approved and rejected applications.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2025-04-07T12:52:43Z</dcterms:modified>
</cp:coreProperties>
</file>