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22A6D6E4" w:rsidP="22A6D6E4" w:rsidRDefault="22A6D6E4" w14:paraId="49A75F29" w14:textId="20C3ED75">
      <w:pPr>
        <w:pStyle w:val="Heading1"/>
        <w:spacing w:before="300" w:beforeAutospacing="off" w:after="300" w:afterAutospacing="off"/>
        <w:jc w:val="center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US"/>
        </w:rPr>
        <w:t>WITS HUMAN RESEARCH ETHICS COMMITTEE (MEDICAL)</w:t>
      </w:r>
    </w:p>
    <w:p w:rsidR="22A6D6E4" w:rsidP="22A6D6E4" w:rsidRDefault="22A6D6E4" w14:paraId="698A56E2" w14:textId="4407F7EF">
      <w:pPr>
        <w:pStyle w:val="Heading1"/>
        <w:spacing w:before="300" w:beforeAutospacing="off" w:after="300" w:afterAutospacing="off"/>
        <w:jc w:val="center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US"/>
        </w:rPr>
        <w:t>AMENDMENT NOTIFICATION</w:t>
      </w:r>
    </w:p>
    <w:p w:rsidR="22A6D6E4" w:rsidP="22A6D6E4" w:rsidRDefault="22A6D6E4" w14:paraId="4065F19C" w14:textId="35CB4980">
      <w:pPr>
        <w:pStyle w:val="Heading1"/>
        <w:spacing w:before="300" w:beforeAutospacing="off" w:after="300" w:afterAutospacing="off"/>
        <w:jc w:val="center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US"/>
        </w:rPr>
        <w:t>HE²AT CENTRE DATA MANAGEMENT PLAN VERSION 2.2</w:t>
      </w:r>
    </w:p>
    <w:p w:rsidR="22A6D6E4" w:rsidP="22A6D6E4" w:rsidRDefault="22A6D6E4" w14:paraId="31F96E04" w14:textId="005E5048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Document Title: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NIH HE²AT Centre Data Management Plan - Infrastructure Transition Amendment</w:t>
      </w:r>
    </w:p>
    <w:p w:rsidR="22A6D6E4" w:rsidP="22A6D6E4" w:rsidRDefault="22A6D6E4" w14:paraId="6B24CE7B" w14:textId="3F34595C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Version: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2.2 (Revised)</w:t>
      </w:r>
    </w:p>
    <w:p w:rsidR="22A6D6E4" w:rsidP="22A6D6E4" w:rsidRDefault="22A6D6E4" w14:paraId="1E24985C" w14:textId="65016BB4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Previous Version: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2.1 (September 2024)</w:t>
      </w:r>
    </w:p>
    <w:p w:rsidR="22A6D6E4" w:rsidP="22A6D6E4" w:rsidRDefault="22A6D6E4" w14:paraId="27AC916B" w14:textId="580EEC6A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Amendment Date: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August 2025</w:t>
      </w:r>
    </w:p>
    <w:p w:rsidR="22A6D6E4" w:rsidP="22A6D6E4" w:rsidRDefault="22A6D6E4" w14:paraId="5B44D49E" w14:textId="0AC6CEF4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HREC Reference Numbers: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RP1 (220605), RP2 (220606)</w:t>
      </w:r>
    </w:p>
    <w:p w:rsidR="22A6D6E4" w:rsidP="22A6D6E4" w:rsidRDefault="22A6D6E4" w14:paraId="5544B20D" w14:textId="3ED24264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Principal Investigators: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Matthew Chersich (Wits PHR)</w:t>
      </w:r>
    </w:p>
    <w:p w:rsidR="22A6D6E4" w:rsidP="22A6D6E4" w:rsidRDefault="22A6D6E4" w14:paraId="61BBE45A" w14:textId="0DFA61C2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Contact: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Craig Parker (</w:t>
      </w:r>
      <w:hyperlink r:id="Rc188017a02af41b0">
        <w:r w:rsidRPr="22A6D6E4" w:rsidR="22A6D6E4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lang w:val="en-US"/>
          </w:rPr>
          <w:t>Craig.parker@witsphr.org</w:t>
        </w:r>
      </w:hyperlink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)</w:t>
      </w:r>
    </w:p>
    <w:p w:rsidR="22A6D6E4" w:rsidP="1FFF22F7" w:rsidRDefault="22A6D6E4" w14:paraId="569EDE55" w14:textId="733C74C7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1FFF22F7" w:rsidR="1FFF22F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NATURE OF AMENDMENT:</w:t>
      </w:r>
      <w:r w:rsidRPr="1FFF22F7" w:rsidR="1FFF22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</w:t>
      </w:r>
      <w:del w:author="Lisa van Aardenne" w:date="2025-08-25T13:39:29.142Z" w:id="137816925">
        <w:r w:rsidRPr="1FFF22F7" w:rsidDel="1FFF22F7">
          <w:rPr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color w:val="000000" w:themeColor="text1" w:themeTint="FF" w:themeShade="FF"/>
            <w:lang w:val="en-US"/>
          </w:rPr>
          <w:delText>Temporary</w:delText>
        </w:r>
      </w:del>
      <w:r w:rsidRPr="1FFF22F7" w:rsidR="1FFF22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</w:t>
      </w:r>
      <w:del w:author="Lisa van Aardenne" w:date="2025-08-25T13:39:34.11Z" w:id="992372782">
        <w:r w:rsidRPr="1FFF22F7" w:rsidDel="1FFF22F7">
          <w:rPr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color w:val="000000" w:themeColor="text1" w:themeTint="FF" w:themeShade="FF"/>
            <w:lang w:val="en-US"/>
          </w:rPr>
          <w:delText>i</w:delText>
        </w:r>
      </w:del>
      <w:ins w:author="Lisa van Aardenne" w:date="2025-08-25T13:39:43.98Z" w:id="592292240">
        <w:r w:rsidRPr="1FFF22F7" w:rsidR="1FFF22F7">
          <w:rPr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color w:val="000000" w:themeColor="text1" w:themeTint="FF" w:themeShade="FF"/>
            <w:lang w:val="en-US"/>
          </w:rPr>
          <w:t>I</w:t>
        </w:r>
      </w:ins>
      <w:r w:rsidRPr="1FFF22F7" w:rsidR="1FFF22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nfrastructure transition during Year 5 to enhance data management capabilities through</w:t>
      </w:r>
      <w:ins w:author="Lisa van Aardenne" w:date="2025-08-25T13:40:52.022Z" w:id="559263515">
        <w:r w:rsidRPr="1FFF22F7" w:rsidR="1FFF22F7">
          <w:rPr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color w:val="000000" w:themeColor="text1" w:themeTint="FF" w:themeShade="FF"/>
            <w:lang w:val="en-US"/>
          </w:rPr>
          <w:t xml:space="preserve"> migration from </w:t>
        </w:r>
      </w:ins>
      <w:ins w:author="Lisa van Aardenne" w:date="2025-08-25T13:41:55.549Z" w:id="4242341">
        <w:r w:rsidRPr="1FFF22F7" w:rsidR="1FFF22F7">
          <w:rPr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color w:val="000000" w:themeColor="text1" w:themeTint="FF" w:themeShade="FF"/>
            <w:lang w:val="en-US"/>
          </w:rPr>
          <w:t>on-premise</w:t>
        </w:r>
      </w:ins>
      <w:ins w:author="Lisa van Aardenne" w:date="2025-08-25T13:40:52.022Z" w:id="1643465349">
        <w:r w:rsidRPr="1FFF22F7" w:rsidR="1FFF22F7">
          <w:rPr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color w:val="000000" w:themeColor="text1" w:themeTint="FF" w:themeShade="FF"/>
            <w:lang w:val="en-US"/>
          </w:rPr>
          <w:t xml:space="preserve"> to</w:t>
        </w:r>
      </w:ins>
      <w:r w:rsidRPr="1FFF22F7" w:rsidR="1FFF22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cloud infrastructure</w:t>
      </w:r>
      <w:del w:author="Lisa van Aardenne" w:date="2025-08-25T13:40:58.051Z" w:id="960592127">
        <w:r w:rsidRPr="1FFF22F7" w:rsidDel="1FFF22F7">
          <w:rPr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color w:val="000000" w:themeColor="text1" w:themeTint="FF" w:themeShade="FF"/>
            <w:lang w:val="en-US"/>
          </w:rPr>
          <w:delText xml:space="preserve"> migration</w:delText>
        </w:r>
      </w:del>
      <w:r w:rsidRPr="1FFF22F7" w:rsidR="1FFF22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. This amendment documents a transition period where dual infrastructure capability (UCT </w:t>
      </w:r>
      <w:r w:rsidRPr="1FFF22F7" w:rsidR="1FFF22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on-premise</w:t>
      </w:r>
      <w:r w:rsidRPr="1FFF22F7" w:rsidR="1FFF22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and WHC-managed cloud) is </w:t>
      </w:r>
      <w:r w:rsidRPr="1FFF22F7" w:rsidR="1FFF22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maintained</w:t>
      </w:r>
      <w:r w:rsidRPr="1FFF22F7" w:rsidR="1FFF22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, with complete migration to cloud by end of Year 5. All existing ethical safeguards are </w:t>
      </w:r>
      <w:r w:rsidRPr="1FFF22F7" w:rsidR="1FFF22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maintained</w:t>
      </w:r>
      <w:r w:rsidRPr="1FFF22F7" w:rsidR="1FFF22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and enhanced.</w:t>
      </w:r>
    </w:p>
    <w:p w:rsidR="22A6D6E4" w:rsidP="22A6D6E4" w:rsidRDefault="22A6D6E4" w14:paraId="73022E4A" w14:textId="5C016D62">
      <w:pPr>
        <w:spacing w:before="240" w:beforeAutospacing="off" w:after="240" w:afterAutospacing="off"/>
      </w:pPr>
      <w:r w:rsidRPr="5772B87B" w:rsidR="5772B87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PARTICIPANT IMPACT:</w:t>
      </w:r>
      <w:r w:rsidRPr="5772B87B" w:rsidR="5772B8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No direct impact on participants. </w:t>
      </w:r>
      <w:del w:author="Lisa van Aardenne" w:date="2025-08-25T13:43:38.945Z" w:id="1286560229">
        <w:r w:rsidRPr="5772B87B" w:rsidDel="5772B87B">
          <w:rPr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color w:val="000000" w:themeColor="text1" w:themeTint="FF" w:themeShade="FF"/>
            <w:lang w:val="en-US"/>
          </w:rPr>
          <w:delText>Enhanced data protection and security measures only.</w:delText>
        </w:r>
      </w:del>
    </w:p>
    <w:p w:rsidR="22A6D6E4" w:rsidP="22A6D6E4" w:rsidRDefault="22A6D6E4" w14:paraId="20C485AC" w14:textId="541CEC34">
      <w:pPr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RISK ASSESSMENT: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Risk reduced through enhanced security, 24/7 monitoring, and automated backup capabilities.</w:t>
      </w:r>
    </w:p>
    <w:p w:rsidR="22A6D6E4" w:rsidP="22A6D6E4" w:rsidRDefault="22A6D6E4" w14:paraId="36F62DE2" w14:textId="48CE4717">
      <w:pPr>
        <w:pStyle w:val="Heading2"/>
        <w:spacing w:before="375" w:beforeAutospacing="off" w:after="225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SUMMARY OF CHANGES</w:t>
      </w:r>
    </w:p>
    <w:tbl>
      <w:tblPr>
        <w:tblStyle w:val="Table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2421"/>
        <w:gridCol w:w="4857"/>
        <w:gridCol w:w="4857"/>
      </w:tblGrid>
      <w:tr w:rsidR="22A6D6E4" w:rsidTr="37AA25B1" w14:paraId="0B7BB9AE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0F0F0"/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1F95931" w14:textId="165E4861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DMP Section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0F0F0"/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73CDF131" w14:textId="1AFA0E9E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Specific Changes Made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shd w:val="clear" w:color="auto" w:fill="F0F0F0"/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A52A39A" w14:textId="7FC16C97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Rationale and Ethical Considerations</w:t>
            </w:r>
          </w:p>
        </w:tc>
      </w:tr>
      <w:tr w:rsidR="22A6D6E4" w:rsidTr="37AA25B1" w14:paraId="6AF2E552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19FD1118" w14:textId="44212589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3.4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Overview of Data Management Workflow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37AA25B1" w:rsidRDefault="22A6D6E4" w14:paraId="09F5C1DB" w14:textId="0A2289AD">
            <w:pPr>
              <w:spacing w:before="0" w:beforeAutospacing="off" w:after="0" w:afterAutospacing="off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</w:pPr>
            <w:r w:rsidRPr="37AA25B1" w:rsidR="37AA25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new subsection clarifying Year 5 as a transition period with temporary dual infrastructure capability, ending with complete cloud migration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417E85C4" w14:textId="2303BF22">
            <w:pPr>
              <w:spacing w:before="0" w:beforeAutospacing="off" w:after="0" w:afterAutospacing="off"/>
              <w:jc w:val="left"/>
            </w:pPr>
            <w:r w:rsidRPr="1DC464B8" w:rsidR="1DC464B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 xml:space="preserve">Provides transparent timeline for infrastructure changes. Ensures stakeholder understanding that this is a temporary </w:t>
            </w:r>
            <w:del w:author="Lisa van Aardenne" w:date="2025-08-25T13:46:32.166Z" w:id="312138070">
              <w:r w:rsidRPr="1DC464B8" w:rsidDel="1DC464B8">
                <w:rPr>
                  <w:rFonts w:ascii="Times New Roman" w:hAnsi="Times New Roman" w:eastAsia="Times New Roman" w:cs="Times New Roman"/>
                  <w:b w:val="0"/>
                  <w:bCs w:val="0"/>
                  <w:i w:val="0"/>
                  <w:iCs w:val="0"/>
                  <w:caps w:val="0"/>
                  <w:smallCaps w:val="0"/>
                  <w:color w:val="000000" w:themeColor="text1" w:themeTint="FF" w:themeShade="FF"/>
                </w:rPr>
                <w:delText>transition</w:delText>
              </w:r>
            </w:del>
            <w:ins w:author="Lisa van Aardenne" w:date="2025-08-25T13:46:22.574Z" w:id="1833909303">
              <w:r w:rsidRPr="1DC464B8" w:rsidR="1DC464B8">
                <w:rPr>
                  <w:rFonts w:ascii="Times New Roman" w:hAnsi="Times New Roman" w:eastAsia="Times New Roman" w:cs="Times New Roman"/>
                  <w:b w:val="0"/>
                  <w:bCs w:val="0"/>
                  <w:i w:val="0"/>
                  <w:iCs w:val="0"/>
                  <w:caps w:val="0"/>
                  <w:smallCaps w:val="0"/>
                  <w:color w:val="000000" w:themeColor="text1" w:themeTint="FF" w:themeShade="FF"/>
                </w:rPr>
                <w:t xml:space="preserve"> situation</w:t>
              </w:r>
            </w:ins>
            <w:r w:rsidRPr="1DC464B8" w:rsidR="1DC464B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, not permanent hybrid model. No impact on participant data protection.</w:t>
            </w:r>
          </w:p>
        </w:tc>
      </w:tr>
      <w:tr w:rsidR="22A6D6E4" w:rsidTr="37AA25B1" w14:paraId="53B27B64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0ECA8E29" w14:textId="07D79863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4.1.2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Original Study Data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693CF562" w14:textId="4859080B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"during the transition period to WHC-managed cloud infrastructure" and specified dual capability as temporary measure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7451F3BB" w14:textId="462C7668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Clarifies temporary nature of dual infrastructure. Maintains all existing data protections while enhancing security during transition.</w:t>
            </w:r>
          </w:p>
        </w:tc>
      </w:tr>
      <w:tr w:rsidR="22A6D6E4" w:rsidTr="37AA25B1" w14:paraId="3E14E00F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0A401ABD" w14:textId="6EF3A475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4.2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Climate/Weather Data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00564D91" w14:textId="2EA347E2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"during the transition period from WHC-managed cloud services" with emphasis on enhanced auto-scaling and accessibility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37E4B618" w14:textId="2DE5E9EC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Improves research efficiency and data accessibility during transition whilst maintaining all access controls and authentication requirements.</w:t>
            </w:r>
          </w:p>
        </w:tc>
      </w:tr>
      <w:tr w:rsidR="22A6D6E4" w:rsidTr="37AA25B1" w14:paraId="5C20D4E2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039BF6F6" w14:textId="077DC01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6.1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Pre-processing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32269751" w14:textId="08D560C4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"during the transition period to WHC-managed cloud infrastructure with enhanced security and automated backup systems"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89393A2" w14:textId="64A84ED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Strengthens data integrity during processing with automated systems. Provides additional safeguards during transition period.</w:t>
            </w:r>
          </w:p>
        </w:tc>
      </w:tr>
      <w:tr w:rsidR="22A6D6E4" w:rsidTr="37AA25B1" w14:paraId="351B4AF4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04A9792" w14:textId="59594709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6.4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Database Population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33F81168" w14:textId="634B6F5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reference to cloud-native database services during transition with automated backup and enhanced disaster recovery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936C991" w14:textId="68C907CE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Improves data preservation and recovery capabilities, reducing risk of data loss during critical transition period.</w:t>
            </w:r>
          </w:p>
        </w:tc>
      </w:tr>
      <w:tr w:rsidR="22A6D6E4" w:rsidTr="37AA25B1" w14:paraId="2D3D7988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3E5AE832" w14:textId="4D669E6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8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Data Analysis Platform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6D64E30C" w14:textId="6B92C10E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"cloud-based computational resources with GPU acceleration" available during transition period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E92A09B" w14:textId="726A909A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Enhances analytical capabilities for researchers during transition while maintaining all existing access controls and security protocols.</w:t>
            </w:r>
          </w:p>
        </w:tc>
      </w:tr>
      <w:tr w:rsidR="22A6D6E4" w:rsidTr="37AA25B1" w14:paraId="06A5AA3D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48FDA2E2" w14:textId="2C47A861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10.4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Data Sharing Procedures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E96092D" w14:textId="3029522F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NEW CRITICAL CHANGE:</w:t>
            </w: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 xml:space="preserve"> "All projects, regardless of whether they involve internal HE²AT Center Consortium members or external researchers, must go through the DAC for data access approval"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06C9ACEF" w14:textId="3D0F27D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Ensures equitable data sharing and comprehensive tracking of all projects. Strengthens governance by applying consistent standards to all data access requests. Enhances transparency and accountability.</w:t>
            </w:r>
          </w:p>
        </w:tc>
      </w:tr>
      <w:tr w:rsidR="22A6D6E4" w:rsidTr="37AA25B1" w14:paraId="07FC0B59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A316B3E" w14:textId="71938F73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12.3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Data Access Committee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D14FB5E" w14:textId="015CC69C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Updated to emphasize DAC evaluates ALL data access requests (consortium and external) with consistent ethical and scientific standards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4ADC22A3" w14:textId="2C7EDDC8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Removes any perception of preferential access. Ensures uniform application of ethical standards. Strengthens governance framework.</w:t>
            </w:r>
          </w:p>
        </w:tc>
      </w:tr>
      <w:tr w:rsidR="22A6D6E4" w:rsidTr="37AA25B1" w14:paraId="7004EAE2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456CD0A0" w14:textId="0C74AB66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14.1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Data Transfer, Storage and Encryption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8A59D83" w14:textId="7EBB81FB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"during the transition period to WHC-managed cloud infrastructure" and specified "AES-256 encryption standard for both UCT servers and cloud storage"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6342403B" w14:textId="2F55444C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Upgrades encryption standards across all infrastructure. Provides superior data protection during transition with industry-standard encryption.</w:t>
            </w:r>
          </w:p>
        </w:tc>
      </w:tr>
      <w:tr w:rsidR="22A6D6E4" w:rsidTr="37AA25B1" w14:paraId="3216D78C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68B9D41F" w14:textId="6D65D82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14.2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Network Security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4922BD7D" w14:textId="736F660A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"during the transition period from WHC-managed cloud security architecture with 24/7 Security Operations Centre (SOC) monitoring and advanced threat detection systems"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1F9DBFC8" w14:textId="6145C016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Significantly enhances security oversight with professional 24/7 monitoring. Provides superior threat detection compared to standard academic infrastructure.</w:t>
            </w:r>
          </w:p>
        </w:tc>
      </w:tr>
      <w:tr w:rsidR="22A6D6E4" w:rsidTr="37AA25B1" w14:paraId="6CB4FB5D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1B88A903" w14:textId="1DF00DF9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14.3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Local Authentication and Authorisation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7086EE96" w14:textId="359E29E4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Added "alongside cloud-specific access controls and automated compliance reporting for streamlined governance oversight during the transition period"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1F328437" w14:textId="08BE8C02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Enhances access control and provides automated compliance monitoring. Improves audit capabilities and regulatory oversight.</w:t>
            </w:r>
          </w:p>
        </w:tc>
      </w:tr>
      <w:tr w:rsidR="22A6D6E4" w:rsidTr="37AA25B1" w14:paraId="42BD1138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B773735" w14:textId="6D5D3BC4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Section 15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Roles and Responsibilities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C697DE8" w14:textId="17FD8605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Removed individual names and contact details from main table, generalized to institutional roles with key functions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7DC66BDC" w14:textId="2CC08F1B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Facilitates document maintenance without requiring amendments for personnel changes. Contact information maintained separately for easy updates.</w:t>
            </w:r>
          </w:p>
        </w:tc>
      </w:tr>
      <w:tr w:rsidR="22A6D6E4" w:rsidTr="37AA25B1" w14:paraId="1FF0AC6D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4471F942" w14:textId="7B98832E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NEW Annex 1</w:t>
            </w:r>
            <w:r>
              <w:br/>
            </w: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Transition Implementation Details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7DE40F5F" w14:textId="7F6E5FCB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NEW SECTION:</w:t>
            </w: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 xml:space="preserve"> Comprehensive 4-phase transition strategy with timeline, data provider communication framework, and generic email template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2AF1AF51" w14:textId="1D93160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Provides transparent implementation roadmap. Ensures proper stakeholder communication. Documents systematic approach to minimize disruption.</w:t>
            </w:r>
          </w:p>
        </w:tc>
      </w:tr>
      <w:tr w:rsidR="22A6D6E4" w:rsidTr="37AA25B1" w14:paraId="28DBBEBA">
        <w:trPr>
          <w:trHeight w:val="300"/>
        </w:trPr>
        <w:tc>
          <w:tcPr>
            <w:tcW w:w="24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DE371CD" w14:textId="13CD849B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All other sections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767AF1DC" w14:textId="4EEE223D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Document structure simplified from 17 to 16 sections. Removed complex contractual language throughout. Maintained all ethical frameworks and participant protections.</w:t>
            </w:r>
          </w:p>
        </w:tc>
        <w:tc>
          <w:tcPr>
            <w:tcW w:w="48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:rsidR="22A6D6E4" w:rsidP="22A6D6E4" w:rsidRDefault="22A6D6E4" w14:paraId="54B07241" w14:textId="58A27B6C">
            <w:pPr>
              <w:spacing w:before="0" w:beforeAutospacing="off" w:after="0" w:afterAutospacing="off"/>
              <w:jc w:val="left"/>
            </w:pPr>
            <w:r w:rsidRPr="22A6D6E4" w:rsidR="22A6D6E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</w:rPr>
              <w:t>Improves readability for ethics review. Focuses on data management procedures rather than legal complexity. No reduction in participant protections.</w:t>
            </w:r>
          </w:p>
        </w:tc>
      </w:tr>
    </w:tbl>
    <w:p w:rsidR="22A6D6E4" w:rsidP="22A6D6E4" w:rsidRDefault="22A6D6E4" w14:paraId="70ABD55A" w14:textId="6E8513CF">
      <w:pPr>
        <w:pStyle w:val="Heading2"/>
        <w:bidi w:val="0"/>
        <w:spacing w:before="375" w:beforeAutospacing="off" w:after="225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ETHICAL IMPACT ASSESSMENT</w:t>
      </w:r>
    </w:p>
    <w:p w:rsidR="22A6D6E4" w:rsidP="22A6D6E4" w:rsidRDefault="22A6D6E4" w14:paraId="05BD6987" w14:textId="51EE50C1">
      <w:pPr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Participant Rights: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All existing participant rights maintained and enhanced through improved security infrastructure during transition period.</w:t>
      </w:r>
    </w:p>
    <w:p w:rsidR="22A6D6E4" w:rsidP="22A6D6E4" w:rsidRDefault="22A6D6E4" w14:paraId="679B3538" w14:textId="63F99644">
      <w:pPr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Data Protection: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Significant enhancement through:</w:t>
      </w:r>
    </w:p>
    <w:p w:rsidR="22A6D6E4" w:rsidP="22A6D6E4" w:rsidRDefault="22A6D6E4" w14:paraId="6CF03196" w14:textId="395D21C8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AES-256 encryption across all infrastructure</w:t>
      </w:r>
    </w:p>
    <w:p w:rsidR="22A6D6E4" w:rsidP="22A6D6E4" w:rsidRDefault="22A6D6E4" w14:paraId="5EE08C95" w14:textId="63A5F5D6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24/7 professional security monitoring during transition</w:t>
      </w:r>
    </w:p>
    <w:p w:rsidR="22A6D6E4" w:rsidP="22A6D6E4" w:rsidRDefault="22A6D6E4" w14:paraId="401CA769" w14:textId="327F0B90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Automated backup and disaster recovery systems</w:t>
      </w:r>
    </w:p>
    <w:p w:rsidR="22A6D6E4" w:rsidP="22A6D6E4" w:rsidRDefault="22A6D6E4" w14:paraId="28050277" w14:textId="03A22EC7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Advanced threat detection capabilities</w:t>
      </w:r>
    </w:p>
    <w:p w:rsidR="22A6D6E4" w:rsidP="22A6D6E4" w:rsidRDefault="22A6D6E4" w14:paraId="327B3877" w14:textId="7FB87953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Dual infrastructure redundancy during transition</w:t>
      </w:r>
    </w:p>
    <w:p w:rsidR="22A6D6E4" w:rsidP="22A6D6E4" w:rsidRDefault="22A6D6E4" w14:paraId="71BA9EF3" w14:textId="4333A34B">
      <w:pPr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Consent and Transparency: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Clear communication framework for data providers about transition. Emphasis on temporary nature of changes with defined endpoint.</w:t>
      </w:r>
    </w:p>
    <w:p w:rsidR="22A6D6E4" w:rsidP="22A6D6E4" w:rsidRDefault="22A6D6E4" w14:paraId="2D07377D" w14:textId="4AACE811">
      <w:pPr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Governance Enhancement: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Universal DAC review requirement strengthens oversight. Consistent application of ethical standards to all data access requests.</w:t>
      </w:r>
    </w:p>
    <w:p w:rsidR="22A6D6E4" w:rsidP="22A6D6E4" w:rsidRDefault="22A6D6E4" w14:paraId="3B61A8BE" w14:textId="27CB95CF">
      <w:pPr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Risk Mitigation:</w:t>
      </w: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Transition period approach minimizes operational risks through:</w:t>
      </w:r>
    </w:p>
    <w:p w:rsidR="22A6D6E4" w:rsidP="22A6D6E4" w:rsidRDefault="22A6D6E4" w14:paraId="6EF8E875" w14:textId="1F6841B8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Phased implementation over 12 months</w:t>
      </w:r>
    </w:p>
    <w:p w:rsidR="22A6D6E4" w:rsidP="22A6D6E4" w:rsidRDefault="22A6D6E4" w14:paraId="1F12A8EB" w14:textId="45098377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Dual system operation for continuity</w:t>
      </w:r>
    </w:p>
    <w:p w:rsidR="22A6D6E4" w:rsidP="22A6D6E4" w:rsidRDefault="22A6D6E4" w14:paraId="6A181639" w14:textId="35CA9550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Enhanced security throughout transition</w:t>
      </w:r>
    </w:p>
    <w:p w:rsidR="22A6D6E4" w:rsidP="22A6D6E4" w:rsidRDefault="22A6D6E4" w14:paraId="6088C36C" w14:textId="41E57D95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Professional monitoring and support</w:t>
      </w:r>
    </w:p>
    <w:p w:rsidR="22A6D6E4" w:rsidP="22A6D6E4" w:rsidRDefault="22A6D6E4" w14:paraId="03AA62EE" w14:textId="562DD4A7">
      <w:pPr>
        <w:pStyle w:val="Heading2"/>
        <w:bidi w:val="0"/>
        <w:spacing w:before="375" w:beforeAutospacing="off" w:after="225" w:afterAutospacing="off"/>
      </w:pPr>
      <w:r w:rsidRPr="22A6D6E4" w:rsidR="22A6D6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CONFIRMATION</w:t>
      </w:r>
    </w:p>
    <w:p w:rsidR="22A6D6E4" w:rsidP="5FF1BDFD" w:rsidRDefault="22A6D6E4" w14:paraId="41DB987C" w14:textId="11F156DE">
      <w:pPr>
        <w:pBdr>
          <w:top w:val="single" w:color="000000" w:sz="6" w:space="11"/>
          <w:left w:val="single" w:color="000000" w:sz="6" w:space="11"/>
          <w:bottom w:val="single" w:color="000000" w:sz="6" w:space="11"/>
          <w:right w:val="single" w:color="000000" w:sz="6" w:space="11"/>
        </w:pBdr>
        <w:shd w:val="clear" w:color="auto" w:fill="F9F9F9"/>
        <w:bidi w:val="0"/>
        <w:spacing w:before="240" w:beforeAutospacing="off" w:after="240" w:afterAutospacing="off"/>
      </w:pPr>
      <w:r w:rsidRPr="5FF1BDFD" w:rsidR="5FF1BDF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These amendments document a </w:t>
      </w:r>
      <w:del w:author="Lisa van Aardenne" w:date="2025-08-25T13:51:07.346Z" w:id="505962247">
        <w:r w:rsidRPr="5FF1BDFD" w:rsidDel="5FF1BDFD">
          <w:rPr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color w:val="000000" w:themeColor="text1" w:themeTint="FF" w:themeShade="FF"/>
            <w:lang w:val="en-US"/>
          </w:rPr>
          <w:delText>temporary</w:delText>
        </w:r>
      </w:del>
      <w:r w:rsidRPr="5FF1BDFD" w:rsidR="5FF1BDF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infrastructure transition during Year 5 that enhances data protection and research capabilities. The transition will be complete by end of Year 5 with full migration to secure cloud infrastructure. All existing ethical safeguards are </w:t>
      </w:r>
      <w:r w:rsidRPr="5FF1BDFD" w:rsidR="5FF1BDF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maintained</w:t>
      </w:r>
      <w:r w:rsidRPr="5FF1BDFD" w:rsidR="5FF1BDF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 xml:space="preserve"> and enhanced. No changes to research </w:t>
      </w:r>
      <w:r w:rsidRPr="5FF1BDFD" w:rsidR="5FF1BDF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methodology</w:t>
      </w:r>
      <w:r w:rsidRPr="5FF1BDFD" w:rsidR="5FF1BDF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, participant recruitment, or data collection procedures.</w:t>
      </w:r>
    </w:p>
    <w:p w:rsidR="22A6D6E4" w:rsidP="22A6D6E4" w:rsidRDefault="22A6D6E4" w14:paraId="43225ACF" w14:textId="3C8F7FF7">
      <w:pPr>
        <w:pBdr>
          <w:top w:val="single" w:color="000000" w:sz="6" w:space="11"/>
          <w:left w:val="single" w:color="000000" w:sz="6" w:space="11"/>
          <w:bottom w:val="single" w:color="000000" w:sz="6" w:space="11"/>
          <w:right w:val="single" w:color="000000" w:sz="6" w:space="11"/>
        </w:pBdr>
        <w:shd w:val="clear" w:color="auto" w:fill="F9F9F9"/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The universal DAC review requirement ensures equitable and transparent data governance for all users.</w:t>
      </w:r>
    </w:p>
    <w:p w:rsidR="22A6D6E4" w:rsidP="22A6D6E4" w:rsidRDefault="22A6D6E4" w14:paraId="53774CF8" w14:textId="7FC8371D">
      <w:pPr>
        <w:pBdr>
          <w:top w:val="single" w:color="000000" w:sz="6" w:space="11"/>
          <w:left w:val="single" w:color="000000" w:sz="6" w:space="11"/>
          <w:bottom w:val="single" w:color="000000" w:sz="6" w:space="11"/>
          <w:right w:val="single" w:color="000000" w:sz="6" w:space="11"/>
        </w:pBdr>
        <w:shd w:val="clear" w:color="auto" w:fill="F9F9F9"/>
        <w:bidi w:val="0"/>
        <w:spacing w:before="240" w:beforeAutospacing="off" w:after="240" w:afterAutospacing="off"/>
      </w:pPr>
      <w:r w:rsidRPr="22A6D6E4" w:rsidR="22A6D6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lang w:val="en-US"/>
        </w:rPr>
        <w:t>All changes maintain full POPIA compliance and enhance alignment with international data protection standards.</w:t>
      </w:r>
    </w:p>
    <w:p w:rsidR="22A6D6E4" w:rsidP="22A6D6E4" w:rsidRDefault="22A6D6E4" w14:paraId="25D0E5E0" w14:textId="5E42387D">
      <w:pPr>
        <w:pStyle w:val="BodyText"/>
        <w:rPr>
          <w:noProof w:val="0"/>
          <w:lang w:val="en-US"/>
        </w:rPr>
        <w:sectPr w:rsidR="00F24988" w:rsidSect="002047FC">
          <w:footerReference w:type="even" r:id="rId7"/>
          <w:footerReference w:type="default" r:id="rId8"/>
          <w:footnotePr>
            <w:numRestart w:val="eachSect"/>
          </w:footnotePr>
          <w:pgSz w:w="15840" w:h="12240" w:orient="landscape"/>
          <w:pgMar w:top="1440" w:right="1440" w:bottom="1440" w:left="1440" w:header="720" w:footer="720" w:gutter="0"/>
          <w:cols w:space="720"/>
          <w:docGrid w:linePitch="326"/>
        </w:sectPr>
      </w:pPr>
    </w:p>
    <w:p w:rsidR="16A401ED" w:rsidP="16A401ED" w:rsidRDefault="16A401ED" w14:paraId="746EEF4F" w14:textId="39D7FB85">
      <w:pPr>
        <w:pStyle w:val="Normal"/>
        <w:rPr>
          <w:rFonts w:ascii="Arial" w:hAnsi="Arial" w:eastAsia="Times New Roman" w:cs="Arial"/>
          <w:b w:val="1"/>
          <w:bCs w:val="1"/>
          <w:color w:val="000000" w:themeColor="text1" w:themeTint="FF" w:themeShade="FF"/>
          <w:sz w:val="28"/>
          <w:szCs w:val="28"/>
        </w:rPr>
      </w:pPr>
    </w:p>
    <w:sectPr w:rsidRPr="00F24988" w:rsidR="003478C9" w:rsidSect="002047FC">
      <w:footnotePr>
        <w:numRestart w:val="eachSect"/>
      </w:footnotePr>
      <w:pgSz w:w="15840" w:h="12240" w:orient="landscape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238C1" w:rsidP="002047FC" w:rsidRDefault="00B238C1" w14:paraId="3A8BA815" w14:textId="77777777">
      <w:pPr>
        <w:spacing w:after="0"/>
      </w:pPr>
      <w:r>
        <w:separator/>
      </w:r>
    </w:p>
  </w:endnote>
  <w:endnote w:type="continuationSeparator" w:id="0">
    <w:p w:rsidR="00B238C1" w:rsidP="002047FC" w:rsidRDefault="00B238C1" w14:paraId="3B2C701E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55217286"/>
      <w:docPartObj>
        <w:docPartGallery w:val="Page Numbers (Bottom of Page)"/>
        <w:docPartUnique/>
      </w:docPartObj>
    </w:sdtPr>
    <w:sdtContent>
      <w:p w:rsidR="002047FC" w:rsidP="0016709F" w:rsidRDefault="002047FC" w14:paraId="643B8371" w14:textId="02E9049F">
        <w:pPr>
          <w:pStyle w:val="Footer"/>
          <w:framePr w:wrap="none" w:hAnchor="margin" w:vAnchor="text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2047FC" w:rsidP="002047FC" w:rsidRDefault="002047FC" w14:paraId="66624D47" w14:textId="7777777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8995990"/>
      <w:docPartObj>
        <w:docPartGallery w:val="Page Numbers (Bottom of Page)"/>
        <w:docPartUnique/>
      </w:docPartObj>
    </w:sdtPr>
    <w:sdtContent>
      <w:p w:rsidR="002047FC" w:rsidP="0016709F" w:rsidRDefault="002047FC" w14:paraId="490AAEDD" w14:textId="37B0C730">
        <w:pPr>
          <w:pStyle w:val="Footer"/>
          <w:framePr w:wrap="none" w:hAnchor="margin" w:vAnchor="text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2047FC" w:rsidP="002047FC" w:rsidRDefault="002047FC" w14:paraId="61BA7440" w14:textId="77777777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238C1" w:rsidP="002047FC" w:rsidRDefault="00B238C1" w14:paraId="01160C8A" w14:textId="77777777">
      <w:pPr>
        <w:spacing w:after="0"/>
      </w:pPr>
      <w:r>
        <w:separator/>
      </w:r>
    </w:p>
  </w:footnote>
  <w:footnote w:type="continuationSeparator" w:id="0">
    <w:p w:rsidR="00B238C1" w:rsidP="002047FC" w:rsidRDefault="00B238C1" w14:paraId="7F9F3DCC" w14:textId="777777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9">
    <w:nsid w:val="7548c1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d0632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e3c23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00A990"/>
    <w:multiLevelType w:val="multilevel"/>
    <w:tmpl w:val="752A45E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AA67FB6"/>
    <w:lvl w:ilvl="0"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2" w15:restartNumberingAfterBreak="0">
    <w:nsid w:val="08346B62"/>
    <w:multiLevelType w:val="multilevel"/>
    <w:tmpl w:val="CFA8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8284AB4"/>
    <w:multiLevelType w:val="multilevel"/>
    <w:tmpl w:val="556EE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6A771B8"/>
    <w:multiLevelType w:val="multilevel"/>
    <w:tmpl w:val="D8548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6B4C0A9C"/>
    <w:multiLevelType w:val="multilevel"/>
    <w:tmpl w:val="74DA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705B2D69"/>
    <w:multiLevelType w:val="multilevel"/>
    <w:tmpl w:val="7F8EE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0">
    <w:abstractNumId w:val="9"/>
  </w:num>
  <w:num w:numId="9">
    <w:abstractNumId w:val="8"/>
  </w:num>
  <w:num w:numId="8">
    <w:abstractNumId w:val="7"/>
  </w:num>
  <w:num w:numId="1" w16cid:durableId="664866729">
    <w:abstractNumId w:val="0"/>
  </w:num>
  <w:num w:numId="2" w16cid:durableId="509418538">
    <w:abstractNumId w:val="1"/>
  </w:num>
  <w:num w:numId="3" w16cid:durableId="755708614">
    <w:abstractNumId w:val="3"/>
  </w:num>
  <w:num w:numId="4" w16cid:durableId="977414866">
    <w:abstractNumId w:val="2"/>
  </w:num>
  <w:num w:numId="5" w16cid:durableId="93333127">
    <w:abstractNumId w:val="6"/>
  </w:num>
  <w:num w:numId="6" w16cid:durableId="908033294">
    <w:abstractNumId w:val="4"/>
  </w:num>
  <w:num w:numId="7" w16cid:durableId="1135178864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 w:val="tru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78C9"/>
    <w:rsid w:val="000C550A"/>
    <w:rsid w:val="002047FC"/>
    <w:rsid w:val="003478C9"/>
    <w:rsid w:val="006C27D9"/>
    <w:rsid w:val="00906D83"/>
    <w:rsid w:val="009401DF"/>
    <w:rsid w:val="00B238C1"/>
    <w:rsid w:val="00F24988"/>
    <w:rsid w:val="0162C4A0"/>
    <w:rsid w:val="16A401ED"/>
    <w:rsid w:val="1C7D9FD6"/>
    <w:rsid w:val="1DC464B8"/>
    <w:rsid w:val="1FFF22F7"/>
    <w:rsid w:val="22A6D6E4"/>
    <w:rsid w:val="27A8EA90"/>
    <w:rsid w:val="37AA25B1"/>
    <w:rsid w:val="5772B87B"/>
    <w:rsid w:val="5FF1B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C7B85"/>
  <w15:docId w15:val="{65CABFBF-BF50-8F42-B95E-C8CA1A22573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styleId="FootnoteBlockText" w:customStyle="1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styleId="Table" w:customStyle="1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color="auto" w:sz="0" w:space="0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CaptionChar" w:customStyle="1">
    <w:name w:val="Caption Char"/>
    <w:basedOn w:val="DefaultParagraphFont"/>
    <w:link w:val="Caption"/>
  </w:style>
  <w:style w:type="character" w:styleId="VerbatimChar" w:customStyle="1">
    <w:name w:val="Verbatim Char"/>
    <w:basedOn w:val="CaptionChar"/>
    <w:link w:val="SourceCode"/>
    <w:rPr>
      <w:rFonts w:ascii="Consolas" w:hAnsi="Consolas"/>
      <w:sz w:val="22"/>
    </w:rPr>
  </w:style>
  <w:style w:type="character" w:styleId="SectionNumber" w:customStyle="1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rFonts w:ascii="Consolas" w:hAnsi="Consolas"/>
      <w:b/>
      <w:color w:val="007020"/>
      <w:sz w:val="22"/>
    </w:rPr>
  </w:style>
  <w:style w:type="character" w:styleId="DataTypeTok" w:customStyle="1">
    <w:name w:val="DataTypeTok"/>
    <w:basedOn w:val="VerbatimChar"/>
    <w:rPr>
      <w:rFonts w:ascii="Consolas" w:hAnsi="Consolas"/>
      <w:color w:val="902000"/>
      <w:sz w:val="22"/>
    </w:rPr>
  </w:style>
  <w:style w:type="character" w:styleId="DecValTok" w:customStyle="1">
    <w:name w:val="DecValTok"/>
    <w:basedOn w:val="VerbatimChar"/>
    <w:rPr>
      <w:rFonts w:ascii="Consolas" w:hAnsi="Consolas"/>
      <w:color w:val="40A070"/>
      <w:sz w:val="22"/>
    </w:rPr>
  </w:style>
  <w:style w:type="character" w:styleId="BaseNTok" w:customStyle="1">
    <w:name w:val="BaseNTok"/>
    <w:basedOn w:val="VerbatimChar"/>
    <w:rPr>
      <w:rFonts w:ascii="Consolas" w:hAnsi="Consolas"/>
      <w:color w:val="40A070"/>
      <w:sz w:val="22"/>
    </w:rPr>
  </w:style>
  <w:style w:type="character" w:styleId="FloatTok" w:customStyle="1">
    <w:name w:val="FloatTok"/>
    <w:basedOn w:val="VerbatimChar"/>
    <w:rPr>
      <w:rFonts w:ascii="Consolas" w:hAnsi="Consolas"/>
      <w:color w:val="40A070"/>
      <w:sz w:val="22"/>
    </w:rPr>
  </w:style>
  <w:style w:type="character" w:styleId="ConstantTok" w:customStyle="1">
    <w:name w:val="ConstantTok"/>
    <w:basedOn w:val="VerbatimChar"/>
    <w:rPr>
      <w:rFonts w:ascii="Consolas" w:hAnsi="Consolas"/>
      <w:color w:val="880000"/>
      <w:sz w:val="22"/>
    </w:rPr>
  </w:style>
  <w:style w:type="character" w:styleId="CharTok" w:customStyle="1">
    <w:name w:val="CharTok"/>
    <w:basedOn w:val="VerbatimChar"/>
    <w:rPr>
      <w:rFonts w:ascii="Consolas" w:hAnsi="Consolas"/>
      <w:color w:val="4070A0"/>
      <w:sz w:val="22"/>
    </w:rPr>
  </w:style>
  <w:style w:type="character" w:styleId="SpecialCharTok" w:customStyle="1">
    <w:name w:val="SpecialCharTok"/>
    <w:basedOn w:val="VerbatimChar"/>
    <w:rPr>
      <w:rFonts w:ascii="Consolas" w:hAnsi="Consolas"/>
      <w:color w:val="4070A0"/>
      <w:sz w:val="22"/>
    </w:rPr>
  </w:style>
  <w:style w:type="character" w:styleId="StringTok" w:customStyle="1">
    <w:name w:val="StringTok"/>
    <w:basedOn w:val="VerbatimChar"/>
    <w:rPr>
      <w:rFonts w:ascii="Consolas" w:hAnsi="Consolas"/>
      <w:color w:val="4070A0"/>
      <w:sz w:val="22"/>
    </w:rPr>
  </w:style>
  <w:style w:type="character" w:styleId="VerbatimStringTok" w:customStyle="1">
    <w:name w:val="VerbatimStringTok"/>
    <w:basedOn w:val="VerbatimChar"/>
    <w:rPr>
      <w:rFonts w:ascii="Consolas" w:hAnsi="Consolas"/>
      <w:color w:val="4070A0"/>
      <w:sz w:val="22"/>
    </w:rPr>
  </w:style>
  <w:style w:type="character" w:styleId="SpecialStringTok" w:customStyle="1">
    <w:name w:val="SpecialStringTok"/>
    <w:basedOn w:val="VerbatimChar"/>
    <w:rPr>
      <w:rFonts w:ascii="Consolas" w:hAnsi="Consolas"/>
      <w:color w:val="BB6688"/>
      <w:sz w:val="22"/>
    </w:rPr>
  </w:style>
  <w:style w:type="character" w:styleId="ImportTok" w:customStyle="1">
    <w:name w:val="ImportTok"/>
    <w:basedOn w:val="VerbatimChar"/>
    <w:rPr>
      <w:rFonts w:ascii="Consolas" w:hAnsi="Consolas"/>
      <w:b/>
      <w:color w:val="008000"/>
      <w:sz w:val="22"/>
    </w:rPr>
  </w:style>
  <w:style w:type="character" w:styleId="CommentTok" w:customStyle="1">
    <w:name w:val="CommentTok"/>
    <w:basedOn w:val="VerbatimChar"/>
    <w:rPr>
      <w:rFonts w:ascii="Consolas" w:hAnsi="Consolas"/>
      <w:i/>
      <w:color w:val="60A0B0"/>
      <w:sz w:val="22"/>
    </w:rPr>
  </w:style>
  <w:style w:type="character" w:styleId="DocumentationTok" w:customStyle="1">
    <w:name w:val="DocumentationTok"/>
    <w:basedOn w:val="VerbatimChar"/>
    <w:rPr>
      <w:rFonts w:ascii="Consolas" w:hAnsi="Consolas"/>
      <w:i/>
      <w:color w:val="BA2121"/>
      <w:sz w:val="22"/>
    </w:rPr>
  </w:style>
  <w:style w:type="character" w:styleId="AnnotationTok" w:customStyle="1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styleId="CommentVarTok" w:customStyle="1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styleId="OtherTok" w:customStyle="1">
    <w:name w:val="OtherTok"/>
    <w:basedOn w:val="VerbatimChar"/>
    <w:rPr>
      <w:rFonts w:ascii="Consolas" w:hAnsi="Consolas"/>
      <w:color w:val="007020"/>
      <w:sz w:val="22"/>
    </w:rPr>
  </w:style>
  <w:style w:type="character" w:styleId="FunctionTok" w:customStyle="1">
    <w:name w:val="FunctionTok"/>
    <w:basedOn w:val="VerbatimChar"/>
    <w:rPr>
      <w:rFonts w:ascii="Consolas" w:hAnsi="Consolas"/>
      <w:color w:val="06287E"/>
      <w:sz w:val="22"/>
    </w:rPr>
  </w:style>
  <w:style w:type="character" w:styleId="VariableTok" w:customStyle="1">
    <w:name w:val="VariableTok"/>
    <w:basedOn w:val="VerbatimChar"/>
    <w:rPr>
      <w:rFonts w:ascii="Consolas" w:hAnsi="Consolas"/>
      <w:color w:val="19177C"/>
      <w:sz w:val="22"/>
    </w:rPr>
  </w:style>
  <w:style w:type="character" w:styleId="ControlFlowTok" w:customStyle="1">
    <w:name w:val="ControlFlowTok"/>
    <w:basedOn w:val="VerbatimChar"/>
    <w:rPr>
      <w:rFonts w:ascii="Consolas" w:hAnsi="Consolas"/>
      <w:b/>
      <w:color w:val="007020"/>
      <w:sz w:val="22"/>
    </w:rPr>
  </w:style>
  <w:style w:type="character" w:styleId="OperatorTok" w:customStyle="1">
    <w:name w:val="OperatorTok"/>
    <w:basedOn w:val="VerbatimChar"/>
    <w:rPr>
      <w:rFonts w:ascii="Consolas" w:hAnsi="Consolas"/>
      <w:color w:val="666666"/>
      <w:sz w:val="22"/>
    </w:rPr>
  </w:style>
  <w:style w:type="character" w:styleId="BuiltInTok" w:customStyle="1">
    <w:name w:val="BuiltInTok"/>
    <w:basedOn w:val="VerbatimChar"/>
    <w:rPr>
      <w:rFonts w:ascii="Consolas" w:hAnsi="Consolas"/>
      <w:color w:val="008000"/>
      <w:sz w:val="22"/>
    </w:rPr>
  </w:style>
  <w:style w:type="character" w:styleId="ExtensionTok" w:customStyle="1">
    <w:name w:val="ExtensionTok"/>
    <w:basedOn w:val="VerbatimChar"/>
    <w:rPr>
      <w:rFonts w:ascii="Consolas" w:hAnsi="Consolas"/>
      <w:sz w:val="22"/>
    </w:rPr>
  </w:style>
  <w:style w:type="character" w:styleId="PreprocessorTok" w:customStyle="1">
    <w:name w:val="PreprocessorTok"/>
    <w:basedOn w:val="VerbatimChar"/>
    <w:rPr>
      <w:rFonts w:ascii="Consolas" w:hAnsi="Consolas"/>
      <w:color w:val="BC7A00"/>
      <w:sz w:val="22"/>
    </w:rPr>
  </w:style>
  <w:style w:type="character" w:styleId="AttributeTok" w:customStyle="1">
    <w:name w:val="AttributeTok"/>
    <w:basedOn w:val="VerbatimChar"/>
    <w:rPr>
      <w:rFonts w:ascii="Consolas" w:hAnsi="Consolas"/>
      <w:color w:val="7D9029"/>
      <w:sz w:val="22"/>
    </w:rPr>
  </w:style>
  <w:style w:type="character" w:styleId="RegionMarkerTok" w:customStyle="1">
    <w:name w:val="RegionMarkerTok"/>
    <w:basedOn w:val="VerbatimChar"/>
    <w:rPr>
      <w:rFonts w:ascii="Consolas" w:hAnsi="Consolas"/>
      <w:sz w:val="22"/>
    </w:rPr>
  </w:style>
  <w:style w:type="character" w:styleId="InformationTok" w:customStyle="1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styleId="WarningTok" w:customStyle="1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styleId="AlertTok" w:customStyle="1">
    <w:name w:val="AlertTok"/>
    <w:basedOn w:val="VerbatimChar"/>
    <w:rPr>
      <w:rFonts w:ascii="Consolas" w:hAnsi="Consolas"/>
      <w:b/>
      <w:color w:val="FF0000"/>
      <w:sz w:val="22"/>
    </w:rPr>
  </w:style>
  <w:style w:type="character" w:styleId="ErrorTok" w:customStyle="1">
    <w:name w:val="ErrorTok"/>
    <w:basedOn w:val="VerbatimChar"/>
    <w:rPr>
      <w:rFonts w:ascii="Consolas" w:hAnsi="Consolas"/>
      <w:b/>
      <w:color w:val="FF0000"/>
      <w:sz w:val="22"/>
    </w:rPr>
  </w:style>
  <w:style w:type="character" w:styleId="NormalTok" w:customStyle="1">
    <w:name w:val="NormalTok"/>
    <w:basedOn w:val="VerbatimChar"/>
    <w:rPr>
      <w:rFonts w:ascii="Consolas" w:hAnsi="Consolas"/>
      <w:sz w:val="22"/>
    </w:rPr>
  </w:style>
  <w:style w:type="paragraph" w:styleId="Footer">
    <w:name w:val="footer"/>
    <w:basedOn w:val="Normal"/>
    <w:link w:val="FooterChar"/>
    <w:rsid w:val="002047FC"/>
    <w:pPr>
      <w:tabs>
        <w:tab w:val="center" w:pos="4680"/>
        <w:tab w:val="right" w:pos="9360"/>
      </w:tabs>
      <w:spacing w:after="0"/>
    </w:pPr>
  </w:style>
  <w:style w:type="character" w:styleId="FooterChar" w:customStyle="1">
    <w:name w:val="Footer Char"/>
    <w:basedOn w:val="DefaultParagraphFont"/>
    <w:link w:val="Footer"/>
    <w:rsid w:val="002047FC"/>
  </w:style>
  <w:style w:type="character" w:styleId="PageNumber">
    <w:name w:val="page number"/>
    <w:basedOn w:val="DefaultParagraphFont"/>
    <w:rsid w:val="002047FC"/>
  </w:style>
  <w:style w:type="paragraph" w:styleId="ListParagraph">
    <w:uiPriority w:val="34"/>
    <w:name w:val="List Paragraph"/>
    <w:basedOn w:val="Normal"/>
    <w:qFormat/>
    <w:rsid w:val="1C7D9FD6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2.xml" Id="rId8" /><Relationship Type="http://schemas.openxmlformats.org/officeDocument/2006/relationships/settings" Target="settings.xml" Id="rId3" /><Relationship Type="http://schemas.openxmlformats.org/officeDocument/2006/relationships/footer" Target="foot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hyperlink" Target="mailto:Craig.parker@witsphr.org" TargetMode="External" Id="Rc188017a02af41b0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/>
  <keywords/>
  <lastModifiedBy>Lisa van Aardenne</lastModifiedBy>
  <revision>13</revision>
  <dcterms:created xsi:type="dcterms:W3CDTF">2025-08-05T10:21:00.0000000Z</dcterms:created>
  <dcterms:modified xsi:type="dcterms:W3CDTF">2025-08-25T18:22:28.9521478Z</dcterms:modified>
</coreProperties>
</file>