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D8EF" w14:textId="77777777" w:rsidR="0039466C" w:rsidRPr="0039466C" w:rsidRDefault="0039466C" w:rsidP="0039466C">
      <w:pPr>
        <w:rPr>
          <w:b/>
          <w:bCs/>
        </w:rPr>
      </w:pPr>
      <w:r w:rsidRPr="0039466C">
        <w:rPr>
          <w:b/>
          <w:bCs/>
        </w:rPr>
        <w:t>Title: South Africa's 2024 Election Manifestos: A Missed Opportunity in the Face of Planetary Warming</w:t>
      </w:r>
    </w:p>
    <w:p w14:paraId="1D980B10" w14:textId="77777777" w:rsidR="0039466C" w:rsidRPr="0039466C" w:rsidRDefault="0039466C" w:rsidP="0039466C">
      <w:pPr>
        <w:rPr>
          <w:b/>
          <w:bCs/>
        </w:rPr>
      </w:pPr>
      <w:r w:rsidRPr="0039466C">
        <w:rPr>
          <w:b/>
          <w:bCs/>
        </w:rPr>
        <w:t>Introduction:</w:t>
      </w:r>
    </w:p>
    <w:p w14:paraId="0D3F9F99" w14:textId="22F23587" w:rsidR="00716C45" w:rsidRDefault="00716C45" w:rsidP="0039466C">
      <w:r w:rsidRPr="00716C45">
        <w:t xml:space="preserve">Addressing the climate crisis is paramount in the Anthropocene epoch, characterized by significant human impact on Earth's geology and ecosystems. Recent reports from the Intergovernmental Panel on Climate Change (IPCC) highlight the urgency of this issue. The IPCC's Sixth Assessment Report (AR6) provides a comprehensive overview of the state of climate science, </w:t>
      </w:r>
      <w:r>
        <w:t>emphasising</w:t>
      </w:r>
      <w:r w:rsidRPr="00716C45">
        <w:t xml:space="preserve"> the need for immediate and deep emissions reductions across all sectors to limit global warming to 1.5°C (2.7°F) </w:t>
      </w:r>
      <w:r w:rsidRPr="00716C45">
        <w:rPr>
          <w:rFonts w:ascii="Arial" w:hAnsi="Arial" w:cs="Arial"/>
        </w:rPr>
        <w:t>​</w:t>
      </w:r>
      <w:r w:rsidRPr="00716C45">
        <w:t xml:space="preserve"> (</w:t>
      </w:r>
      <w:hyperlink r:id="rId8" w:tgtFrame="_blank" w:history="1">
        <w:r w:rsidRPr="00716C45">
          <w:rPr>
            <w:rStyle w:val="Hyperlink"/>
          </w:rPr>
          <w:t>IPCC</w:t>
        </w:r>
      </w:hyperlink>
      <w:r w:rsidRPr="00716C45">
        <w:t>)</w:t>
      </w:r>
      <w:r w:rsidRPr="00716C45">
        <w:rPr>
          <w:rFonts w:ascii="Arial" w:hAnsi="Arial" w:cs="Arial"/>
        </w:rPr>
        <w:t>​</w:t>
      </w:r>
      <w:r w:rsidRPr="00716C45">
        <w:t xml:space="preserve">. </w:t>
      </w:r>
      <w:r>
        <w:t xml:space="preserve">Despite its relatively small population size, South Africa </w:t>
      </w:r>
      <w:r w:rsidRPr="00716C45">
        <w:t xml:space="preserve">ranks among the top 20 carbon emitters globally due to its coal-dependent energy sector, highlighting the disproportionate impact of its carbon intensity on global emissions. As South Africa approaches its 2024 national election, </w:t>
      </w:r>
      <w:r>
        <w:t>analysing</w:t>
      </w:r>
      <w:r w:rsidRPr="00716C45">
        <w:t xml:space="preserve"> the major political parties' manifestos reveals a concerning lack of commitment to tackling the climate crisis, which is especially critical given the country's significant contribution to global carbon emissions</w:t>
      </w:r>
      <w:r>
        <w:t>.</w:t>
      </w:r>
    </w:p>
    <w:p w14:paraId="1BEBD370" w14:textId="77777777" w:rsidR="0036616D" w:rsidRPr="0036616D" w:rsidRDefault="0036616D" w:rsidP="0036616D">
      <w:pPr>
        <w:rPr>
          <w:b/>
          <w:bCs/>
        </w:rPr>
      </w:pPr>
      <w:r w:rsidRPr="0036616D">
        <w:rPr>
          <w:b/>
          <w:bCs/>
        </w:rPr>
        <w:t>Analysis of Party Manifestos:</w:t>
      </w:r>
    </w:p>
    <w:p w14:paraId="46AC9380" w14:textId="411B3AC4" w:rsidR="00F52AF2" w:rsidRPr="0036616D" w:rsidRDefault="0036616D" w:rsidP="0036616D">
      <w:pPr>
        <w:sectPr w:rsidR="00F52AF2" w:rsidRPr="0036616D">
          <w:pgSz w:w="11906" w:h="16838"/>
          <w:pgMar w:top="1440" w:right="1440" w:bottom="1440" w:left="1440" w:header="708" w:footer="708" w:gutter="0"/>
          <w:cols w:space="708"/>
          <w:docGrid w:linePitch="360"/>
        </w:sectPr>
      </w:pPr>
      <w:r w:rsidRPr="0036616D">
        <w:t>The manifestos of the Democratic Alliance (DA), Economic Freedom Fighters (EFF), African National Congress (ANC), GOOD, RISE Mzansi, and Action SA were evaluated for their approach to the climate crisis. These parties were chosen based on an initial review that identified some mention of climate-related topics in their manifestos. However, the analysis reveals a concerning lack of depth and specificity in their climate policies.</w:t>
      </w:r>
    </w:p>
    <w:p w14:paraId="1B3CB91B" w14:textId="77777777" w:rsidR="00305FC8" w:rsidRDefault="00305FC8" w:rsidP="0039466C"/>
    <w:tbl>
      <w:tblPr>
        <w:tblStyle w:val="GridTable1Light-Accent1"/>
        <w:tblW w:w="5000" w:type="pct"/>
        <w:tblLook w:val="04A0" w:firstRow="1" w:lastRow="0" w:firstColumn="1" w:lastColumn="0" w:noHBand="0" w:noVBand="1"/>
      </w:tblPr>
      <w:tblGrid>
        <w:gridCol w:w="2241"/>
        <w:gridCol w:w="2001"/>
        <w:gridCol w:w="1943"/>
        <w:gridCol w:w="2000"/>
        <w:gridCol w:w="1565"/>
        <w:gridCol w:w="1855"/>
        <w:gridCol w:w="2343"/>
      </w:tblGrid>
      <w:tr w:rsidR="00B6675A" w:rsidRPr="00910BD5" w14:paraId="00986EC7" w14:textId="77777777" w:rsidTr="00B6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pct"/>
            <w:hideMark/>
          </w:tcPr>
          <w:p w14:paraId="31DE2575" w14:textId="77777777" w:rsidR="00910BD5" w:rsidRPr="00910BD5" w:rsidRDefault="00910BD5" w:rsidP="00910BD5">
            <w:pPr>
              <w:rPr>
                <w:b/>
                <w:bCs/>
              </w:rPr>
            </w:pPr>
            <w:r w:rsidRPr="00910BD5">
              <w:rPr>
                <w:b/>
                <w:bCs/>
              </w:rPr>
              <w:t>Criteria</w:t>
            </w:r>
          </w:p>
        </w:tc>
        <w:tc>
          <w:tcPr>
            <w:tcW w:w="717" w:type="pct"/>
            <w:hideMark/>
          </w:tcPr>
          <w:p w14:paraId="324FD4C5" w14:textId="77777777" w:rsidR="00910BD5" w:rsidRPr="00910BD5" w:rsidRDefault="00910BD5" w:rsidP="00910BD5">
            <w:pPr>
              <w:spacing w:after="160" w:line="278" w:lineRule="auto"/>
              <w:cnfStyle w:val="100000000000" w:firstRow="1" w:lastRow="0" w:firstColumn="0" w:lastColumn="0" w:oddVBand="0" w:evenVBand="0" w:oddHBand="0" w:evenHBand="0" w:firstRowFirstColumn="0" w:firstRowLastColumn="0" w:lastRowFirstColumn="0" w:lastRowLastColumn="0"/>
            </w:pPr>
            <w:r w:rsidRPr="00910BD5">
              <w:t>ANC</w:t>
            </w:r>
          </w:p>
        </w:tc>
        <w:tc>
          <w:tcPr>
            <w:tcW w:w="696" w:type="pct"/>
            <w:hideMark/>
          </w:tcPr>
          <w:p w14:paraId="3BA2462F" w14:textId="77777777" w:rsidR="00910BD5" w:rsidRPr="00910BD5" w:rsidRDefault="00910BD5" w:rsidP="00910BD5">
            <w:pPr>
              <w:spacing w:after="160" w:line="278" w:lineRule="auto"/>
              <w:cnfStyle w:val="100000000000" w:firstRow="1" w:lastRow="0" w:firstColumn="0" w:lastColumn="0" w:oddVBand="0" w:evenVBand="0" w:oddHBand="0" w:evenHBand="0" w:firstRowFirstColumn="0" w:firstRowLastColumn="0" w:lastRowFirstColumn="0" w:lastRowLastColumn="0"/>
            </w:pPr>
            <w:r w:rsidRPr="00910BD5">
              <w:t>DA</w:t>
            </w:r>
          </w:p>
        </w:tc>
        <w:tc>
          <w:tcPr>
            <w:tcW w:w="717" w:type="pct"/>
            <w:hideMark/>
          </w:tcPr>
          <w:p w14:paraId="5B6B50E4" w14:textId="77777777" w:rsidR="00910BD5" w:rsidRPr="00910BD5" w:rsidRDefault="00910BD5" w:rsidP="00910BD5">
            <w:pPr>
              <w:spacing w:after="160" w:line="278" w:lineRule="auto"/>
              <w:cnfStyle w:val="100000000000" w:firstRow="1" w:lastRow="0" w:firstColumn="0" w:lastColumn="0" w:oddVBand="0" w:evenVBand="0" w:oddHBand="0" w:evenHBand="0" w:firstRowFirstColumn="0" w:firstRowLastColumn="0" w:lastRowFirstColumn="0" w:lastRowLastColumn="0"/>
            </w:pPr>
            <w:r w:rsidRPr="00910BD5">
              <w:t>EFF</w:t>
            </w:r>
          </w:p>
        </w:tc>
        <w:tc>
          <w:tcPr>
            <w:tcW w:w="561" w:type="pct"/>
            <w:hideMark/>
          </w:tcPr>
          <w:p w14:paraId="3F0B102C" w14:textId="77777777" w:rsidR="00910BD5" w:rsidRPr="00910BD5" w:rsidRDefault="00910BD5" w:rsidP="00910BD5">
            <w:pPr>
              <w:spacing w:after="160" w:line="278" w:lineRule="auto"/>
              <w:cnfStyle w:val="100000000000" w:firstRow="1" w:lastRow="0" w:firstColumn="0" w:lastColumn="0" w:oddVBand="0" w:evenVBand="0" w:oddHBand="0" w:evenHBand="0" w:firstRowFirstColumn="0" w:firstRowLastColumn="0" w:lastRowFirstColumn="0" w:lastRowLastColumn="0"/>
            </w:pPr>
            <w:r w:rsidRPr="00910BD5">
              <w:t>GOOD</w:t>
            </w:r>
          </w:p>
        </w:tc>
        <w:tc>
          <w:tcPr>
            <w:tcW w:w="665" w:type="pct"/>
            <w:hideMark/>
          </w:tcPr>
          <w:p w14:paraId="26783D8E" w14:textId="77777777" w:rsidR="00910BD5" w:rsidRPr="00910BD5" w:rsidRDefault="00910BD5" w:rsidP="00910BD5">
            <w:pPr>
              <w:spacing w:after="160" w:line="278" w:lineRule="auto"/>
              <w:cnfStyle w:val="100000000000" w:firstRow="1" w:lastRow="0" w:firstColumn="0" w:lastColumn="0" w:oddVBand="0" w:evenVBand="0" w:oddHBand="0" w:evenHBand="0" w:firstRowFirstColumn="0" w:firstRowLastColumn="0" w:lastRowFirstColumn="0" w:lastRowLastColumn="0"/>
            </w:pPr>
            <w:r w:rsidRPr="00910BD5">
              <w:t>RISE Mzansi</w:t>
            </w:r>
          </w:p>
        </w:tc>
        <w:tc>
          <w:tcPr>
            <w:tcW w:w="840" w:type="pct"/>
            <w:hideMark/>
          </w:tcPr>
          <w:p w14:paraId="6DDE34B1" w14:textId="77777777" w:rsidR="00910BD5" w:rsidRPr="00910BD5" w:rsidRDefault="00910BD5" w:rsidP="00910BD5">
            <w:pPr>
              <w:spacing w:after="160" w:line="278" w:lineRule="auto"/>
              <w:cnfStyle w:val="100000000000" w:firstRow="1" w:lastRow="0" w:firstColumn="0" w:lastColumn="0" w:oddVBand="0" w:evenVBand="0" w:oddHBand="0" w:evenHBand="0" w:firstRowFirstColumn="0" w:firstRowLastColumn="0" w:lastRowFirstColumn="0" w:lastRowLastColumn="0"/>
            </w:pPr>
            <w:r w:rsidRPr="00910BD5">
              <w:t>ActionSA</w:t>
            </w:r>
          </w:p>
        </w:tc>
      </w:tr>
      <w:tr w:rsidR="00B6675A" w:rsidRPr="00910BD5" w14:paraId="0E6D61C6" w14:textId="77777777" w:rsidTr="00B6675A">
        <w:tc>
          <w:tcPr>
            <w:cnfStyle w:val="001000000000" w:firstRow="0" w:lastRow="0" w:firstColumn="1" w:lastColumn="0" w:oddVBand="0" w:evenVBand="0" w:oddHBand="0" w:evenHBand="0" w:firstRowFirstColumn="0" w:firstRowLastColumn="0" w:lastRowFirstColumn="0" w:lastRowLastColumn="0"/>
            <w:tcW w:w="803" w:type="pct"/>
            <w:hideMark/>
          </w:tcPr>
          <w:p w14:paraId="72DE8129" w14:textId="77777777" w:rsidR="00910BD5" w:rsidRPr="00910BD5" w:rsidRDefault="00910BD5" w:rsidP="00910BD5">
            <w:pPr>
              <w:spacing w:after="160" w:line="278" w:lineRule="auto"/>
            </w:pPr>
            <w:r w:rsidRPr="00910BD5">
              <w:t>Climate Policy and Commitment</w:t>
            </w:r>
          </w:p>
        </w:tc>
        <w:tc>
          <w:tcPr>
            <w:tcW w:w="717" w:type="pct"/>
            <w:hideMark/>
          </w:tcPr>
          <w:p w14:paraId="5D0DFCED" w14:textId="3AA95BBA"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Acknowledges the need for a diverse energy mix</w:t>
            </w:r>
            <w:r w:rsidR="00AD306F">
              <w:t>,</w:t>
            </w:r>
            <w:r w:rsidRPr="00910BD5">
              <w:t xml:space="preserve"> including renewables</w:t>
            </w:r>
          </w:p>
        </w:tc>
        <w:tc>
          <w:tcPr>
            <w:tcW w:w="696" w:type="pct"/>
            <w:hideMark/>
          </w:tcPr>
          <w:p w14:paraId="7CACFF37"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Supports the creation of a national registry of mitigation actions</w:t>
            </w:r>
          </w:p>
        </w:tc>
        <w:tc>
          <w:tcPr>
            <w:tcW w:w="717" w:type="pct"/>
            <w:hideMark/>
          </w:tcPr>
          <w:p w14:paraId="13C7C922" w14:textId="227D4413"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 xml:space="preserve">Commits to </w:t>
            </w:r>
            <w:r w:rsidR="00AD306F">
              <w:t>decarbonising</w:t>
            </w:r>
            <w:r w:rsidRPr="00910BD5">
              <w:t xml:space="preserve"> the electricity sector</w:t>
            </w:r>
          </w:p>
        </w:tc>
        <w:tc>
          <w:tcPr>
            <w:tcW w:w="561" w:type="pct"/>
            <w:hideMark/>
          </w:tcPr>
          <w:p w14:paraId="727BE368"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65" w:type="pct"/>
            <w:hideMark/>
          </w:tcPr>
          <w:p w14:paraId="15D0069E" w14:textId="0103B021" w:rsidR="00910BD5" w:rsidRPr="00910BD5" w:rsidRDefault="00AD306F" w:rsidP="00910BD5">
            <w:pPr>
              <w:cnfStyle w:val="000000000000" w:firstRow="0" w:lastRow="0" w:firstColumn="0" w:lastColumn="0" w:oddVBand="0" w:evenVBand="0" w:oddHBand="0" w:evenHBand="0" w:firstRowFirstColumn="0" w:firstRowLastColumn="0" w:lastRowFirstColumn="0" w:lastRowLastColumn="0"/>
            </w:pPr>
            <w:r>
              <w:t>Prioritises</w:t>
            </w:r>
            <w:r w:rsidR="00910BD5" w:rsidRPr="00910BD5">
              <w:t xml:space="preserve"> balancing inclusive development with the transition to a low-carbon economy</w:t>
            </w:r>
          </w:p>
        </w:tc>
        <w:tc>
          <w:tcPr>
            <w:tcW w:w="840" w:type="pct"/>
            <w:hideMark/>
          </w:tcPr>
          <w:p w14:paraId="689A9C5C"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Promotes environmental sustainability and economic justice in the transition to renewable energy, commits to the gradual shift from fossil fuels to renewable energy sources</w:t>
            </w:r>
          </w:p>
        </w:tc>
      </w:tr>
      <w:tr w:rsidR="00B6675A" w:rsidRPr="00910BD5" w14:paraId="6896DD9F" w14:textId="77777777" w:rsidTr="00B6675A">
        <w:tc>
          <w:tcPr>
            <w:cnfStyle w:val="001000000000" w:firstRow="0" w:lastRow="0" w:firstColumn="1" w:lastColumn="0" w:oddVBand="0" w:evenVBand="0" w:oddHBand="0" w:evenHBand="0" w:firstRowFirstColumn="0" w:firstRowLastColumn="0" w:lastRowFirstColumn="0" w:lastRowLastColumn="0"/>
            <w:tcW w:w="803" w:type="pct"/>
            <w:hideMark/>
          </w:tcPr>
          <w:p w14:paraId="154C8F12" w14:textId="77777777" w:rsidR="00910BD5" w:rsidRPr="00910BD5" w:rsidRDefault="00910BD5" w:rsidP="00910BD5">
            <w:r w:rsidRPr="00910BD5">
              <w:t>Renewable Energy and Decarbonization</w:t>
            </w:r>
          </w:p>
        </w:tc>
        <w:tc>
          <w:tcPr>
            <w:tcW w:w="717" w:type="pct"/>
            <w:hideMark/>
          </w:tcPr>
          <w:p w14:paraId="35196A79"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96" w:type="pct"/>
            <w:hideMark/>
          </w:tcPr>
          <w:p w14:paraId="2B1681FE"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Advocates for renewable energy projects and energy efficiency</w:t>
            </w:r>
          </w:p>
        </w:tc>
        <w:tc>
          <w:tcPr>
            <w:tcW w:w="717" w:type="pct"/>
            <w:hideMark/>
          </w:tcPr>
          <w:p w14:paraId="1985C58B" w14:textId="47EC06CD"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Focuses on a mix of energy sources</w:t>
            </w:r>
            <w:r w:rsidR="00AD306F">
              <w:t>,</w:t>
            </w:r>
            <w:r w:rsidRPr="00910BD5">
              <w:t xml:space="preserve"> including clean coal, gas, nuclear, and renewable energy</w:t>
            </w:r>
          </w:p>
        </w:tc>
        <w:tc>
          <w:tcPr>
            <w:tcW w:w="561" w:type="pct"/>
            <w:hideMark/>
          </w:tcPr>
          <w:p w14:paraId="3BF817EC"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65" w:type="pct"/>
            <w:hideMark/>
          </w:tcPr>
          <w:p w14:paraId="37BA9BF1"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Supports a balanced green energy mix and incentives for green hydrogen use</w:t>
            </w:r>
          </w:p>
        </w:tc>
        <w:tc>
          <w:tcPr>
            <w:tcW w:w="840" w:type="pct"/>
            <w:hideMark/>
          </w:tcPr>
          <w:p w14:paraId="0CFD32E9" w14:textId="655BF692"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 xml:space="preserve">Advocates for the use of renewable energy sources for electricity generation and </w:t>
            </w:r>
            <w:r w:rsidR="00AD306F">
              <w:t>incentivises</w:t>
            </w:r>
            <w:r w:rsidRPr="00910BD5">
              <w:t xml:space="preserve"> the installation of solar panels</w:t>
            </w:r>
          </w:p>
        </w:tc>
      </w:tr>
      <w:tr w:rsidR="00B6675A" w:rsidRPr="00910BD5" w14:paraId="11A567E6" w14:textId="77777777" w:rsidTr="00B6675A">
        <w:tc>
          <w:tcPr>
            <w:cnfStyle w:val="001000000000" w:firstRow="0" w:lastRow="0" w:firstColumn="1" w:lastColumn="0" w:oddVBand="0" w:evenVBand="0" w:oddHBand="0" w:evenHBand="0" w:firstRowFirstColumn="0" w:firstRowLastColumn="0" w:lastRowFirstColumn="0" w:lastRowLastColumn="0"/>
            <w:tcW w:w="803" w:type="pct"/>
            <w:hideMark/>
          </w:tcPr>
          <w:p w14:paraId="7EC119D0" w14:textId="77777777" w:rsidR="00910BD5" w:rsidRPr="00910BD5" w:rsidRDefault="00910BD5" w:rsidP="00910BD5">
            <w:r w:rsidRPr="00910BD5">
              <w:t>Adaptation and Resilience</w:t>
            </w:r>
          </w:p>
        </w:tc>
        <w:tc>
          <w:tcPr>
            <w:tcW w:w="717" w:type="pct"/>
            <w:hideMark/>
          </w:tcPr>
          <w:p w14:paraId="510846D5"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96" w:type="pct"/>
            <w:hideMark/>
          </w:tcPr>
          <w:p w14:paraId="45924666" w14:textId="275D2847" w:rsidR="00910BD5" w:rsidRPr="00910BD5" w:rsidRDefault="00AD306F" w:rsidP="00910BD5">
            <w:pPr>
              <w:cnfStyle w:val="000000000000" w:firstRow="0" w:lastRow="0" w:firstColumn="0" w:lastColumn="0" w:oddVBand="0" w:evenVBand="0" w:oddHBand="0" w:evenHBand="0" w:firstRowFirstColumn="0" w:firstRowLastColumn="0" w:lastRowFirstColumn="0" w:lastRowLastColumn="0"/>
            </w:pPr>
            <w:r>
              <w:t>Emphasises</w:t>
            </w:r>
            <w:r w:rsidR="00910BD5" w:rsidRPr="00910BD5">
              <w:t xml:space="preserve"> building climate resilience </w:t>
            </w:r>
            <w:r w:rsidR="00910BD5" w:rsidRPr="00910BD5">
              <w:lastRenderedPageBreak/>
              <w:t>through disaster management, agriculture, and water infrastructure</w:t>
            </w:r>
          </w:p>
        </w:tc>
        <w:tc>
          <w:tcPr>
            <w:tcW w:w="717" w:type="pct"/>
            <w:hideMark/>
          </w:tcPr>
          <w:p w14:paraId="17A39BE9"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lastRenderedPageBreak/>
              <w:t>Not explicitly mentioned</w:t>
            </w:r>
          </w:p>
        </w:tc>
        <w:tc>
          <w:tcPr>
            <w:tcW w:w="561" w:type="pct"/>
            <w:hideMark/>
          </w:tcPr>
          <w:p w14:paraId="7AA0FFD9"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65" w:type="pct"/>
            <w:hideMark/>
          </w:tcPr>
          <w:p w14:paraId="0D842F9B"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 xml:space="preserve">Aims to help communities mitigate </w:t>
            </w:r>
            <w:r w:rsidRPr="00910BD5">
              <w:lastRenderedPageBreak/>
              <w:t>climate change impacts</w:t>
            </w:r>
          </w:p>
        </w:tc>
        <w:tc>
          <w:tcPr>
            <w:tcW w:w="840" w:type="pct"/>
            <w:hideMark/>
          </w:tcPr>
          <w:p w14:paraId="232305E2"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lastRenderedPageBreak/>
              <w:t xml:space="preserve">Promotes resilience against natural disasters and </w:t>
            </w:r>
            <w:r w:rsidRPr="00910BD5">
              <w:lastRenderedPageBreak/>
              <w:t>effective response to climate-related challenges</w:t>
            </w:r>
          </w:p>
        </w:tc>
      </w:tr>
      <w:tr w:rsidR="00B6675A" w:rsidRPr="00910BD5" w14:paraId="0C0AFF8F" w14:textId="77777777" w:rsidTr="00B6675A">
        <w:tc>
          <w:tcPr>
            <w:cnfStyle w:val="001000000000" w:firstRow="0" w:lastRow="0" w:firstColumn="1" w:lastColumn="0" w:oddVBand="0" w:evenVBand="0" w:oddHBand="0" w:evenHBand="0" w:firstRowFirstColumn="0" w:firstRowLastColumn="0" w:lastRowFirstColumn="0" w:lastRowLastColumn="0"/>
            <w:tcW w:w="803" w:type="pct"/>
            <w:hideMark/>
          </w:tcPr>
          <w:p w14:paraId="118FB042" w14:textId="77777777" w:rsidR="00910BD5" w:rsidRPr="00910BD5" w:rsidRDefault="00910BD5" w:rsidP="00910BD5">
            <w:r w:rsidRPr="00910BD5">
              <w:lastRenderedPageBreak/>
              <w:t>Sustainable Development and Green Economy</w:t>
            </w:r>
          </w:p>
        </w:tc>
        <w:tc>
          <w:tcPr>
            <w:tcW w:w="717" w:type="pct"/>
            <w:hideMark/>
          </w:tcPr>
          <w:p w14:paraId="50699550"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96" w:type="pct"/>
            <w:hideMark/>
          </w:tcPr>
          <w:p w14:paraId="7D9206E2"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Pursues policies for sustainable economic development and job creation in the green economy</w:t>
            </w:r>
          </w:p>
        </w:tc>
        <w:tc>
          <w:tcPr>
            <w:tcW w:w="717" w:type="pct"/>
            <w:hideMark/>
          </w:tcPr>
          <w:p w14:paraId="661F10B9"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Advocates for the "one million climate jobs" initiative</w:t>
            </w:r>
          </w:p>
        </w:tc>
        <w:tc>
          <w:tcPr>
            <w:tcW w:w="561" w:type="pct"/>
            <w:hideMark/>
          </w:tcPr>
          <w:p w14:paraId="50D17687"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65" w:type="pct"/>
            <w:hideMark/>
          </w:tcPr>
          <w:p w14:paraId="0EBCF369"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Focuses on green industries and participation in green value chains</w:t>
            </w:r>
          </w:p>
        </w:tc>
        <w:tc>
          <w:tcPr>
            <w:tcW w:w="840" w:type="pct"/>
            <w:hideMark/>
          </w:tcPr>
          <w:p w14:paraId="01D2B8DF"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Supports investment in projects that develop reliable infrastructure and enhance economic competitiveness, including green energy</w:t>
            </w:r>
          </w:p>
        </w:tc>
      </w:tr>
      <w:tr w:rsidR="00B6675A" w:rsidRPr="00910BD5" w14:paraId="7E6A53E9" w14:textId="77777777" w:rsidTr="00B6675A">
        <w:tc>
          <w:tcPr>
            <w:cnfStyle w:val="001000000000" w:firstRow="0" w:lastRow="0" w:firstColumn="1" w:lastColumn="0" w:oddVBand="0" w:evenVBand="0" w:oddHBand="0" w:evenHBand="0" w:firstRowFirstColumn="0" w:firstRowLastColumn="0" w:lastRowFirstColumn="0" w:lastRowLastColumn="0"/>
            <w:tcW w:w="803" w:type="pct"/>
            <w:hideMark/>
          </w:tcPr>
          <w:p w14:paraId="1CFABB70" w14:textId="77777777" w:rsidR="00910BD5" w:rsidRPr="00910BD5" w:rsidRDefault="00910BD5" w:rsidP="00910BD5">
            <w:r w:rsidRPr="00910BD5">
              <w:t>Climate Finance and Investment</w:t>
            </w:r>
          </w:p>
        </w:tc>
        <w:tc>
          <w:tcPr>
            <w:tcW w:w="717" w:type="pct"/>
            <w:hideMark/>
          </w:tcPr>
          <w:p w14:paraId="59F581C8"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96" w:type="pct"/>
            <w:hideMark/>
          </w:tcPr>
          <w:p w14:paraId="3A80B8E6"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Mentions investments in infrastructure to improve energy security</w:t>
            </w:r>
          </w:p>
        </w:tc>
        <w:tc>
          <w:tcPr>
            <w:tcW w:w="717" w:type="pct"/>
            <w:hideMark/>
          </w:tcPr>
          <w:p w14:paraId="77422C9D"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Commits to funding research and infrastructure for electrification</w:t>
            </w:r>
          </w:p>
        </w:tc>
        <w:tc>
          <w:tcPr>
            <w:tcW w:w="561" w:type="pct"/>
            <w:hideMark/>
          </w:tcPr>
          <w:p w14:paraId="40B673CD"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65" w:type="pct"/>
            <w:hideMark/>
          </w:tcPr>
          <w:p w14:paraId="3285678D"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Supports tax deductions for residential rooftop solar and financial mechanisms for green hydrogen</w:t>
            </w:r>
          </w:p>
        </w:tc>
        <w:tc>
          <w:tcPr>
            <w:tcW w:w="840" w:type="pct"/>
            <w:hideMark/>
          </w:tcPr>
          <w:p w14:paraId="42E24B2A"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Advocates for investing in infrastructure and economic development projects that align with environmental sustainability</w:t>
            </w:r>
          </w:p>
        </w:tc>
      </w:tr>
      <w:tr w:rsidR="00B6675A" w:rsidRPr="00910BD5" w14:paraId="6EE16C1F" w14:textId="77777777" w:rsidTr="00B6675A">
        <w:tc>
          <w:tcPr>
            <w:cnfStyle w:val="001000000000" w:firstRow="0" w:lastRow="0" w:firstColumn="1" w:lastColumn="0" w:oddVBand="0" w:evenVBand="0" w:oddHBand="0" w:evenHBand="0" w:firstRowFirstColumn="0" w:firstRowLastColumn="0" w:lastRowFirstColumn="0" w:lastRowLastColumn="0"/>
            <w:tcW w:w="803" w:type="pct"/>
            <w:hideMark/>
          </w:tcPr>
          <w:p w14:paraId="502200B0" w14:textId="77777777" w:rsidR="00910BD5" w:rsidRPr="00910BD5" w:rsidRDefault="00910BD5" w:rsidP="00910BD5">
            <w:r w:rsidRPr="00910BD5">
              <w:t>Public Engagement and Education</w:t>
            </w:r>
          </w:p>
        </w:tc>
        <w:tc>
          <w:tcPr>
            <w:tcW w:w="717" w:type="pct"/>
            <w:hideMark/>
          </w:tcPr>
          <w:p w14:paraId="43814145"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96" w:type="pct"/>
            <w:hideMark/>
          </w:tcPr>
          <w:p w14:paraId="50B1CC08"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 xml:space="preserve">Aims to improve public awareness </w:t>
            </w:r>
            <w:r w:rsidRPr="00910BD5">
              <w:lastRenderedPageBreak/>
              <w:t>campaigns for disaster management</w:t>
            </w:r>
          </w:p>
        </w:tc>
        <w:tc>
          <w:tcPr>
            <w:tcW w:w="717" w:type="pct"/>
            <w:hideMark/>
          </w:tcPr>
          <w:p w14:paraId="4FED3230"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lastRenderedPageBreak/>
              <w:t>Not explicitly mentioned</w:t>
            </w:r>
          </w:p>
        </w:tc>
        <w:tc>
          <w:tcPr>
            <w:tcW w:w="561" w:type="pct"/>
            <w:hideMark/>
          </w:tcPr>
          <w:p w14:paraId="59AB28C3"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 xml:space="preserve">Promotes e-learning to bring </w:t>
            </w:r>
            <w:r w:rsidRPr="00910BD5">
              <w:lastRenderedPageBreak/>
              <w:t>children into the digital economy</w:t>
            </w:r>
          </w:p>
        </w:tc>
        <w:tc>
          <w:tcPr>
            <w:tcW w:w="665" w:type="pct"/>
            <w:hideMark/>
          </w:tcPr>
          <w:p w14:paraId="1647AC11"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lastRenderedPageBreak/>
              <w:t>Not explicitly mentioned</w:t>
            </w:r>
          </w:p>
        </w:tc>
        <w:tc>
          <w:tcPr>
            <w:tcW w:w="840" w:type="pct"/>
            <w:hideMark/>
          </w:tcPr>
          <w:p w14:paraId="56A0B8E1"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 xml:space="preserve">Emphasizes the importance of public participation </w:t>
            </w:r>
            <w:r w:rsidRPr="00910BD5">
              <w:lastRenderedPageBreak/>
              <w:t>and engagement in the transition to renewable energy sources</w:t>
            </w:r>
          </w:p>
        </w:tc>
      </w:tr>
      <w:tr w:rsidR="00B6675A" w:rsidRPr="00910BD5" w14:paraId="50EB772F" w14:textId="77777777" w:rsidTr="00B6675A">
        <w:tc>
          <w:tcPr>
            <w:cnfStyle w:val="001000000000" w:firstRow="0" w:lastRow="0" w:firstColumn="1" w:lastColumn="0" w:oddVBand="0" w:evenVBand="0" w:oddHBand="0" w:evenHBand="0" w:firstRowFirstColumn="0" w:firstRowLastColumn="0" w:lastRowFirstColumn="0" w:lastRowLastColumn="0"/>
            <w:tcW w:w="803" w:type="pct"/>
            <w:hideMark/>
          </w:tcPr>
          <w:p w14:paraId="58FDE00A" w14:textId="77777777" w:rsidR="00910BD5" w:rsidRPr="00910BD5" w:rsidRDefault="00910BD5" w:rsidP="00910BD5">
            <w:r w:rsidRPr="00910BD5">
              <w:lastRenderedPageBreak/>
              <w:t>Regulation and Enforcement</w:t>
            </w:r>
          </w:p>
        </w:tc>
        <w:tc>
          <w:tcPr>
            <w:tcW w:w="717" w:type="pct"/>
            <w:hideMark/>
          </w:tcPr>
          <w:p w14:paraId="1E88C65D"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96" w:type="pct"/>
            <w:hideMark/>
          </w:tcPr>
          <w:p w14:paraId="002E9264"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Advocates for stringent regulations for hydraulic fracturing and marine offshore seismic exploration</w:t>
            </w:r>
          </w:p>
        </w:tc>
        <w:tc>
          <w:tcPr>
            <w:tcW w:w="717" w:type="pct"/>
            <w:hideMark/>
          </w:tcPr>
          <w:p w14:paraId="15B2A713" w14:textId="0B9C1F60"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 xml:space="preserve">Plans to streamline environmental </w:t>
            </w:r>
            <w:r w:rsidR="00C069B9">
              <w:t>authorisation</w:t>
            </w:r>
            <w:r w:rsidRPr="00910BD5">
              <w:t xml:space="preserve"> procedures</w:t>
            </w:r>
          </w:p>
        </w:tc>
        <w:tc>
          <w:tcPr>
            <w:tcW w:w="561" w:type="pct"/>
            <w:hideMark/>
          </w:tcPr>
          <w:p w14:paraId="01C045D8"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665" w:type="pct"/>
            <w:hideMark/>
          </w:tcPr>
          <w:p w14:paraId="48442B51"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Not explicitly mentioned</w:t>
            </w:r>
          </w:p>
        </w:tc>
        <w:tc>
          <w:tcPr>
            <w:tcW w:w="840" w:type="pct"/>
            <w:hideMark/>
          </w:tcPr>
          <w:p w14:paraId="7A3EA922" w14:textId="77777777" w:rsidR="00910BD5" w:rsidRPr="00910BD5" w:rsidRDefault="00910BD5" w:rsidP="00910BD5">
            <w:pPr>
              <w:cnfStyle w:val="000000000000" w:firstRow="0" w:lastRow="0" w:firstColumn="0" w:lastColumn="0" w:oddVBand="0" w:evenVBand="0" w:oddHBand="0" w:evenHBand="0" w:firstRowFirstColumn="0" w:firstRowLastColumn="0" w:lastRowFirstColumn="0" w:lastRowLastColumn="0"/>
            </w:pPr>
            <w:r w:rsidRPr="00910BD5">
              <w:t>Supports the implementation of environmental protection measures and regulations to reduce pollution and protect ecosystems</w:t>
            </w:r>
          </w:p>
        </w:tc>
      </w:tr>
    </w:tbl>
    <w:p w14:paraId="1ECB90CD" w14:textId="77777777" w:rsidR="008A28FA" w:rsidRPr="0039466C" w:rsidRDefault="008A28FA" w:rsidP="0039466C"/>
    <w:p w14:paraId="17B1A1AA" w14:textId="77777777" w:rsidR="005E5AAC" w:rsidRDefault="005E5AAC" w:rsidP="0039466C">
      <w:pPr>
        <w:rPr>
          <w:b/>
          <w:bCs/>
        </w:rPr>
      </w:pPr>
    </w:p>
    <w:p w14:paraId="3B668746" w14:textId="77777777" w:rsidR="005E5AAC" w:rsidRDefault="005E5AAC" w:rsidP="0039466C">
      <w:pPr>
        <w:rPr>
          <w:b/>
          <w:bCs/>
        </w:rPr>
      </w:pPr>
    </w:p>
    <w:p w14:paraId="5868372F" w14:textId="77777777" w:rsidR="005E5AAC" w:rsidRDefault="005E5AAC" w:rsidP="0039466C">
      <w:pPr>
        <w:rPr>
          <w:b/>
          <w:bCs/>
        </w:rPr>
      </w:pPr>
    </w:p>
    <w:p w14:paraId="489EA675" w14:textId="77777777" w:rsidR="005E5AAC" w:rsidRDefault="005E5AAC" w:rsidP="0039466C">
      <w:pPr>
        <w:rPr>
          <w:b/>
          <w:bCs/>
        </w:rPr>
      </w:pPr>
    </w:p>
    <w:tbl>
      <w:tblPr>
        <w:tblStyle w:val="GridTable1Light-Accent1"/>
        <w:tblW w:w="5000" w:type="pct"/>
        <w:tblLook w:val="04A0" w:firstRow="1" w:lastRow="0" w:firstColumn="1" w:lastColumn="0" w:noHBand="0" w:noVBand="1"/>
      </w:tblPr>
      <w:tblGrid>
        <w:gridCol w:w="6191"/>
        <w:gridCol w:w="952"/>
        <w:gridCol w:w="1105"/>
        <w:gridCol w:w="932"/>
        <w:gridCol w:w="1225"/>
        <w:gridCol w:w="1911"/>
        <w:gridCol w:w="1632"/>
      </w:tblGrid>
      <w:tr w:rsidR="00B6675A" w:rsidRPr="00780EBD" w14:paraId="5088DC98" w14:textId="77777777" w:rsidTr="00B6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pct"/>
            <w:hideMark/>
          </w:tcPr>
          <w:p w14:paraId="5699E118" w14:textId="77777777" w:rsidR="00780EBD" w:rsidRPr="00780EBD" w:rsidRDefault="00780EBD" w:rsidP="00780EBD">
            <w:pPr>
              <w:rPr>
                <w:b/>
                <w:bCs/>
              </w:rPr>
            </w:pPr>
            <w:r w:rsidRPr="00780EBD">
              <w:rPr>
                <w:b/>
                <w:bCs/>
              </w:rPr>
              <w:t>Criteria</w:t>
            </w:r>
          </w:p>
        </w:tc>
        <w:tc>
          <w:tcPr>
            <w:tcW w:w="341" w:type="pct"/>
            <w:hideMark/>
          </w:tcPr>
          <w:p w14:paraId="685D2F42" w14:textId="77777777" w:rsidR="00780EBD" w:rsidRPr="00780EBD" w:rsidRDefault="00780EBD" w:rsidP="00780EBD">
            <w:pPr>
              <w:spacing w:after="160" w:line="278" w:lineRule="auto"/>
              <w:cnfStyle w:val="100000000000" w:firstRow="1" w:lastRow="0" w:firstColumn="0" w:lastColumn="0" w:oddVBand="0" w:evenVBand="0" w:oddHBand="0" w:evenHBand="0" w:firstRowFirstColumn="0" w:firstRowLastColumn="0" w:lastRowFirstColumn="0" w:lastRowLastColumn="0"/>
            </w:pPr>
            <w:r w:rsidRPr="00780EBD">
              <w:t>ANC</w:t>
            </w:r>
          </w:p>
        </w:tc>
        <w:tc>
          <w:tcPr>
            <w:tcW w:w="396" w:type="pct"/>
            <w:hideMark/>
          </w:tcPr>
          <w:p w14:paraId="59EAD323" w14:textId="77777777" w:rsidR="00780EBD" w:rsidRPr="00780EBD" w:rsidRDefault="00780EBD" w:rsidP="00780EBD">
            <w:pPr>
              <w:spacing w:after="160" w:line="278" w:lineRule="auto"/>
              <w:cnfStyle w:val="100000000000" w:firstRow="1" w:lastRow="0" w:firstColumn="0" w:lastColumn="0" w:oddVBand="0" w:evenVBand="0" w:oddHBand="0" w:evenHBand="0" w:firstRowFirstColumn="0" w:firstRowLastColumn="0" w:lastRowFirstColumn="0" w:lastRowLastColumn="0"/>
            </w:pPr>
            <w:r w:rsidRPr="00780EBD">
              <w:t>DA</w:t>
            </w:r>
          </w:p>
        </w:tc>
        <w:tc>
          <w:tcPr>
            <w:tcW w:w="334" w:type="pct"/>
            <w:hideMark/>
          </w:tcPr>
          <w:p w14:paraId="20B2CF97" w14:textId="77777777" w:rsidR="00780EBD" w:rsidRPr="00780EBD" w:rsidRDefault="00780EBD" w:rsidP="00780EBD">
            <w:pPr>
              <w:spacing w:after="160" w:line="278" w:lineRule="auto"/>
              <w:cnfStyle w:val="100000000000" w:firstRow="1" w:lastRow="0" w:firstColumn="0" w:lastColumn="0" w:oddVBand="0" w:evenVBand="0" w:oddHBand="0" w:evenHBand="0" w:firstRowFirstColumn="0" w:firstRowLastColumn="0" w:lastRowFirstColumn="0" w:lastRowLastColumn="0"/>
            </w:pPr>
            <w:r w:rsidRPr="00780EBD">
              <w:t>EFF</w:t>
            </w:r>
          </w:p>
        </w:tc>
        <w:tc>
          <w:tcPr>
            <w:tcW w:w="439" w:type="pct"/>
            <w:hideMark/>
          </w:tcPr>
          <w:p w14:paraId="06D2A096" w14:textId="77777777" w:rsidR="00780EBD" w:rsidRPr="00780EBD" w:rsidRDefault="00780EBD" w:rsidP="00780EBD">
            <w:pPr>
              <w:spacing w:after="160" w:line="278" w:lineRule="auto"/>
              <w:cnfStyle w:val="100000000000" w:firstRow="1" w:lastRow="0" w:firstColumn="0" w:lastColumn="0" w:oddVBand="0" w:evenVBand="0" w:oddHBand="0" w:evenHBand="0" w:firstRowFirstColumn="0" w:firstRowLastColumn="0" w:lastRowFirstColumn="0" w:lastRowLastColumn="0"/>
            </w:pPr>
            <w:r w:rsidRPr="00780EBD">
              <w:t>GOOD</w:t>
            </w:r>
          </w:p>
        </w:tc>
        <w:tc>
          <w:tcPr>
            <w:tcW w:w="685" w:type="pct"/>
            <w:hideMark/>
          </w:tcPr>
          <w:p w14:paraId="59674DF7" w14:textId="77777777" w:rsidR="00780EBD" w:rsidRPr="00780EBD" w:rsidRDefault="00780EBD" w:rsidP="00780EBD">
            <w:pPr>
              <w:spacing w:after="160" w:line="278" w:lineRule="auto"/>
              <w:cnfStyle w:val="100000000000" w:firstRow="1" w:lastRow="0" w:firstColumn="0" w:lastColumn="0" w:oddVBand="0" w:evenVBand="0" w:oddHBand="0" w:evenHBand="0" w:firstRowFirstColumn="0" w:firstRowLastColumn="0" w:lastRowFirstColumn="0" w:lastRowLastColumn="0"/>
            </w:pPr>
            <w:r w:rsidRPr="00780EBD">
              <w:t>RISE Mzansi</w:t>
            </w:r>
          </w:p>
        </w:tc>
        <w:tc>
          <w:tcPr>
            <w:tcW w:w="585" w:type="pct"/>
            <w:hideMark/>
          </w:tcPr>
          <w:p w14:paraId="6B26F4C3" w14:textId="77777777" w:rsidR="00780EBD" w:rsidRPr="00780EBD" w:rsidRDefault="00780EBD" w:rsidP="00780EBD">
            <w:pPr>
              <w:spacing w:after="160" w:line="278" w:lineRule="auto"/>
              <w:cnfStyle w:val="100000000000" w:firstRow="1" w:lastRow="0" w:firstColumn="0" w:lastColumn="0" w:oddVBand="0" w:evenVBand="0" w:oddHBand="0" w:evenHBand="0" w:firstRowFirstColumn="0" w:firstRowLastColumn="0" w:lastRowFirstColumn="0" w:lastRowLastColumn="0"/>
            </w:pPr>
            <w:r w:rsidRPr="00780EBD">
              <w:t>ActionSA</w:t>
            </w:r>
          </w:p>
        </w:tc>
      </w:tr>
      <w:tr w:rsidR="00B6675A" w:rsidRPr="00780EBD" w14:paraId="639AC45E" w14:textId="77777777" w:rsidTr="00B6675A">
        <w:tc>
          <w:tcPr>
            <w:cnfStyle w:val="001000000000" w:firstRow="0" w:lastRow="0" w:firstColumn="1" w:lastColumn="0" w:oddVBand="0" w:evenVBand="0" w:oddHBand="0" w:evenHBand="0" w:firstRowFirstColumn="0" w:firstRowLastColumn="0" w:lastRowFirstColumn="0" w:lastRowLastColumn="0"/>
            <w:tcW w:w="2219" w:type="pct"/>
            <w:hideMark/>
          </w:tcPr>
          <w:p w14:paraId="2D838185" w14:textId="77777777" w:rsidR="00780EBD" w:rsidRPr="00780EBD" w:rsidRDefault="00780EBD" w:rsidP="00780EBD">
            <w:pPr>
              <w:spacing w:after="160" w:line="278" w:lineRule="auto"/>
            </w:pPr>
            <w:r w:rsidRPr="00780EBD">
              <w:t>Climate Policy and Commitment</w:t>
            </w:r>
          </w:p>
        </w:tc>
        <w:tc>
          <w:tcPr>
            <w:tcW w:w="341" w:type="pct"/>
            <w:hideMark/>
          </w:tcPr>
          <w:p w14:paraId="290C9E0A"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1/3</w:t>
            </w:r>
          </w:p>
        </w:tc>
        <w:tc>
          <w:tcPr>
            <w:tcW w:w="396" w:type="pct"/>
            <w:hideMark/>
          </w:tcPr>
          <w:p w14:paraId="6417AD7D"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c>
          <w:tcPr>
            <w:tcW w:w="334" w:type="pct"/>
            <w:hideMark/>
          </w:tcPr>
          <w:p w14:paraId="7B6775AA"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1/3</w:t>
            </w:r>
          </w:p>
        </w:tc>
        <w:tc>
          <w:tcPr>
            <w:tcW w:w="439" w:type="pct"/>
            <w:hideMark/>
          </w:tcPr>
          <w:p w14:paraId="4B19F21E"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685" w:type="pct"/>
            <w:hideMark/>
          </w:tcPr>
          <w:p w14:paraId="3D6A5060"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c>
          <w:tcPr>
            <w:tcW w:w="585" w:type="pct"/>
            <w:hideMark/>
          </w:tcPr>
          <w:p w14:paraId="329A46CC"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r>
      <w:tr w:rsidR="00B6675A" w:rsidRPr="00780EBD" w14:paraId="044B587A" w14:textId="77777777" w:rsidTr="00B6675A">
        <w:tc>
          <w:tcPr>
            <w:cnfStyle w:val="001000000000" w:firstRow="0" w:lastRow="0" w:firstColumn="1" w:lastColumn="0" w:oddVBand="0" w:evenVBand="0" w:oddHBand="0" w:evenHBand="0" w:firstRowFirstColumn="0" w:firstRowLastColumn="0" w:lastRowFirstColumn="0" w:lastRowLastColumn="0"/>
            <w:tcW w:w="2219" w:type="pct"/>
            <w:hideMark/>
          </w:tcPr>
          <w:p w14:paraId="436C3632" w14:textId="77777777" w:rsidR="00780EBD" w:rsidRPr="00780EBD" w:rsidRDefault="00780EBD" w:rsidP="00780EBD">
            <w:pPr>
              <w:rPr>
                <w:b/>
                <w:bCs/>
              </w:rPr>
            </w:pPr>
            <w:r w:rsidRPr="00780EBD">
              <w:rPr>
                <w:b/>
                <w:bCs/>
              </w:rPr>
              <w:t>Renewable Energy and Decarbonization</w:t>
            </w:r>
          </w:p>
        </w:tc>
        <w:tc>
          <w:tcPr>
            <w:tcW w:w="341" w:type="pct"/>
            <w:hideMark/>
          </w:tcPr>
          <w:p w14:paraId="2967F328"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396" w:type="pct"/>
            <w:hideMark/>
          </w:tcPr>
          <w:p w14:paraId="13E81AF4"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c>
          <w:tcPr>
            <w:tcW w:w="334" w:type="pct"/>
            <w:hideMark/>
          </w:tcPr>
          <w:p w14:paraId="4A5EB8D0"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c>
          <w:tcPr>
            <w:tcW w:w="439" w:type="pct"/>
            <w:hideMark/>
          </w:tcPr>
          <w:p w14:paraId="2EE4E9EA"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685" w:type="pct"/>
            <w:hideMark/>
          </w:tcPr>
          <w:p w14:paraId="1EEE947F"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c>
          <w:tcPr>
            <w:tcW w:w="585" w:type="pct"/>
            <w:hideMark/>
          </w:tcPr>
          <w:p w14:paraId="41C3817C"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r>
      <w:tr w:rsidR="00B6675A" w:rsidRPr="00780EBD" w14:paraId="61DBA800" w14:textId="77777777" w:rsidTr="00B6675A">
        <w:tc>
          <w:tcPr>
            <w:cnfStyle w:val="001000000000" w:firstRow="0" w:lastRow="0" w:firstColumn="1" w:lastColumn="0" w:oddVBand="0" w:evenVBand="0" w:oddHBand="0" w:evenHBand="0" w:firstRowFirstColumn="0" w:firstRowLastColumn="0" w:lastRowFirstColumn="0" w:lastRowLastColumn="0"/>
            <w:tcW w:w="2219" w:type="pct"/>
            <w:hideMark/>
          </w:tcPr>
          <w:p w14:paraId="598DFF69" w14:textId="77777777" w:rsidR="00780EBD" w:rsidRPr="00780EBD" w:rsidRDefault="00780EBD" w:rsidP="00780EBD">
            <w:pPr>
              <w:rPr>
                <w:b/>
                <w:bCs/>
              </w:rPr>
            </w:pPr>
            <w:r w:rsidRPr="00780EBD">
              <w:rPr>
                <w:b/>
                <w:bCs/>
              </w:rPr>
              <w:lastRenderedPageBreak/>
              <w:t>Adaptation and Resilience</w:t>
            </w:r>
          </w:p>
        </w:tc>
        <w:tc>
          <w:tcPr>
            <w:tcW w:w="341" w:type="pct"/>
            <w:hideMark/>
          </w:tcPr>
          <w:p w14:paraId="378C36BD"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396" w:type="pct"/>
            <w:hideMark/>
          </w:tcPr>
          <w:p w14:paraId="191CB11A"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c>
          <w:tcPr>
            <w:tcW w:w="334" w:type="pct"/>
            <w:hideMark/>
          </w:tcPr>
          <w:p w14:paraId="7CC2EE03"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439" w:type="pct"/>
            <w:hideMark/>
          </w:tcPr>
          <w:p w14:paraId="5D31D270"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685" w:type="pct"/>
            <w:hideMark/>
          </w:tcPr>
          <w:p w14:paraId="5B62FB83"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1/3</w:t>
            </w:r>
          </w:p>
        </w:tc>
        <w:tc>
          <w:tcPr>
            <w:tcW w:w="585" w:type="pct"/>
            <w:hideMark/>
          </w:tcPr>
          <w:p w14:paraId="7F57AED9"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r>
      <w:tr w:rsidR="00B6675A" w:rsidRPr="00780EBD" w14:paraId="1B0FA95D" w14:textId="77777777" w:rsidTr="00B6675A">
        <w:tc>
          <w:tcPr>
            <w:cnfStyle w:val="001000000000" w:firstRow="0" w:lastRow="0" w:firstColumn="1" w:lastColumn="0" w:oddVBand="0" w:evenVBand="0" w:oddHBand="0" w:evenHBand="0" w:firstRowFirstColumn="0" w:firstRowLastColumn="0" w:lastRowFirstColumn="0" w:lastRowLastColumn="0"/>
            <w:tcW w:w="2219" w:type="pct"/>
            <w:hideMark/>
          </w:tcPr>
          <w:p w14:paraId="42C8FADD" w14:textId="77777777" w:rsidR="00780EBD" w:rsidRPr="00780EBD" w:rsidRDefault="00780EBD" w:rsidP="00780EBD">
            <w:pPr>
              <w:rPr>
                <w:b/>
                <w:bCs/>
              </w:rPr>
            </w:pPr>
            <w:r w:rsidRPr="00780EBD">
              <w:rPr>
                <w:b/>
                <w:bCs/>
              </w:rPr>
              <w:t>Sustainable Development and Green Economy</w:t>
            </w:r>
          </w:p>
        </w:tc>
        <w:tc>
          <w:tcPr>
            <w:tcW w:w="341" w:type="pct"/>
            <w:hideMark/>
          </w:tcPr>
          <w:p w14:paraId="334CDB95"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396" w:type="pct"/>
            <w:hideMark/>
          </w:tcPr>
          <w:p w14:paraId="2690C12A"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c>
          <w:tcPr>
            <w:tcW w:w="334" w:type="pct"/>
            <w:hideMark/>
          </w:tcPr>
          <w:p w14:paraId="1A4F4087"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1/3</w:t>
            </w:r>
          </w:p>
        </w:tc>
        <w:tc>
          <w:tcPr>
            <w:tcW w:w="439" w:type="pct"/>
            <w:hideMark/>
          </w:tcPr>
          <w:p w14:paraId="6D6B2D78"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685" w:type="pct"/>
            <w:hideMark/>
          </w:tcPr>
          <w:p w14:paraId="43BC37CD"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c>
          <w:tcPr>
            <w:tcW w:w="585" w:type="pct"/>
            <w:hideMark/>
          </w:tcPr>
          <w:p w14:paraId="26B579D5"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r>
      <w:tr w:rsidR="00B6675A" w:rsidRPr="00780EBD" w14:paraId="53E02921" w14:textId="77777777" w:rsidTr="00B6675A">
        <w:tc>
          <w:tcPr>
            <w:cnfStyle w:val="001000000000" w:firstRow="0" w:lastRow="0" w:firstColumn="1" w:lastColumn="0" w:oddVBand="0" w:evenVBand="0" w:oddHBand="0" w:evenHBand="0" w:firstRowFirstColumn="0" w:firstRowLastColumn="0" w:lastRowFirstColumn="0" w:lastRowLastColumn="0"/>
            <w:tcW w:w="2219" w:type="pct"/>
            <w:hideMark/>
          </w:tcPr>
          <w:p w14:paraId="42E1051D" w14:textId="77777777" w:rsidR="00780EBD" w:rsidRPr="00780EBD" w:rsidRDefault="00780EBD" w:rsidP="00780EBD">
            <w:pPr>
              <w:rPr>
                <w:b/>
                <w:bCs/>
              </w:rPr>
            </w:pPr>
            <w:r w:rsidRPr="00780EBD">
              <w:rPr>
                <w:b/>
                <w:bCs/>
              </w:rPr>
              <w:t>Climate Finance and Investment</w:t>
            </w:r>
          </w:p>
        </w:tc>
        <w:tc>
          <w:tcPr>
            <w:tcW w:w="341" w:type="pct"/>
            <w:hideMark/>
          </w:tcPr>
          <w:p w14:paraId="4D8E0971"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396" w:type="pct"/>
            <w:hideMark/>
          </w:tcPr>
          <w:p w14:paraId="5D0D2112"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1/3</w:t>
            </w:r>
          </w:p>
        </w:tc>
        <w:tc>
          <w:tcPr>
            <w:tcW w:w="334" w:type="pct"/>
            <w:hideMark/>
          </w:tcPr>
          <w:p w14:paraId="5BBA9464"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1/3</w:t>
            </w:r>
          </w:p>
        </w:tc>
        <w:tc>
          <w:tcPr>
            <w:tcW w:w="439" w:type="pct"/>
            <w:hideMark/>
          </w:tcPr>
          <w:p w14:paraId="1FDBACE7"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685" w:type="pct"/>
            <w:hideMark/>
          </w:tcPr>
          <w:p w14:paraId="4984D4F6"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c>
          <w:tcPr>
            <w:tcW w:w="585" w:type="pct"/>
            <w:hideMark/>
          </w:tcPr>
          <w:p w14:paraId="07EAC04E"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r>
      <w:tr w:rsidR="00B6675A" w:rsidRPr="00780EBD" w14:paraId="33045219" w14:textId="77777777" w:rsidTr="00B6675A">
        <w:tc>
          <w:tcPr>
            <w:cnfStyle w:val="001000000000" w:firstRow="0" w:lastRow="0" w:firstColumn="1" w:lastColumn="0" w:oddVBand="0" w:evenVBand="0" w:oddHBand="0" w:evenHBand="0" w:firstRowFirstColumn="0" w:firstRowLastColumn="0" w:lastRowFirstColumn="0" w:lastRowLastColumn="0"/>
            <w:tcW w:w="2219" w:type="pct"/>
            <w:hideMark/>
          </w:tcPr>
          <w:p w14:paraId="5996CB0D" w14:textId="77777777" w:rsidR="00780EBD" w:rsidRPr="00780EBD" w:rsidRDefault="00780EBD" w:rsidP="00780EBD">
            <w:pPr>
              <w:rPr>
                <w:b/>
                <w:bCs/>
              </w:rPr>
            </w:pPr>
            <w:r w:rsidRPr="00780EBD">
              <w:rPr>
                <w:b/>
                <w:bCs/>
              </w:rPr>
              <w:t>Public Engagement and Education</w:t>
            </w:r>
          </w:p>
        </w:tc>
        <w:tc>
          <w:tcPr>
            <w:tcW w:w="341" w:type="pct"/>
            <w:hideMark/>
          </w:tcPr>
          <w:p w14:paraId="08F8996D"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396" w:type="pct"/>
            <w:hideMark/>
          </w:tcPr>
          <w:p w14:paraId="4422AD0F"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1/3</w:t>
            </w:r>
          </w:p>
        </w:tc>
        <w:tc>
          <w:tcPr>
            <w:tcW w:w="334" w:type="pct"/>
            <w:hideMark/>
          </w:tcPr>
          <w:p w14:paraId="0155F6B7"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439" w:type="pct"/>
            <w:hideMark/>
          </w:tcPr>
          <w:p w14:paraId="59E66AEC"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1/3</w:t>
            </w:r>
          </w:p>
        </w:tc>
        <w:tc>
          <w:tcPr>
            <w:tcW w:w="685" w:type="pct"/>
            <w:hideMark/>
          </w:tcPr>
          <w:p w14:paraId="77A0D286"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585" w:type="pct"/>
            <w:hideMark/>
          </w:tcPr>
          <w:p w14:paraId="6FB94E78"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r>
      <w:tr w:rsidR="00B6675A" w:rsidRPr="00780EBD" w14:paraId="793599E8" w14:textId="77777777" w:rsidTr="00B6675A">
        <w:tc>
          <w:tcPr>
            <w:cnfStyle w:val="001000000000" w:firstRow="0" w:lastRow="0" w:firstColumn="1" w:lastColumn="0" w:oddVBand="0" w:evenVBand="0" w:oddHBand="0" w:evenHBand="0" w:firstRowFirstColumn="0" w:firstRowLastColumn="0" w:lastRowFirstColumn="0" w:lastRowLastColumn="0"/>
            <w:tcW w:w="2219" w:type="pct"/>
            <w:hideMark/>
          </w:tcPr>
          <w:p w14:paraId="47CE5057" w14:textId="77777777" w:rsidR="00780EBD" w:rsidRPr="00780EBD" w:rsidRDefault="00780EBD" w:rsidP="00780EBD">
            <w:pPr>
              <w:rPr>
                <w:b/>
                <w:bCs/>
              </w:rPr>
            </w:pPr>
            <w:r w:rsidRPr="00780EBD">
              <w:rPr>
                <w:b/>
                <w:bCs/>
              </w:rPr>
              <w:t>Regulation and Enforcement</w:t>
            </w:r>
          </w:p>
        </w:tc>
        <w:tc>
          <w:tcPr>
            <w:tcW w:w="341" w:type="pct"/>
            <w:hideMark/>
          </w:tcPr>
          <w:p w14:paraId="50ECE97A"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396" w:type="pct"/>
            <w:hideMark/>
          </w:tcPr>
          <w:p w14:paraId="2BC5DF4A"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c>
          <w:tcPr>
            <w:tcW w:w="334" w:type="pct"/>
            <w:hideMark/>
          </w:tcPr>
          <w:p w14:paraId="6113D7EC"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1/3</w:t>
            </w:r>
          </w:p>
        </w:tc>
        <w:tc>
          <w:tcPr>
            <w:tcW w:w="439" w:type="pct"/>
            <w:hideMark/>
          </w:tcPr>
          <w:p w14:paraId="514F61DC"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685" w:type="pct"/>
            <w:hideMark/>
          </w:tcPr>
          <w:p w14:paraId="6D6A08B0"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0/3</w:t>
            </w:r>
          </w:p>
        </w:tc>
        <w:tc>
          <w:tcPr>
            <w:tcW w:w="585" w:type="pct"/>
            <w:hideMark/>
          </w:tcPr>
          <w:p w14:paraId="17DC4AFD"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2/3</w:t>
            </w:r>
          </w:p>
        </w:tc>
      </w:tr>
      <w:tr w:rsidR="00B6675A" w:rsidRPr="00780EBD" w14:paraId="504DDCDB" w14:textId="77777777" w:rsidTr="00B6675A">
        <w:tc>
          <w:tcPr>
            <w:cnfStyle w:val="001000000000" w:firstRow="0" w:lastRow="0" w:firstColumn="1" w:lastColumn="0" w:oddVBand="0" w:evenVBand="0" w:oddHBand="0" w:evenHBand="0" w:firstRowFirstColumn="0" w:firstRowLastColumn="0" w:lastRowFirstColumn="0" w:lastRowLastColumn="0"/>
            <w:tcW w:w="2219" w:type="pct"/>
            <w:hideMark/>
          </w:tcPr>
          <w:p w14:paraId="185E5CDC" w14:textId="77777777" w:rsidR="00780EBD" w:rsidRPr="00780EBD" w:rsidRDefault="00780EBD" w:rsidP="00780EBD">
            <w:pPr>
              <w:rPr>
                <w:b/>
                <w:bCs/>
              </w:rPr>
            </w:pPr>
            <w:r w:rsidRPr="00780EBD">
              <w:rPr>
                <w:b/>
                <w:bCs/>
              </w:rPr>
              <w:t>Total Score (out of 21)</w:t>
            </w:r>
          </w:p>
        </w:tc>
        <w:tc>
          <w:tcPr>
            <w:tcW w:w="341" w:type="pct"/>
            <w:hideMark/>
          </w:tcPr>
          <w:p w14:paraId="771D15E5"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1/21</w:t>
            </w:r>
          </w:p>
        </w:tc>
        <w:tc>
          <w:tcPr>
            <w:tcW w:w="396" w:type="pct"/>
            <w:hideMark/>
          </w:tcPr>
          <w:p w14:paraId="31DDF850"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12/21</w:t>
            </w:r>
          </w:p>
        </w:tc>
        <w:tc>
          <w:tcPr>
            <w:tcW w:w="334" w:type="pct"/>
            <w:hideMark/>
          </w:tcPr>
          <w:p w14:paraId="2B8BF44C"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6/21</w:t>
            </w:r>
          </w:p>
        </w:tc>
        <w:tc>
          <w:tcPr>
            <w:tcW w:w="439" w:type="pct"/>
            <w:hideMark/>
          </w:tcPr>
          <w:p w14:paraId="3327DC48"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1/21</w:t>
            </w:r>
          </w:p>
        </w:tc>
        <w:tc>
          <w:tcPr>
            <w:tcW w:w="685" w:type="pct"/>
            <w:hideMark/>
          </w:tcPr>
          <w:p w14:paraId="1B3A7360"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9/21</w:t>
            </w:r>
          </w:p>
        </w:tc>
        <w:tc>
          <w:tcPr>
            <w:tcW w:w="585" w:type="pct"/>
            <w:hideMark/>
          </w:tcPr>
          <w:p w14:paraId="2C68ECB6" w14:textId="77777777" w:rsidR="00780EBD" w:rsidRPr="00780EBD" w:rsidRDefault="00780EBD" w:rsidP="00780EBD">
            <w:pPr>
              <w:cnfStyle w:val="000000000000" w:firstRow="0" w:lastRow="0" w:firstColumn="0" w:lastColumn="0" w:oddVBand="0" w:evenVBand="0" w:oddHBand="0" w:evenHBand="0" w:firstRowFirstColumn="0" w:firstRowLastColumn="0" w:lastRowFirstColumn="0" w:lastRowLastColumn="0"/>
              <w:rPr>
                <w:b/>
                <w:bCs/>
              </w:rPr>
            </w:pPr>
            <w:r w:rsidRPr="00780EBD">
              <w:rPr>
                <w:b/>
                <w:bCs/>
              </w:rPr>
              <w:t>14/21</w:t>
            </w:r>
          </w:p>
        </w:tc>
      </w:tr>
    </w:tbl>
    <w:p w14:paraId="74B189F3" w14:textId="77777777" w:rsidR="005E5AAC" w:rsidRDefault="005E5AAC" w:rsidP="0039466C">
      <w:pPr>
        <w:rPr>
          <w:b/>
          <w:bCs/>
        </w:rPr>
      </w:pPr>
    </w:p>
    <w:p w14:paraId="01A5BE13" w14:textId="77777777" w:rsidR="005E5AAC" w:rsidRDefault="005E5AAC" w:rsidP="0039466C">
      <w:pPr>
        <w:rPr>
          <w:b/>
          <w:bCs/>
        </w:rPr>
      </w:pPr>
    </w:p>
    <w:p w14:paraId="2162943D" w14:textId="77777777" w:rsidR="002416B4" w:rsidRDefault="002416B4" w:rsidP="0039466C">
      <w:pPr>
        <w:rPr>
          <w:b/>
          <w:bCs/>
        </w:rPr>
        <w:sectPr w:rsidR="002416B4" w:rsidSect="00F52AF2">
          <w:pgSz w:w="16838" w:h="11906" w:orient="landscape"/>
          <w:pgMar w:top="1440" w:right="1440" w:bottom="1440" w:left="1440" w:header="708" w:footer="708" w:gutter="0"/>
          <w:cols w:space="708"/>
          <w:docGrid w:linePitch="360"/>
        </w:sectPr>
      </w:pPr>
    </w:p>
    <w:p w14:paraId="28396D31" w14:textId="77777777" w:rsidR="005E5AAC" w:rsidRDefault="005E5AAC" w:rsidP="0039466C">
      <w:pPr>
        <w:rPr>
          <w:b/>
          <w:bCs/>
        </w:rPr>
      </w:pPr>
    </w:p>
    <w:p w14:paraId="69AFF724" w14:textId="07A46666" w:rsidR="005F2ED1" w:rsidRPr="005F2ED1" w:rsidRDefault="005F2ED1" w:rsidP="005F2ED1">
      <w:pPr>
        <w:rPr>
          <w:b/>
          <w:bCs/>
        </w:rPr>
      </w:pPr>
      <w:r w:rsidRPr="005F2ED1">
        <w:rPr>
          <w:b/>
          <w:bCs/>
        </w:rPr>
        <w:t>Conclusion:</w:t>
      </w:r>
    </w:p>
    <w:p w14:paraId="1EA91B6A" w14:textId="558E73CB" w:rsidR="005F2ED1" w:rsidRPr="005F2ED1" w:rsidRDefault="005F2ED1" w:rsidP="005F2ED1">
      <w:r w:rsidRPr="005F2ED1">
        <w:t xml:space="preserve">The evaluation of the political </w:t>
      </w:r>
      <w:r w:rsidR="00C069B9">
        <w:t>parties</w:t>
      </w:r>
      <w:r w:rsidRPr="005F2ED1">
        <w:t xml:space="preserve"> manifestos on their approach to the climate crisis is based on the following scoring criteria:</w:t>
      </w:r>
    </w:p>
    <w:p w14:paraId="588D643C" w14:textId="77777777" w:rsidR="005F2ED1" w:rsidRPr="005F2ED1" w:rsidRDefault="005F2ED1" w:rsidP="005F2ED1">
      <w:pPr>
        <w:numPr>
          <w:ilvl w:val="0"/>
          <w:numId w:val="4"/>
        </w:numPr>
      </w:pPr>
      <w:r w:rsidRPr="005F2ED1">
        <w:t>0/3: The issue is not mentioned or lacks detail.</w:t>
      </w:r>
    </w:p>
    <w:p w14:paraId="434B2A83" w14:textId="77777777" w:rsidR="005F2ED1" w:rsidRPr="005F2ED1" w:rsidRDefault="005F2ED1" w:rsidP="005F2ED1">
      <w:pPr>
        <w:numPr>
          <w:ilvl w:val="0"/>
          <w:numId w:val="4"/>
        </w:numPr>
      </w:pPr>
      <w:r w:rsidRPr="005F2ED1">
        <w:t>1/3: The issue is mentioned but lacks specific plans or details.</w:t>
      </w:r>
    </w:p>
    <w:p w14:paraId="35AABFD4" w14:textId="77777777" w:rsidR="005F2ED1" w:rsidRPr="005F2ED1" w:rsidRDefault="005F2ED1" w:rsidP="005F2ED1">
      <w:pPr>
        <w:numPr>
          <w:ilvl w:val="0"/>
          <w:numId w:val="4"/>
        </w:numPr>
      </w:pPr>
      <w:r w:rsidRPr="005F2ED1">
        <w:t>2/3: Detailed plans or commitments are mentioned.</w:t>
      </w:r>
    </w:p>
    <w:p w14:paraId="728DF27E" w14:textId="77777777" w:rsidR="005F2ED1" w:rsidRPr="005F2ED1" w:rsidRDefault="005F2ED1" w:rsidP="005F2ED1">
      <w:pPr>
        <w:numPr>
          <w:ilvl w:val="0"/>
          <w:numId w:val="4"/>
        </w:numPr>
      </w:pPr>
      <w:r w:rsidRPr="005F2ED1">
        <w:t>3/3: The manifesto provides comprehensive and detailed plans or commitments.</w:t>
      </w:r>
    </w:p>
    <w:p w14:paraId="4A9CBABE" w14:textId="40C0034A" w:rsidR="005F2ED1" w:rsidRPr="005F2ED1" w:rsidRDefault="005F2ED1" w:rsidP="005F2ED1">
      <w:r w:rsidRPr="005F2ED1">
        <w:t xml:space="preserve">Based on this scoring framework, ActionSA emerges as the frontrunner with a score of 14/21, demonstrating a comprehensive approach to addressing climate change in their manifesto. The Democratic Alliance (DA) follows with a respectable score of 12/21, indicating a commitment to climate action but with room for further development. RISE Mzansi, with a score of 9/21, </w:t>
      </w:r>
      <w:r w:rsidR="003A2C7A">
        <w:t>focuses</w:t>
      </w:r>
      <w:r w:rsidRPr="005F2ED1">
        <w:t xml:space="preserve"> on sustainable development and the green economy. The Economic Freedom Fighters (EFF) score 6/21, highlighting some emphasis on renewable energy and decarbonisation. The African National Congress (ANC) and GOOD score a modest 1/21, suggesting </w:t>
      </w:r>
      <w:r w:rsidR="002E3146">
        <w:t xml:space="preserve">limited </w:t>
      </w:r>
      <w:r w:rsidRPr="005F2ED1">
        <w:t>detail in their manifestos regarding climate change policies and actions.</w:t>
      </w:r>
    </w:p>
    <w:p w14:paraId="79B4E54F" w14:textId="77777777" w:rsidR="005F2ED1" w:rsidRPr="005F2ED1" w:rsidRDefault="005F2ED1" w:rsidP="005F2ED1">
      <w:r w:rsidRPr="005F2ED1">
        <w:t>As South Africa confronts escalating climate-related challenges such as intensified heatwaves, water scarcity, biodiversity loss, and extreme weather events, the urgency for robust and ambitious climate policies is more pronounced than ever. The upcoming election presents a critical opportunity for political parties to place the climate crisis at the forefront of their agendas and to align their policies with the scientific consensus on the need for immediate and substantial action to mitigate global warming.</w:t>
      </w:r>
    </w:p>
    <w:p w14:paraId="2BCE032F" w14:textId="25A34565" w:rsidR="005F2ED1" w:rsidRPr="005F2ED1" w:rsidRDefault="005F2ED1" w:rsidP="005F2ED1">
      <w:r w:rsidRPr="005F2ED1">
        <w:t>Voters have a pivotal role in demanding more from their political representatives, advocating for clear and comprehensive strategies to address and adapt to the impacts of climate change. The future of South Africa, and indeed the planet, hinges on our collective ability to meet this unprecedented challenge head-on, embracing the responsibilities of the Anthropocene era with determination and resolve</w:t>
      </w:r>
    </w:p>
    <w:p w14:paraId="494F6099" w14:textId="77777777" w:rsidR="0039466C" w:rsidRPr="0039466C" w:rsidRDefault="0039466C" w:rsidP="0039466C">
      <w:pPr>
        <w:rPr>
          <w:b/>
          <w:bCs/>
        </w:rPr>
      </w:pPr>
      <w:r w:rsidRPr="0039466C">
        <w:rPr>
          <w:b/>
          <w:bCs/>
        </w:rPr>
        <w:t>References:</w:t>
      </w:r>
    </w:p>
    <w:p w14:paraId="0539A421" w14:textId="77777777" w:rsidR="0039466C" w:rsidRPr="0039466C" w:rsidRDefault="0039466C" w:rsidP="0039466C">
      <w:pPr>
        <w:numPr>
          <w:ilvl w:val="0"/>
          <w:numId w:val="1"/>
        </w:numPr>
      </w:pPr>
      <w:r w:rsidRPr="0039466C">
        <w:t>IPCC. (2021). Climate Change 2021: The Physical Science Basis. Contribution of Working Group I to the Sixth Assessment Report of the Intergovernmental Panel on Climate Change. Link</w:t>
      </w:r>
    </w:p>
    <w:p w14:paraId="0F5A319A" w14:textId="77777777" w:rsidR="0039466C" w:rsidRPr="0039466C" w:rsidRDefault="0039466C" w:rsidP="0039466C">
      <w:pPr>
        <w:numPr>
          <w:ilvl w:val="0"/>
          <w:numId w:val="1"/>
        </w:numPr>
      </w:pPr>
      <w:r w:rsidRPr="0039466C">
        <w:t xml:space="preserve">IPCC. (2022). Climate Change 2022: Impacts, Adaptation and Vulnerability. Contribution of Working Group II to the Sixth Assessment Report of the Intergovernmental Panel on Climate Change. </w:t>
      </w:r>
      <w:hyperlink r:id="rId9" w:tgtFrame="_new" w:history="1">
        <w:r w:rsidRPr="0039466C">
          <w:rPr>
            <w:rStyle w:val="Hyperlink"/>
          </w:rPr>
          <w:t>Link</w:t>
        </w:r>
      </w:hyperlink>
    </w:p>
    <w:p w14:paraId="122D897C" w14:textId="77777777" w:rsidR="0039466C" w:rsidRPr="0039466C" w:rsidRDefault="0039466C" w:rsidP="0039466C">
      <w:pPr>
        <w:numPr>
          <w:ilvl w:val="0"/>
          <w:numId w:val="1"/>
        </w:numPr>
      </w:pPr>
      <w:r w:rsidRPr="0039466C">
        <w:lastRenderedPageBreak/>
        <w:t xml:space="preserve">IPCC. (2022). Climate Change 2022: Mitigation of Climate Change. Contribution of Working Group III to the Sixth Assessment Report of the Intergovernmental Panel on Climate Change. </w:t>
      </w:r>
      <w:hyperlink r:id="rId10" w:tgtFrame="_new" w:history="1">
        <w:r w:rsidRPr="0039466C">
          <w:rPr>
            <w:rStyle w:val="Hyperlink"/>
          </w:rPr>
          <w:t>Link</w:t>
        </w:r>
      </w:hyperlink>
    </w:p>
    <w:p w14:paraId="780017C9" w14:textId="77777777" w:rsidR="0039466C" w:rsidRPr="0039466C" w:rsidRDefault="0039466C" w:rsidP="0039466C">
      <w:pPr>
        <w:numPr>
          <w:ilvl w:val="0"/>
          <w:numId w:val="1"/>
        </w:numPr>
      </w:pPr>
      <w:r w:rsidRPr="0039466C">
        <w:t>IPCC. (2023). Climate Change 2023: Synthesis Report. Contribution of the IPCC to the Sixth Assessment Report. Link</w:t>
      </w:r>
    </w:p>
    <w:p w14:paraId="2C9A0058" w14:textId="77777777" w:rsidR="00BB25F9" w:rsidRDefault="00BB25F9"/>
    <w:sectPr w:rsidR="00BB25F9" w:rsidSect="00241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7908"/>
    <w:multiLevelType w:val="multilevel"/>
    <w:tmpl w:val="0686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D7327B"/>
    <w:multiLevelType w:val="multilevel"/>
    <w:tmpl w:val="89C0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732AA7"/>
    <w:multiLevelType w:val="multilevel"/>
    <w:tmpl w:val="01B4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DB6F86"/>
    <w:multiLevelType w:val="multilevel"/>
    <w:tmpl w:val="624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5882647">
    <w:abstractNumId w:val="0"/>
  </w:num>
  <w:num w:numId="2" w16cid:durableId="1839879211">
    <w:abstractNumId w:val="2"/>
  </w:num>
  <w:num w:numId="3" w16cid:durableId="855582114">
    <w:abstractNumId w:val="3"/>
  </w:num>
  <w:num w:numId="4" w16cid:durableId="20254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6C"/>
    <w:rsid w:val="002416B4"/>
    <w:rsid w:val="002E3146"/>
    <w:rsid w:val="00305FC8"/>
    <w:rsid w:val="0036616D"/>
    <w:rsid w:val="0039466C"/>
    <w:rsid w:val="003A2C7A"/>
    <w:rsid w:val="005B336F"/>
    <w:rsid w:val="005E5AAC"/>
    <w:rsid w:val="005F2ED1"/>
    <w:rsid w:val="00716C45"/>
    <w:rsid w:val="00780EBD"/>
    <w:rsid w:val="008A28FA"/>
    <w:rsid w:val="008A6F9B"/>
    <w:rsid w:val="00910BD5"/>
    <w:rsid w:val="00AD306F"/>
    <w:rsid w:val="00B6675A"/>
    <w:rsid w:val="00BB25F9"/>
    <w:rsid w:val="00C069B9"/>
    <w:rsid w:val="00C74565"/>
    <w:rsid w:val="00E46CCB"/>
    <w:rsid w:val="00ED6C66"/>
    <w:rsid w:val="00F52A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4B088"/>
  <w15:chartTrackingRefBased/>
  <w15:docId w15:val="{22711887-3E45-4840-9276-96941C7B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66C"/>
    <w:rPr>
      <w:rFonts w:eastAsiaTheme="majorEastAsia" w:cstheme="majorBidi"/>
      <w:color w:val="272727" w:themeColor="text1" w:themeTint="D8"/>
    </w:rPr>
  </w:style>
  <w:style w:type="paragraph" w:styleId="Title">
    <w:name w:val="Title"/>
    <w:basedOn w:val="Normal"/>
    <w:next w:val="Normal"/>
    <w:link w:val="TitleChar"/>
    <w:uiPriority w:val="10"/>
    <w:qFormat/>
    <w:rsid w:val="0039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66C"/>
    <w:pPr>
      <w:spacing w:before="160"/>
      <w:jc w:val="center"/>
    </w:pPr>
    <w:rPr>
      <w:i/>
      <w:iCs/>
      <w:color w:val="404040" w:themeColor="text1" w:themeTint="BF"/>
    </w:rPr>
  </w:style>
  <w:style w:type="character" w:customStyle="1" w:styleId="QuoteChar">
    <w:name w:val="Quote Char"/>
    <w:basedOn w:val="DefaultParagraphFont"/>
    <w:link w:val="Quote"/>
    <w:uiPriority w:val="29"/>
    <w:rsid w:val="0039466C"/>
    <w:rPr>
      <w:i/>
      <w:iCs/>
      <w:color w:val="404040" w:themeColor="text1" w:themeTint="BF"/>
    </w:rPr>
  </w:style>
  <w:style w:type="paragraph" w:styleId="ListParagraph">
    <w:name w:val="List Paragraph"/>
    <w:basedOn w:val="Normal"/>
    <w:uiPriority w:val="34"/>
    <w:qFormat/>
    <w:rsid w:val="0039466C"/>
    <w:pPr>
      <w:ind w:left="720"/>
      <w:contextualSpacing/>
    </w:pPr>
  </w:style>
  <w:style w:type="character" w:styleId="IntenseEmphasis">
    <w:name w:val="Intense Emphasis"/>
    <w:basedOn w:val="DefaultParagraphFont"/>
    <w:uiPriority w:val="21"/>
    <w:qFormat/>
    <w:rsid w:val="0039466C"/>
    <w:rPr>
      <w:i/>
      <w:iCs/>
      <w:color w:val="0F4761" w:themeColor="accent1" w:themeShade="BF"/>
    </w:rPr>
  </w:style>
  <w:style w:type="paragraph" w:styleId="IntenseQuote">
    <w:name w:val="Intense Quote"/>
    <w:basedOn w:val="Normal"/>
    <w:next w:val="Normal"/>
    <w:link w:val="IntenseQuoteChar"/>
    <w:uiPriority w:val="30"/>
    <w:qFormat/>
    <w:rsid w:val="0039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66C"/>
    <w:rPr>
      <w:i/>
      <w:iCs/>
      <w:color w:val="0F4761" w:themeColor="accent1" w:themeShade="BF"/>
    </w:rPr>
  </w:style>
  <w:style w:type="character" w:styleId="IntenseReference">
    <w:name w:val="Intense Reference"/>
    <w:basedOn w:val="DefaultParagraphFont"/>
    <w:uiPriority w:val="32"/>
    <w:qFormat/>
    <w:rsid w:val="0039466C"/>
    <w:rPr>
      <w:b/>
      <w:bCs/>
      <w:smallCaps/>
      <w:color w:val="0F4761" w:themeColor="accent1" w:themeShade="BF"/>
      <w:spacing w:val="5"/>
    </w:rPr>
  </w:style>
  <w:style w:type="character" w:styleId="Hyperlink">
    <w:name w:val="Hyperlink"/>
    <w:basedOn w:val="DefaultParagraphFont"/>
    <w:uiPriority w:val="99"/>
    <w:unhideWhenUsed/>
    <w:rsid w:val="0039466C"/>
    <w:rPr>
      <w:color w:val="467886" w:themeColor="hyperlink"/>
      <w:u w:val="single"/>
    </w:rPr>
  </w:style>
  <w:style w:type="character" w:styleId="UnresolvedMention">
    <w:name w:val="Unresolved Mention"/>
    <w:basedOn w:val="DefaultParagraphFont"/>
    <w:uiPriority w:val="99"/>
    <w:semiHidden/>
    <w:unhideWhenUsed/>
    <w:rsid w:val="0039466C"/>
    <w:rPr>
      <w:color w:val="605E5C"/>
      <w:shd w:val="clear" w:color="auto" w:fill="E1DFDD"/>
    </w:rPr>
  </w:style>
  <w:style w:type="table" w:styleId="GridTable1Light-Accent1">
    <w:name w:val="Grid Table 1 Light Accent 1"/>
    <w:basedOn w:val="TableNormal"/>
    <w:uiPriority w:val="46"/>
    <w:rsid w:val="0039466C"/>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392">
      <w:bodyDiv w:val="1"/>
      <w:marLeft w:val="0"/>
      <w:marRight w:val="0"/>
      <w:marTop w:val="0"/>
      <w:marBottom w:val="0"/>
      <w:divBdr>
        <w:top w:val="none" w:sz="0" w:space="0" w:color="auto"/>
        <w:left w:val="none" w:sz="0" w:space="0" w:color="auto"/>
        <w:bottom w:val="none" w:sz="0" w:space="0" w:color="auto"/>
        <w:right w:val="none" w:sz="0" w:space="0" w:color="auto"/>
      </w:divBdr>
    </w:div>
    <w:div w:id="151681003">
      <w:bodyDiv w:val="1"/>
      <w:marLeft w:val="0"/>
      <w:marRight w:val="0"/>
      <w:marTop w:val="0"/>
      <w:marBottom w:val="0"/>
      <w:divBdr>
        <w:top w:val="none" w:sz="0" w:space="0" w:color="auto"/>
        <w:left w:val="none" w:sz="0" w:space="0" w:color="auto"/>
        <w:bottom w:val="none" w:sz="0" w:space="0" w:color="auto"/>
        <w:right w:val="none" w:sz="0" w:space="0" w:color="auto"/>
      </w:divBdr>
    </w:div>
    <w:div w:id="478889966">
      <w:bodyDiv w:val="1"/>
      <w:marLeft w:val="0"/>
      <w:marRight w:val="0"/>
      <w:marTop w:val="0"/>
      <w:marBottom w:val="0"/>
      <w:divBdr>
        <w:top w:val="none" w:sz="0" w:space="0" w:color="auto"/>
        <w:left w:val="none" w:sz="0" w:space="0" w:color="auto"/>
        <w:bottom w:val="none" w:sz="0" w:space="0" w:color="auto"/>
        <w:right w:val="none" w:sz="0" w:space="0" w:color="auto"/>
      </w:divBdr>
    </w:div>
    <w:div w:id="808130164">
      <w:bodyDiv w:val="1"/>
      <w:marLeft w:val="0"/>
      <w:marRight w:val="0"/>
      <w:marTop w:val="0"/>
      <w:marBottom w:val="0"/>
      <w:divBdr>
        <w:top w:val="none" w:sz="0" w:space="0" w:color="auto"/>
        <w:left w:val="none" w:sz="0" w:space="0" w:color="auto"/>
        <w:bottom w:val="none" w:sz="0" w:space="0" w:color="auto"/>
        <w:right w:val="none" w:sz="0" w:space="0" w:color="auto"/>
      </w:divBdr>
    </w:div>
    <w:div w:id="1679842122">
      <w:bodyDiv w:val="1"/>
      <w:marLeft w:val="0"/>
      <w:marRight w:val="0"/>
      <w:marTop w:val="0"/>
      <w:marBottom w:val="0"/>
      <w:divBdr>
        <w:top w:val="none" w:sz="0" w:space="0" w:color="auto"/>
        <w:left w:val="none" w:sz="0" w:space="0" w:color="auto"/>
        <w:bottom w:val="none" w:sz="0" w:space="0" w:color="auto"/>
        <w:right w:val="none" w:sz="0" w:space="0" w:color="auto"/>
      </w:divBdr>
    </w:div>
    <w:div w:id="1734234843">
      <w:bodyDiv w:val="1"/>
      <w:marLeft w:val="0"/>
      <w:marRight w:val="0"/>
      <w:marTop w:val="0"/>
      <w:marBottom w:val="0"/>
      <w:divBdr>
        <w:top w:val="none" w:sz="0" w:space="0" w:color="auto"/>
        <w:left w:val="none" w:sz="0" w:space="0" w:color="auto"/>
        <w:bottom w:val="none" w:sz="0" w:space="0" w:color="auto"/>
        <w:right w:val="none" w:sz="0" w:space="0" w:color="auto"/>
      </w:divBdr>
    </w:div>
    <w:div w:id="19934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c.ch/report/ar6/wg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ipcc.ch/report/ar6/wg3/" TargetMode="External"/><Relationship Id="rId4" Type="http://schemas.openxmlformats.org/officeDocument/2006/relationships/numbering" Target="numbering.xml"/><Relationship Id="rId9" Type="http://schemas.openxmlformats.org/officeDocument/2006/relationships/hyperlink" Target="https://www.ipcc.ch/report/ar6/w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634D4313-49C0-4B83-B4D7-845A69E11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5665B-78C8-4F26-95FA-D2E2C085EA0C}">
  <ds:schemaRefs>
    <ds:schemaRef ds:uri="http://schemas.microsoft.com/sharepoint/v3/contenttype/forms"/>
  </ds:schemaRefs>
</ds:datastoreItem>
</file>

<file path=customXml/itemProps3.xml><?xml version="1.0" encoding="utf-8"?>
<ds:datastoreItem xmlns:ds="http://schemas.openxmlformats.org/officeDocument/2006/customXml" ds:itemID="{D82312F6-4611-48AC-866E-467A7C3E130F}">
  <ds:schemaRefs>
    <ds:schemaRef ds:uri="http://purl.org/dc/terms/"/>
    <ds:schemaRef ds:uri="http://schemas.microsoft.com/office/2006/documentManagement/types"/>
    <ds:schemaRef ds:uri="http://schemas.microsoft.com/office/2006/metadata/properties"/>
    <ds:schemaRef ds:uri="http://purl.org/dc/dcmitype/"/>
    <ds:schemaRef ds:uri="84e45b98-9724-46df-936f-ec42a4cf951b"/>
    <ds:schemaRef ds:uri="http://schemas.microsoft.com/office/infopath/2007/PartnerControls"/>
    <ds:schemaRef ds:uri="http://schemas.openxmlformats.org/package/2006/metadata/core-properties"/>
    <ds:schemaRef ds:uri="6d0ea381-1626-4603-a356-2e0ae14a7169"/>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7</Pages>
  <Words>1090</Words>
  <Characters>6655</Characters>
  <Application>Microsoft Office Word</Application>
  <DocSecurity>0</DocSecurity>
  <Lines>362</Lines>
  <Paragraphs>138</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22</cp:revision>
  <dcterms:created xsi:type="dcterms:W3CDTF">2024-03-31T10:50:00Z</dcterms:created>
  <dcterms:modified xsi:type="dcterms:W3CDTF">2024-03-31T18:09:00Z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64d280ef-7982-4f0a-b3ad-79daa44eb610</vt:lpwstr>
  </property>
  <property fmtid="{D5CDD505-2E9C-101B-9397-08002B2CF9AE}" pid="3" name="ContentTypeId">
    <vt:lpwstr>0x0101006CDDA926EB07344AB32891125AAEC5BC</vt:lpwstr>
  </property>
</Properties>
</file>