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537E" w14:textId="1A03883D" w:rsidR="006E7D11" w:rsidRDefault="006E7D11" w:rsidP="006E7D11">
      <w:pPr>
        <w:pStyle w:val="Heading1"/>
        <w:rPr>
          <w:rFonts w:eastAsia="Times New Roman"/>
          <w:lang w:eastAsia="en-ZA"/>
        </w:rPr>
      </w:pPr>
      <w:r>
        <w:rPr>
          <w:rFonts w:eastAsia="Times New Roman"/>
          <w:lang w:eastAsia="en-ZA"/>
        </w:rPr>
        <w:t>Phase 2: Project Detailed Summary</w:t>
      </w:r>
    </w:p>
    <w:p w14:paraId="148E4FAC" w14:textId="374AC5D2" w:rsidR="006E7D11" w:rsidRDefault="00345F88" w:rsidP="00345F88">
      <w:pPr>
        <w:pStyle w:val="Heading2"/>
        <w:rPr>
          <w:lang w:eastAsia="en-ZA"/>
        </w:rPr>
      </w:pPr>
      <w:r>
        <w:rPr>
          <w:lang w:eastAsia="en-ZA"/>
        </w:rPr>
        <w:t>Project Title</w:t>
      </w:r>
    </w:p>
    <w:p w14:paraId="23B45ABC" w14:textId="2C53D761" w:rsidR="00345F88" w:rsidRPr="004D12DB" w:rsidRDefault="005F0413" w:rsidP="00345F88">
      <w:pPr>
        <w:jc w:val="center"/>
        <w:rPr>
          <w:rFonts w:ascii="Times New Roman" w:hAnsi="Times New Roman" w:cs="Times New Roman"/>
          <w:b/>
          <w:sz w:val="24"/>
          <w:szCs w:val="24"/>
        </w:rPr>
      </w:pPr>
      <w:commentRangeStart w:id="0"/>
      <w:r>
        <w:rPr>
          <w:rFonts w:ascii="Times New Roman" w:hAnsi="Times New Roman" w:cs="Times New Roman"/>
          <w:b/>
          <w:sz w:val="24"/>
          <w:szCs w:val="24"/>
        </w:rPr>
        <w:t>Reliability</w:t>
      </w:r>
      <w:r w:rsidR="00276587">
        <w:rPr>
          <w:rFonts w:ascii="Times New Roman" w:hAnsi="Times New Roman" w:cs="Times New Roman"/>
          <w:b/>
          <w:sz w:val="24"/>
          <w:szCs w:val="24"/>
        </w:rPr>
        <w:t xml:space="preserve"> of a </w:t>
      </w:r>
      <w:r w:rsidR="00427C1F">
        <w:rPr>
          <w:rFonts w:ascii="Times New Roman" w:hAnsi="Times New Roman" w:cs="Times New Roman"/>
          <w:b/>
          <w:sz w:val="24"/>
          <w:szCs w:val="24"/>
        </w:rPr>
        <w:t>N</w:t>
      </w:r>
      <w:r w:rsidR="00F7359C">
        <w:rPr>
          <w:rFonts w:ascii="Times New Roman" w:hAnsi="Times New Roman" w:cs="Times New Roman"/>
          <w:b/>
          <w:sz w:val="24"/>
          <w:szCs w:val="24"/>
        </w:rPr>
        <w:t xml:space="preserve">ovel </w:t>
      </w:r>
      <w:r w:rsidR="00427C1F">
        <w:rPr>
          <w:rFonts w:ascii="Times New Roman" w:hAnsi="Times New Roman" w:cs="Times New Roman"/>
          <w:b/>
          <w:sz w:val="24"/>
          <w:szCs w:val="24"/>
        </w:rPr>
        <w:t>Deep L</w:t>
      </w:r>
      <w:r w:rsidR="00276587">
        <w:rPr>
          <w:rFonts w:ascii="Times New Roman" w:hAnsi="Times New Roman" w:cs="Times New Roman"/>
          <w:b/>
          <w:sz w:val="24"/>
          <w:szCs w:val="24"/>
        </w:rPr>
        <w:t>earning</w:t>
      </w:r>
      <w:r w:rsidR="00427C1F">
        <w:rPr>
          <w:rFonts w:ascii="Times New Roman" w:hAnsi="Times New Roman" w:cs="Times New Roman"/>
          <w:b/>
          <w:sz w:val="24"/>
          <w:szCs w:val="24"/>
        </w:rPr>
        <w:t xml:space="preserve"> S</w:t>
      </w:r>
      <w:r w:rsidR="00276587">
        <w:rPr>
          <w:rFonts w:ascii="Times New Roman" w:hAnsi="Times New Roman" w:cs="Times New Roman"/>
          <w:b/>
          <w:sz w:val="24"/>
          <w:szCs w:val="24"/>
        </w:rPr>
        <w:t>ystem</w:t>
      </w:r>
      <w:r>
        <w:rPr>
          <w:rFonts w:ascii="Times New Roman" w:hAnsi="Times New Roman" w:cs="Times New Roman"/>
          <w:b/>
          <w:sz w:val="24"/>
          <w:szCs w:val="24"/>
        </w:rPr>
        <w:t xml:space="preserve"> for </w:t>
      </w:r>
      <w:r w:rsidR="00276587">
        <w:rPr>
          <w:rFonts w:ascii="Times New Roman" w:hAnsi="Times New Roman" w:cs="Times New Roman"/>
          <w:b/>
          <w:sz w:val="24"/>
          <w:szCs w:val="24"/>
        </w:rPr>
        <w:t>Optic Nerve Sheath Diameter</w:t>
      </w:r>
      <w:r w:rsidR="00427C1F">
        <w:rPr>
          <w:rFonts w:ascii="Times New Roman" w:hAnsi="Times New Roman" w:cs="Times New Roman"/>
          <w:b/>
          <w:sz w:val="24"/>
          <w:szCs w:val="24"/>
        </w:rPr>
        <w:t xml:space="preserve"> Measurement</w:t>
      </w:r>
      <w:r w:rsidR="00345F88" w:rsidRPr="004D12DB">
        <w:rPr>
          <w:rFonts w:ascii="Times New Roman" w:hAnsi="Times New Roman" w:cs="Times New Roman"/>
          <w:b/>
          <w:sz w:val="24"/>
          <w:szCs w:val="24"/>
        </w:rPr>
        <w:t>.</w:t>
      </w:r>
      <w:commentRangeEnd w:id="0"/>
      <w:r w:rsidR="00422247">
        <w:rPr>
          <w:rStyle w:val="CommentReference"/>
        </w:rPr>
        <w:commentReference w:id="0"/>
      </w:r>
    </w:p>
    <w:p w14:paraId="56F95F75" w14:textId="502043E1" w:rsidR="006E7D11" w:rsidRDefault="006E7D11" w:rsidP="006E7D11">
      <w:pPr>
        <w:pStyle w:val="Heading2"/>
        <w:rPr>
          <w:lang w:eastAsia="en-ZA"/>
        </w:rPr>
      </w:pPr>
      <w:r>
        <w:rPr>
          <w:lang w:eastAsia="en-ZA"/>
        </w:rPr>
        <w:t>Existing Knowledge</w:t>
      </w:r>
    </w:p>
    <w:p w14:paraId="0BB7F904" w14:textId="7165EAB2" w:rsidR="00A02A34" w:rsidRPr="00730DFB" w:rsidRDefault="00D335EB" w:rsidP="00730DFB">
      <w:r>
        <w:t>The bedside diagnosis of r</w:t>
      </w:r>
      <w:r w:rsidR="00EB7994" w:rsidRPr="00730DFB">
        <w:t>aised intracranial pressure (ICP) is</w:t>
      </w:r>
      <w:r w:rsidR="00D84712">
        <w:t xml:space="preserve"> challenging as the symptoms lack sensitivity and fundoscopic examination is associated with clinician diffidence</w:t>
      </w:r>
      <w:r w:rsidR="003C0128">
        <w:t xml:space="preserve"> [</w:t>
      </w:r>
      <w:r w:rsidR="0019458D">
        <w:t>1-</w:t>
      </w:r>
      <w:r w:rsidR="00F844BE">
        <w:t>7</w:t>
      </w:r>
      <w:r w:rsidR="003C0128">
        <w:t>]</w:t>
      </w:r>
      <w:r w:rsidR="00971C11">
        <w:t>. E</w:t>
      </w:r>
      <w:r w:rsidR="00D84712">
        <w:t xml:space="preserve">levated ICP </w:t>
      </w:r>
      <w:r w:rsidR="00971C11">
        <w:t>requires timely</w:t>
      </w:r>
      <w:r w:rsidR="008973B4" w:rsidRPr="00730DFB">
        <w:t xml:space="preserve"> recognition and management as it is</w:t>
      </w:r>
      <w:r w:rsidR="00EB7994" w:rsidRPr="00730DFB">
        <w:t xml:space="preserve"> associated with significant morbidity and mortality</w:t>
      </w:r>
      <w:r w:rsidR="00F844BE">
        <w:t xml:space="preserve"> [4-6]</w:t>
      </w:r>
      <w:r w:rsidR="00EB7994" w:rsidRPr="00730DFB">
        <w:t>. In South Africa, there is limited access to specialis</w:t>
      </w:r>
      <w:r w:rsidR="008973B4" w:rsidRPr="00730DFB">
        <w:t>ed diagnostic imaging modalities</w:t>
      </w:r>
      <w:r w:rsidR="00F844BE">
        <w:t xml:space="preserve"> [8]</w:t>
      </w:r>
      <w:r w:rsidR="008973B4" w:rsidRPr="00730DFB">
        <w:t xml:space="preserve"> necessitating</w:t>
      </w:r>
      <w:r w:rsidR="00EB7994" w:rsidRPr="00730DFB">
        <w:t xml:space="preserve"> innovative adaptations to existing infrastructure </w:t>
      </w:r>
      <w:r w:rsidR="008973B4" w:rsidRPr="00730DFB">
        <w:t>to</w:t>
      </w:r>
      <w:r w:rsidR="00EB7994" w:rsidRPr="00730DFB">
        <w:t xml:space="preserve"> achieve the requi</w:t>
      </w:r>
      <w:r>
        <w:t>red diagnostic accuracy</w:t>
      </w:r>
      <w:r w:rsidR="00EB7994" w:rsidRPr="00730DFB">
        <w:t>.</w:t>
      </w:r>
      <w:r w:rsidR="008973B4" w:rsidRPr="00730DFB">
        <w:t xml:space="preserve"> One such </w:t>
      </w:r>
      <w:r>
        <w:t xml:space="preserve">potential </w:t>
      </w:r>
      <w:r w:rsidR="008973B4" w:rsidRPr="00730DFB">
        <w:t xml:space="preserve">opportunity is to leverage a Deep Learning System (DLS) </w:t>
      </w:r>
      <w:r w:rsidR="00853880">
        <w:t xml:space="preserve">to assist clinicians </w:t>
      </w:r>
      <w:r w:rsidR="00F7359C">
        <w:t>in</w:t>
      </w:r>
      <w:r w:rsidR="00201FFD">
        <w:t xml:space="preserve"> assess</w:t>
      </w:r>
      <w:r w:rsidR="00F7359C">
        <w:t>ing</w:t>
      </w:r>
      <w:r w:rsidR="00201FFD">
        <w:t xml:space="preserve"> the</w:t>
      </w:r>
      <w:r w:rsidR="008973B4" w:rsidRPr="00730DFB">
        <w:t xml:space="preserve"> Optic Nerve Sheath Diameter </w:t>
      </w:r>
      <w:r w:rsidR="00201FFD">
        <w:t>(ONSD), a surrogate marker for</w:t>
      </w:r>
      <w:r w:rsidR="00AB7357">
        <w:t xml:space="preserve"> ICP</w:t>
      </w:r>
      <w:r w:rsidR="008E5F9A">
        <w:t xml:space="preserve"> [9-12]</w:t>
      </w:r>
      <w:r w:rsidR="00AB7357">
        <w:t>.</w:t>
      </w:r>
    </w:p>
    <w:p w14:paraId="675005EC" w14:textId="5A837CE4" w:rsidR="00424F6B" w:rsidRPr="00730DFB" w:rsidRDefault="006E7D11" w:rsidP="00730DFB">
      <w:r w:rsidRPr="00730DFB">
        <w:t xml:space="preserve">The optic nerve can be </w:t>
      </w:r>
      <w:r w:rsidR="00424F6B" w:rsidRPr="00730DFB">
        <w:t xml:space="preserve">structurally </w:t>
      </w:r>
      <w:r w:rsidRPr="00730DFB">
        <w:t xml:space="preserve">visualised at the bedside </w:t>
      </w:r>
      <w:r w:rsidR="00424F6B" w:rsidRPr="00730DFB">
        <w:t>using non-invasive techniques which include Fundoscopy, Optical Coherence Tomography (OCT), and Ocular Ultrasound</w:t>
      </w:r>
      <w:r w:rsidR="008E5F9A">
        <w:t xml:space="preserve"> [6, 13-14]</w:t>
      </w:r>
      <w:r w:rsidR="00424F6B" w:rsidRPr="00730DFB">
        <w:t>.</w:t>
      </w:r>
      <w:r w:rsidRPr="00730DFB">
        <w:t xml:space="preserve"> </w:t>
      </w:r>
      <w:proofErr w:type="spellStart"/>
      <w:r w:rsidR="00424F6B" w:rsidRPr="00730DFB">
        <w:t>Papilloedema</w:t>
      </w:r>
      <w:proofErr w:type="spellEnd"/>
      <w:r w:rsidR="00424F6B" w:rsidRPr="00730DFB">
        <w:t xml:space="preserve"> is a clinical sign and is defined as swelling of the optic di</w:t>
      </w:r>
      <w:r w:rsidR="00A113F3">
        <w:t>sc secondary to raised ICP [15</w:t>
      </w:r>
      <w:r w:rsidR="00AB7357">
        <w:t>].</w:t>
      </w:r>
      <w:r w:rsidRPr="00730DFB">
        <w:t xml:space="preserve"> </w:t>
      </w:r>
    </w:p>
    <w:p w14:paraId="0F59D768" w14:textId="3D4B9360" w:rsidR="006E7D11" w:rsidRDefault="00201FFD" w:rsidP="00730DFB">
      <w:r>
        <w:t>The gold standard</w:t>
      </w:r>
      <w:r w:rsidR="006E7D11" w:rsidRPr="00730DFB">
        <w:t xml:space="preserve"> for the diag</w:t>
      </w:r>
      <w:r>
        <w:t xml:space="preserve">nosis of raised ICP are </w:t>
      </w:r>
      <w:r w:rsidR="006E7D11" w:rsidRPr="00730DFB">
        <w:t>intraventricular or intraparenchymal catheters</w:t>
      </w:r>
      <w:r w:rsidR="008E5F9A">
        <w:t xml:space="preserve"> [6]</w:t>
      </w:r>
      <w:r w:rsidR="006E7D11" w:rsidRPr="00730DFB">
        <w:t>. These methods require anaesthesia and are invasive, expensive, and associated with infection, haemorrhage, and malposition</w:t>
      </w:r>
      <w:r w:rsidR="00A113F3">
        <w:t xml:space="preserve"> [16-20]</w:t>
      </w:r>
      <w:r w:rsidR="006E7D11" w:rsidRPr="00730DFB">
        <w:t xml:space="preserve">. The non-invasive modalities for detecting raised ICP are </w:t>
      </w:r>
      <w:r w:rsidR="00D335EB">
        <w:t>classified as structural or</w:t>
      </w:r>
      <w:r w:rsidR="006E7D11" w:rsidRPr="00730DFB">
        <w:t xml:space="preserve"> functional</w:t>
      </w:r>
      <w:r w:rsidR="00A113F3">
        <w:t xml:space="preserve"> [6]</w:t>
      </w:r>
      <w:r w:rsidR="006E7D11" w:rsidRPr="00730DFB">
        <w:t>. Structural modalities include CT, MRI, Fundoscopy, Optical Coherence Tomography (OCT), and Ocular Ultrasound</w:t>
      </w:r>
      <w:r w:rsidR="00A113F3">
        <w:t xml:space="preserve"> [6]</w:t>
      </w:r>
      <w:r w:rsidR="006E7D11" w:rsidRPr="00730DFB">
        <w:t xml:space="preserve">. Functional modalities include Transcranial Doppler Ultrasound, Near-Infrared Spectroscopy, </w:t>
      </w:r>
      <w:r w:rsidR="00A113F3">
        <w:t>and Visual Evoked Potentials [6, 21].</w:t>
      </w:r>
    </w:p>
    <w:p w14:paraId="5637BEAE" w14:textId="3591EA68" w:rsidR="006E7D11" w:rsidRPr="00730DFB" w:rsidRDefault="00427C1F" w:rsidP="00730DFB">
      <w:r>
        <w:t>Bedside f</w:t>
      </w:r>
      <w:r w:rsidR="006E7D11" w:rsidRPr="00730DFB">
        <w:t>undoscopy</w:t>
      </w:r>
      <w:r w:rsidR="006E0814">
        <w:t xml:space="preserve"> is readily available</w:t>
      </w:r>
      <w:r w:rsidR="00715D83">
        <w:t xml:space="preserve"> </w:t>
      </w:r>
      <w:r w:rsidR="00F7359C">
        <w:t xml:space="preserve">due to </w:t>
      </w:r>
      <w:r w:rsidR="00622B2A">
        <w:t xml:space="preserve">the </w:t>
      </w:r>
      <w:r w:rsidR="00F7359C">
        <w:t xml:space="preserve">low cost and portability of the </w:t>
      </w:r>
      <w:r w:rsidR="00622B2A">
        <w:t>ophthalmoscope</w:t>
      </w:r>
      <w:r w:rsidR="00F7359C">
        <w:t xml:space="preserve"> </w:t>
      </w:r>
      <w:r w:rsidR="006E0814">
        <w:t xml:space="preserve">but </w:t>
      </w:r>
      <w:r w:rsidR="005F0413">
        <w:t xml:space="preserve">its use is limited due to its </w:t>
      </w:r>
      <w:r w:rsidR="00853880">
        <w:t xml:space="preserve">poor </w:t>
      </w:r>
      <w:r w:rsidR="005F0413">
        <w:t>diagnostic accuracy</w:t>
      </w:r>
      <w:r w:rsidR="00F7359C">
        <w:t xml:space="preserve"> and clinician diffidence</w:t>
      </w:r>
      <w:r>
        <w:t xml:space="preserve"> [6-7, 22-24</w:t>
      </w:r>
      <w:r w:rsidRPr="00730DFB">
        <w:t>]</w:t>
      </w:r>
      <w:r w:rsidR="006E0814">
        <w:t>.</w:t>
      </w:r>
    </w:p>
    <w:p w14:paraId="339AFC0B" w14:textId="7F39966A" w:rsidR="006E7D11" w:rsidRPr="00730DFB" w:rsidRDefault="00622B2A" w:rsidP="00730DFB">
      <w:r>
        <w:t>OCT parameters</w:t>
      </w:r>
      <w:r w:rsidR="006E7D11" w:rsidRPr="00730DFB">
        <w:t xml:space="preserve"> show good sensitivity for raised ICP</w:t>
      </w:r>
      <w:r>
        <w:t xml:space="preserve"> [6]</w:t>
      </w:r>
      <w:r w:rsidR="006E7D11" w:rsidRPr="00730DFB">
        <w:t>. Th</w:t>
      </w:r>
      <w:r>
        <w:t>e machine is portable and</w:t>
      </w:r>
      <w:r w:rsidR="006E7D11" w:rsidRPr="00730DFB">
        <w:t xml:space="preserve"> used in the primary ca</w:t>
      </w:r>
      <w:r w:rsidR="00D84712">
        <w:t>re setting</w:t>
      </w:r>
      <w:r w:rsidR="00715D83">
        <w:t>. A</w:t>
      </w:r>
      <w:r w:rsidR="00D84712">
        <w:t>ccess</w:t>
      </w:r>
      <w:r w:rsidR="00715D83">
        <w:t xml:space="preserve"> at present is the major limitation</w:t>
      </w:r>
      <w:r w:rsidR="00B01370">
        <w:t>.</w:t>
      </w:r>
    </w:p>
    <w:p w14:paraId="5BC3FBE0" w14:textId="790EDDEF" w:rsidR="006E7D11" w:rsidRPr="00730DFB" w:rsidRDefault="00EA11F6" w:rsidP="00730DFB">
      <w:r>
        <w:t>Point-of-care ultrasound (POCUS)</w:t>
      </w:r>
      <w:r w:rsidR="00F7359C">
        <w:t xml:space="preserve"> is an </w:t>
      </w:r>
      <w:r w:rsidR="00622B2A">
        <w:t>attractive alternative given the limitations of</w:t>
      </w:r>
      <w:r>
        <w:t xml:space="preserve"> fun</w:t>
      </w:r>
      <w:r w:rsidR="00715D83">
        <w:t>doscopy and OCT in South Africa</w:t>
      </w:r>
      <w:r w:rsidR="00971C11">
        <w:t>.</w:t>
      </w:r>
      <w:r w:rsidR="006E7D11" w:rsidRPr="00730DFB">
        <w:t xml:space="preserve"> For suspected raised ICP</w:t>
      </w:r>
      <w:r w:rsidR="00971C11">
        <w:t>,</w:t>
      </w:r>
      <w:r w:rsidR="006E7D11" w:rsidRPr="00730DFB">
        <w:t xml:space="preserve"> ocular ultrasound is used to measure the </w:t>
      </w:r>
      <w:r w:rsidR="00AB7357">
        <w:t>Optic Disc Elevation (</w:t>
      </w:r>
      <w:r w:rsidR="00AB7357" w:rsidRPr="00730DFB">
        <w:t>ODE</w:t>
      </w:r>
      <w:r w:rsidR="00AB7357">
        <w:t>)</w:t>
      </w:r>
      <w:r w:rsidR="00AB7357" w:rsidRPr="00730DFB">
        <w:t xml:space="preserve">, a surrogate for papilledema, and ONSD, which </w:t>
      </w:r>
      <w:r w:rsidR="00AB7357">
        <w:t>is a measure of</w:t>
      </w:r>
      <w:r w:rsidR="00AB7357" w:rsidRPr="00730DFB">
        <w:t xml:space="preserve"> CSF in the subarachnoid s</w:t>
      </w:r>
      <w:r w:rsidR="00B01370">
        <w:t>pace around the optic nerve</w:t>
      </w:r>
      <w:r w:rsidR="00AB7357" w:rsidRPr="00730DFB">
        <w:t>.</w:t>
      </w:r>
      <w:r w:rsidR="00B01370">
        <w:t xml:space="preserve"> [25, 26]</w:t>
      </w:r>
    </w:p>
    <w:p w14:paraId="08A29DF7" w14:textId="4A13FB4B" w:rsidR="006E7D11" w:rsidRPr="00730DFB" w:rsidRDefault="006E7D11" w:rsidP="00730DFB">
      <w:r w:rsidRPr="00730DFB">
        <w:t>The proposed cut-off for ODE ranges from 0.3mm to 1mm and has a sensitivity in diagnosing raised ICP that ranges from 70% to 90% and</w:t>
      </w:r>
      <w:r w:rsidR="00B01370">
        <w:t xml:space="preserve"> a specificity close to 100% [13</w:t>
      </w:r>
      <w:r w:rsidRPr="00730DFB">
        <w:t>]. ONSD has a sensitivity of 95.6% and specificity of 92.3% when 5mm is taken as the cut-off and it is measure</w:t>
      </w:r>
      <w:r w:rsidR="00B01370">
        <w:t>d 3mm posterior to the globe [14</w:t>
      </w:r>
      <w:r w:rsidRPr="00730DFB">
        <w:t>]</w:t>
      </w:r>
      <w:r w:rsidR="006E0814">
        <w:t>.</w:t>
      </w:r>
      <w:r w:rsidR="00853880">
        <w:t xml:space="preserve"> </w:t>
      </w:r>
      <w:r w:rsidR="00533CA1">
        <w:t xml:space="preserve">There is however poor standardisation of this cut-off in clinical practice. </w:t>
      </w:r>
      <w:r w:rsidR="00853880">
        <w:t>A South African population-</w:t>
      </w:r>
      <w:r w:rsidR="00622B2A">
        <w:t>based study</w:t>
      </w:r>
      <w:r w:rsidR="00853880">
        <w:t xml:space="preserve"> recommended a cut-off value of 5.6mm when screening for raised ICP</w:t>
      </w:r>
      <w:r w:rsidR="00622B2A">
        <w:t xml:space="preserve"> [27]</w:t>
      </w:r>
      <w:r w:rsidR="00533CA1">
        <w:t>.</w:t>
      </w:r>
    </w:p>
    <w:p w14:paraId="5206B46D" w14:textId="1C26AF6C" w:rsidR="006E7D11" w:rsidRPr="00730DFB" w:rsidRDefault="00341AA0" w:rsidP="00730DFB">
      <w:r>
        <w:t>O</w:t>
      </w:r>
      <w:r w:rsidR="006E7D11" w:rsidRPr="00730DFB">
        <w:t>cular ultrasound</w:t>
      </w:r>
      <w:r w:rsidR="00715D83">
        <w:t>’s major limitation lies in the</w:t>
      </w:r>
      <w:r w:rsidR="006E7D11" w:rsidRPr="00730DFB">
        <w:t xml:space="preserve"> significant inter-operator variability and as such, reliability is </w:t>
      </w:r>
      <w:proofErr w:type="gramStart"/>
      <w:r w:rsidR="006E7D11" w:rsidRPr="00730DFB">
        <w:t>inconstant</w:t>
      </w:r>
      <w:proofErr w:type="gramEnd"/>
      <w:r w:rsidR="00B01370">
        <w:t xml:space="preserve"> </w:t>
      </w:r>
      <w:r w:rsidR="00533CA1">
        <w:t xml:space="preserve">and it is used inconsistently </w:t>
      </w:r>
      <w:r w:rsidR="00B01370">
        <w:t>[6]</w:t>
      </w:r>
      <w:r w:rsidR="006E7D11" w:rsidRPr="00730DFB">
        <w:t>. It does however pose little risk to patients, is relatively inexpensive, portable, quick, and correlat</w:t>
      </w:r>
      <w:r w:rsidR="00B01370">
        <w:t>es well with ICP measurements [6</w:t>
      </w:r>
      <w:r>
        <w:t>, 28</w:t>
      </w:r>
      <w:r w:rsidR="006E7D11" w:rsidRPr="00730DFB">
        <w:t>]. Point of Care Ultrasound use is gaining momentum and as such there is an established infrastructure of usable devic</w:t>
      </w:r>
      <w:r>
        <w:t>es within sub-Saharan Africa [29</w:t>
      </w:r>
      <w:r w:rsidR="006E7D11" w:rsidRPr="00730DFB">
        <w:t>].</w:t>
      </w:r>
    </w:p>
    <w:p w14:paraId="64DCDF7A" w14:textId="7B73225F" w:rsidR="00730DFB" w:rsidRPr="00730DFB" w:rsidRDefault="00AC04A3" w:rsidP="00730DFB">
      <w:r w:rsidRPr="00730DFB">
        <w:t>There is an emerging trend in medical imaging where Artificial Intelligence (AI) is making significant strides, particularly in the field of</w:t>
      </w:r>
      <w:r w:rsidR="005C3BB8" w:rsidRPr="00730DFB">
        <w:t xml:space="preserve"> DLS</w:t>
      </w:r>
      <w:r w:rsidRPr="00730DFB">
        <w:t xml:space="preserve"> based on Convolutional Neural Networks</w:t>
      </w:r>
      <w:r w:rsidR="0019691E">
        <w:t xml:space="preserve"> (CNN)</w:t>
      </w:r>
      <w:r w:rsidRPr="00730DFB">
        <w:t xml:space="preserve">. DLS </w:t>
      </w:r>
      <w:r w:rsidR="005C3BB8" w:rsidRPr="00730DFB">
        <w:t>can</w:t>
      </w:r>
      <w:r w:rsidRPr="00730DFB">
        <w:t xml:space="preserve"> </w:t>
      </w:r>
      <w:r w:rsidRPr="00730DFB">
        <w:lastRenderedPageBreak/>
        <w:t>diminish discrepancies that arise from different observers interpreting the same image, known a</w:t>
      </w:r>
      <w:r w:rsidR="00402094">
        <w:t>s inter-observer variability [9</w:t>
      </w:r>
      <w:r w:rsidRPr="00730DFB">
        <w:t>]. While rule-based systems face challenges in generalizing across different observers and equipment, DLS offers a promising solution to this limitation, leading to its increasing relevance and grow</w:t>
      </w:r>
      <w:r w:rsidR="00730DFB" w:rsidRPr="00730DFB">
        <w:t xml:space="preserve">th in the medical imaging field. </w:t>
      </w:r>
    </w:p>
    <w:p w14:paraId="1B2BE7B8" w14:textId="5F3BB836" w:rsidR="00730DFB" w:rsidRDefault="00AC04A3" w:rsidP="006E7D11">
      <w:r w:rsidRPr="00730DFB">
        <w:t>AI has been successfully applied to medical image segmentation and diagnosis, improving work efficiency and a</w:t>
      </w:r>
      <w:r w:rsidR="00402094">
        <w:t>ccuracy [9</w:t>
      </w:r>
      <w:r w:rsidR="0019691E">
        <w:t>]</w:t>
      </w:r>
      <w:r w:rsidRPr="00730DFB">
        <w:t>. By leveraging AI algorithms, accurate and automated measurement</w:t>
      </w:r>
      <w:r w:rsidR="00730DFB" w:rsidRPr="00730DFB">
        <w:t>s of ONSD</w:t>
      </w:r>
      <w:r w:rsidRPr="00730DFB">
        <w:t xml:space="preserve"> can be obtained</w:t>
      </w:r>
      <w:r w:rsidR="00C038F2">
        <w:t xml:space="preserve"> [10, 11]</w:t>
      </w:r>
      <w:r w:rsidRPr="00730DFB">
        <w:t>, reducing the reliance on subjective assessments and enhancin</w:t>
      </w:r>
      <w:r w:rsidR="00402094">
        <w:t>g diagnostic accuracy</w:t>
      </w:r>
      <w:r w:rsidR="00730DFB" w:rsidRPr="00730DFB">
        <w:t>.</w:t>
      </w:r>
    </w:p>
    <w:p w14:paraId="10ECC63B" w14:textId="097E1C5B" w:rsidR="00730DFB" w:rsidRDefault="008B5F42" w:rsidP="00730DFB">
      <w:pPr>
        <w:pStyle w:val="Heading2"/>
      </w:pPr>
      <w:commentRangeStart w:id="1"/>
      <w:r>
        <w:t>Hypothesis</w:t>
      </w:r>
    </w:p>
    <w:p w14:paraId="4F6010DB" w14:textId="5E001D3B" w:rsidR="008B5F42" w:rsidRPr="00E33E9E" w:rsidRDefault="008B5F42" w:rsidP="008B5F42">
      <w:pPr>
        <w:pStyle w:val="NoSpacing"/>
        <w:rPr>
          <w:rFonts w:cstheme="minorHAnsi"/>
        </w:rPr>
      </w:pPr>
      <w:r w:rsidRPr="00E33E9E">
        <w:rPr>
          <w:rFonts w:cstheme="minorHAnsi"/>
        </w:rPr>
        <w:t>A dataset of transorbital ultrasound images can be used to train a DLS</w:t>
      </w:r>
      <w:r w:rsidR="00533CA1">
        <w:rPr>
          <w:rFonts w:cstheme="minorHAnsi"/>
        </w:rPr>
        <w:t xml:space="preserve"> to reliably</w:t>
      </w:r>
      <w:r w:rsidR="00A72831">
        <w:rPr>
          <w:rFonts w:cstheme="minorHAnsi"/>
        </w:rPr>
        <w:t xml:space="preserve"> measure the ONSD</w:t>
      </w:r>
      <w:r w:rsidRPr="00E33E9E">
        <w:rPr>
          <w:rFonts w:cstheme="minorHAnsi"/>
        </w:rPr>
        <w:t>.</w:t>
      </w:r>
      <w:commentRangeEnd w:id="1"/>
      <w:r w:rsidR="0006280C">
        <w:rPr>
          <w:rStyle w:val="CommentReference"/>
        </w:rPr>
        <w:commentReference w:id="1"/>
      </w:r>
    </w:p>
    <w:p w14:paraId="46128408" w14:textId="33737541" w:rsidR="008B5F42" w:rsidRDefault="008B5F42" w:rsidP="008B5F42"/>
    <w:p w14:paraId="6F661454" w14:textId="287FFA96" w:rsidR="008B5F42" w:rsidRPr="008B5F42" w:rsidRDefault="008B5F42" w:rsidP="008B5F42">
      <w:pPr>
        <w:pStyle w:val="Heading2"/>
      </w:pPr>
      <w:r>
        <w:t>Aim</w:t>
      </w:r>
    </w:p>
    <w:p w14:paraId="5B74B6AC" w14:textId="675A4A9F" w:rsidR="00730DFB" w:rsidRPr="00A72831" w:rsidRDefault="00730DFB" w:rsidP="00A72831">
      <w:pPr>
        <w:pStyle w:val="NoSpacing"/>
        <w:numPr>
          <w:ilvl w:val="0"/>
          <w:numId w:val="2"/>
        </w:numPr>
        <w:rPr>
          <w:rFonts w:cstheme="minorHAnsi"/>
        </w:rPr>
      </w:pPr>
      <w:commentRangeStart w:id="2"/>
      <w:commentRangeStart w:id="3"/>
      <w:r w:rsidRPr="00E33E9E">
        <w:rPr>
          <w:rFonts w:cstheme="minorHAnsi"/>
        </w:rPr>
        <w:t>A</w:t>
      </w:r>
      <w:r w:rsidR="008B5F42" w:rsidRPr="00E33E9E">
        <w:rPr>
          <w:rFonts w:cstheme="minorHAnsi"/>
        </w:rPr>
        <w:t>ccumulate a dataset of</w:t>
      </w:r>
      <w:r w:rsidR="00A72831">
        <w:rPr>
          <w:rFonts w:cstheme="minorHAnsi"/>
        </w:rPr>
        <w:t xml:space="preserve"> defined</w:t>
      </w:r>
      <w:r w:rsidRPr="00E33E9E">
        <w:rPr>
          <w:rFonts w:cstheme="minorHAnsi"/>
        </w:rPr>
        <w:t xml:space="preserve"> ocular ultrasound images.</w:t>
      </w:r>
    </w:p>
    <w:p w14:paraId="2790B901" w14:textId="77777777" w:rsidR="00730DFB" w:rsidRPr="00E33E9E" w:rsidRDefault="00730DFB" w:rsidP="00730DFB">
      <w:pPr>
        <w:pStyle w:val="NoSpacing"/>
        <w:rPr>
          <w:rFonts w:cstheme="minorHAnsi"/>
        </w:rPr>
      </w:pPr>
    </w:p>
    <w:p w14:paraId="76163101" w14:textId="76A1A041" w:rsidR="00730DFB" w:rsidRPr="00E33E9E" w:rsidRDefault="00730DFB" w:rsidP="00730DFB">
      <w:pPr>
        <w:pStyle w:val="NoSpacing"/>
        <w:numPr>
          <w:ilvl w:val="0"/>
          <w:numId w:val="2"/>
        </w:numPr>
        <w:rPr>
          <w:rFonts w:cstheme="minorHAnsi"/>
        </w:rPr>
      </w:pPr>
      <w:r w:rsidRPr="00E33E9E">
        <w:rPr>
          <w:rFonts w:cstheme="minorHAnsi"/>
        </w:rPr>
        <w:t>Use these curated images to fine-tune a Deep Learning System (DLS), aiming fo</w:t>
      </w:r>
      <w:r w:rsidR="00A72831">
        <w:rPr>
          <w:rFonts w:cstheme="minorHAnsi"/>
        </w:rPr>
        <w:t>r precision in measuring the ONSD</w:t>
      </w:r>
      <w:r w:rsidRPr="00E33E9E">
        <w:rPr>
          <w:rFonts w:cstheme="minorHAnsi"/>
        </w:rPr>
        <w:t>.</w:t>
      </w:r>
    </w:p>
    <w:p w14:paraId="4C62E4CE" w14:textId="77777777" w:rsidR="00730DFB" w:rsidRPr="00E33E9E" w:rsidRDefault="00730DFB" w:rsidP="00730DFB">
      <w:pPr>
        <w:pStyle w:val="NoSpacing"/>
        <w:rPr>
          <w:rFonts w:cstheme="minorHAnsi"/>
        </w:rPr>
      </w:pPr>
    </w:p>
    <w:p w14:paraId="08F08CFA" w14:textId="05EEB677" w:rsidR="00730DFB" w:rsidRPr="00E33E9E" w:rsidRDefault="00E0056A" w:rsidP="00730DFB">
      <w:pPr>
        <w:pStyle w:val="NoSpacing"/>
        <w:numPr>
          <w:ilvl w:val="0"/>
          <w:numId w:val="2"/>
        </w:numPr>
        <w:rPr>
          <w:rFonts w:cstheme="minorHAnsi"/>
        </w:rPr>
      </w:pPr>
      <w:r>
        <w:rPr>
          <w:rFonts w:cstheme="minorHAnsi"/>
        </w:rPr>
        <w:t>Evaluate the DLS’s reliability using a method comparison</w:t>
      </w:r>
      <w:r w:rsidR="00341AA0">
        <w:rPr>
          <w:rFonts w:cstheme="minorHAnsi"/>
        </w:rPr>
        <w:t xml:space="preserve"> test</w:t>
      </w:r>
      <w:commentRangeEnd w:id="2"/>
      <w:r w:rsidR="0006280C">
        <w:rPr>
          <w:rStyle w:val="CommentReference"/>
        </w:rPr>
        <w:commentReference w:id="2"/>
      </w:r>
      <w:commentRangeEnd w:id="3"/>
      <w:r w:rsidR="0006280C">
        <w:rPr>
          <w:rStyle w:val="CommentReference"/>
        </w:rPr>
        <w:commentReference w:id="3"/>
      </w:r>
    </w:p>
    <w:p w14:paraId="0D6587F4" w14:textId="37386F42" w:rsidR="00730DFB" w:rsidRDefault="00730DFB" w:rsidP="00730DFB"/>
    <w:p w14:paraId="21971A5D" w14:textId="1C3D5921" w:rsidR="003C3DDE" w:rsidRDefault="003C3DDE" w:rsidP="0019691E">
      <w:pPr>
        <w:pStyle w:val="Heading2"/>
      </w:pPr>
      <w:commentRangeStart w:id="4"/>
      <w:r>
        <w:t>Methodology</w:t>
      </w:r>
      <w:commentRangeEnd w:id="4"/>
      <w:r w:rsidR="00422247">
        <w:rPr>
          <w:rStyle w:val="CommentReference"/>
          <w:rFonts w:asciiTheme="minorHAnsi" w:eastAsiaTheme="minorHAnsi" w:hAnsiTheme="minorHAnsi" w:cstheme="minorBidi"/>
          <w:color w:val="auto"/>
        </w:rPr>
        <w:commentReference w:id="4"/>
      </w:r>
    </w:p>
    <w:p w14:paraId="49FB290A" w14:textId="18629894" w:rsidR="00755B1E" w:rsidRDefault="00A72831" w:rsidP="003C3DDE">
      <w:r>
        <w:t xml:space="preserve">A </w:t>
      </w:r>
      <w:r w:rsidR="003C3DDE">
        <w:t>retrospective cross-sectional study</w:t>
      </w:r>
      <w:r w:rsidR="00764312">
        <w:t xml:space="preserve"> to train and test </w:t>
      </w:r>
      <w:r w:rsidR="00E0056A">
        <w:t xml:space="preserve">the reliability of </w:t>
      </w:r>
      <w:r w:rsidR="00764312">
        <w:t>a novel DLS</w:t>
      </w:r>
      <w:r w:rsidR="00E0056A">
        <w:t xml:space="preserve"> against a defined internal dataset of ONSD measurements taken by a trained and experienced ultrasound provider</w:t>
      </w:r>
      <w:r w:rsidR="00764312">
        <w:t>.</w:t>
      </w:r>
      <w:r w:rsidR="00755B1E">
        <w:t xml:space="preserve"> </w:t>
      </w:r>
      <w:r w:rsidR="00341AA0">
        <w:t xml:space="preserve">This is the first </w:t>
      </w:r>
      <w:r w:rsidR="008F6D20">
        <w:t xml:space="preserve">step in determining the </w:t>
      </w:r>
      <w:r w:rsidR="00341AA0">
        <w:t xml:space="preserve">feasibility </w:t>
      </w:r>
      <w:r w:rsidR="008F6D20">
        <w:t xml:space="preserve">of </w:t>
      </w:r>
      <w:r w:rsidR="00341AA0">
        <w:t>a DLS capable of assisting in clinical practice.</w:t>
      </w:r>
    </w:p>
    <w:p w14:paraId="0E7BC9F9" w14:textId="4A647D24" w:rsidR="00AB7357" w:rsidRDefault="00755B1E" w:rsidP="003C3DDE">
      <w:r>
        <w:t xml:space="preserve">Retrospective de-identified, ocular ultrasound images will be collected from </w:t>
      </w:r>
      <w:r w:rsidR="00A72831">
        <w:t>a database of previously defined images taken as part of a study carried out on healthy black South African adults</w:t>
      </w:r>
      <w:r w:rsidR="008F6D20">
        <w:t xml:space="preserve"> [27]</w:t>
      </w:r>
      <w:r>
        <w:t>.</w:t>
      </w:r>
      <w:r w:rsidR="00EA3D02">
        <w:t xml:space="preserve"> </w:t>
      </w:r>
      <w:r w:rsidR="008F6D20">
        <w:t xml:space="preserve">This study received </w:t>
      </w:r>
      <w:r w:rsidR="00C4597F">
        <w:t xml:space="preserve">approval from the </w:t>
      </w:r>
      <w:r w:rsidR="008F6D20">
        <w:t>Human Research Ethics Committee of the University of the Witwatersrand (ethics clearance number M191159) and adhered to the tenets of the Declaration of Helsinki.</w:t>
      </w:r>
      <w:r w:rsidR="00C4597F">
        <w:t xml:space="preserve"> </w:t>
      </w:r>
      <w:r w:rsidR="005F7998">
        <w:t xml:space="preserve">Additional approval will be sought from the Human Research Ethics Committee of the University of the Witwatersrand to use these images in this study prior to data collection. </w:t>
      </w:r>
      <w:r w:rsidR="00C4597F">
        <w:t>There are approximately 198 ocular ultrasound images available through the study</w:t>
      </w:r>
      <w:r w:rsidR="005F7998">
        <w:t xml:space="preserve"> that were captured between March and December 2022</w:t>
      </w:r>
      <w:r w:rsidR="00C4597F">
        <w:t>.</w:t>
      </w:r>
    </w:p>
    <w:p w14:paraId="2CF74C7A" w14:textId="1374CB38" w:rsidR="00AB7357" w:rsidRDefault="00EA3D02" w:rsidP="00AB7357">
      <w:commentRangeStart w:id="5"/>
      <w:r>
        <w:t>The images will be captured on a secure electronic Case Report Form (eCRF).</w:t>
      </w:r>
      <w:r w:rsidR="00AB7357">
        <w:t xml:space="preserve"> </w:t>
      </w:r>
      <w:r w:rsidR="00A72831">
        <w:t>Age, gender</w:t>
      </w:r>
      <w:r w:rsidR="00E0056A">
        <w:t>, co-</w:t>
      </w:r>
      <w:proofErr w:type="gramStart"/>
      <w:r w:rsidR="00E0056A">
        <w:t>morbidities</w:t>
      </w:r>
      <w:proofErr w:type="gramEnd"/>
      <w:r w:rsidR="00A72831">
        <w:t xml:space="preserve"> and intraocular pressure (IOP)</w:t>
      </w:r>
      <w:r>
        <w:t xml:space="preserve"> will be captured with the image when available. </w:t>
      </w:r>
      <w:r w:rsidR="0019691E">
        <w:t xml:space="preserve">Inclusion will be based on image quality and age &gt;18 years. </w:t>
      </w:r>
      <w:r w:rsidR="00AB7357">
        <w:t>Pre-processing will be used to standardize images to a consistent size and format and enhance the images if needed to improve the visibility of structures.</w:t>
      </w:r>
      <w:commentRangeEnd w:id="5"/>
      <w:r w:rsidR="00B50807">
        <w:rPr>
          <w:rStyle w:val="CommentReference"/>
        </w:rPr>
        <w:commentReference w:id="5"/>
      </w:r>
    </w:p>
    <w:p w14:paraId="368DA004" w14:textId="731188C6" w:rsidR="00755B1E" w:rsidRDefault="00EA3D02" w:rsidP="003C3DDE">
      <w:commentRangeStart w:id="6"/>
      <w:r>
        <w:t xml:space="preserve">The chosen platform for model development and verification is Google </w:t>
      </w:r>
      <w:proofErr w:type="spellStart"/>
      <w:r>
        <w:t>Colab</w:t>
      </w:r>
      <w:proofErr w:type="spellEnd"/>
      <w:r>
        <w:t xml:space="preserve">, a top-tier </w:t>
      </w:r>
      <w:proofErr w:type="spellStart"/>
      <w:r>
        <w:t>Jupy</w:t>
      </w:r>
      <w:r w:rsidR="00C038F2">
        <w:t>ter</w:t>
      </w:r>
      <w:proofErr w:type="spellEnd"/>
      <w:r w:rsidR="00C038F2">
        <w:t xml:space="preserve"> Notebook hosting service [29</w:t>
      </w:r>
      <w:r>
        <w:t xml:space="preserve">]. Google </w:t>
      </w:r>
      <w:proofErr w:type="spellStart"/>
      <w:r>
        <w:t>Colab</w:t>
      </w:r>
      <w:proofErr w:type="spellEnd"/>
      <w:r>
        <w:t xml:space="preserve"> provides an optimal environment for executing Python code efficiently, making it highly suitable for sophisti</w:t>
      </w:r>
      <w:r w:rsidR="00341AA0">
        <w:t xml:space="preserve">cated </w:t>
      </w:r>
      <w:r w:rsidR="00555A3A">
        <w:t>machine-learning</w:t>
      </w:r>
      <w:r w:rsidR="00341AA0">
        <w:t xml:space="preserve"> tasks [30</w:t>
      </w:r>
      <w:r>
        <w:t>].</w:t>
      </w:r>
      <w:commentRangeEnd w:id="6"/>
      <w:r w:rsidR="00B50807">
        <w:rPr>
          <w:rStyle w:val="CommentReference"/>
        </w:rPr>
        <w:commentReference w:id="6"/>
      </w:r>
    </w:p>
    <w:p w14:paraId="125788C2" w14:textId="37463FED" w:rsidR="00971C11" w:rsidRDefault="00971C11" w:rsidP="003C3DDE">
      <w:commentRangeStart w:id="7"/>
      <w:r>
        <w:t xml:space="preserve">Regression analysis will be conducted to predict the continuous measures of ONSD. A CNN will be trained using the </w:t>
      </w:r>
      <w:r w:rsidR="00C038F2">
        <w:t>pre-processed</w:t>
      </w:r>
      <w:r>
        <w:t xml:space="preserve"> and augmented ultrasound images </w:t>
      </w:r>
      <w:r w:rsidR="00A72831">
        <w:t>to achieve this.</w:t>
      </w:r>
      <w:commentRangeEnd w:id="7"/>
      <w:r w:rsidR="00591326">
        <w:rPr>
          <w:rStyle w:val="CommentReference"/>
        </w:rPr>
        <w:commentReference w:id="7"/>
      </w:r>
    </w:p>
    <w:p w14:paraId="06401E30" w14:textId="6636C7EB" w:rsidR="006436CD" w:rsidRDefault="006436CD" w:rsidP="003C3DDE">
      <w:commentRangeStart w:id="8"/>
      <w:commentRangeStart w:id="9"/>
      <w:r>
        <w:t>To assess the reliability</w:t>
      </w:r>
      <w:r w:rsidR="00971C11">
        <w:t xml:space="preserve"> of the Deep Learning System (DLS), a distinct dataset of images that were not used during the trai</w:t>
      </w:r>
      <w:r w:rsidR="00C038F2">
        <w:t>ning phase will be leveraged [3</w:t>
      </w:r>
      <w:r w:rsidR="00341AA0">
        <w:t>1</w:t>
      </w:r>
      <w:r w:rsidR="00971C11">
        <w:t xml:space="preserve">]. </w:t>
      </w:r>
      <w:r w:rsidR="00C4597F">
        <w:t xml:space="preserve">This will therefore be an agreement study </w:t>
      </w:r>
      <w:r w:rsidR="00C4597F">
        <w:lastRenderedPageBreak/>
        <w:t xml:space="preserve">looking at method comparison between the pre-defined </w:t>
      </w:r>
      <w:r w:rsidR="00555A3A">
        <w:t>study-based</w:t>
      </w:r>
      <w:r w:rsidR="00C4597F">
        <w:t xml:space="preserve"> images and the novel DLS. Interclass Correlation Coefficients (ICC) and Bland-Altman Plots will be used to </w:t>
      </w:r>
      <w:r w:rsidR="00555A3A">
        <w:t>assess</w:t>
      </w:r>
      <w:r w:rsidR="00C4597F">
        <w:t xml:space="preserve"> the reliability.</w:t>
      </w:r>
      <w:r w:rsidR="0061325D">
        <w:t xml:space="preserve"> [32-34]</w:t>
      </w:r>
      <w:r w:rsidR="00C4597F">
        <w:t xml:space="preserve"> </w:t>
      </w:r>
      <w:commentRangeEnd w:id="8"/>
      <w:commentRangeEnd w:id="9"/>
      <w:r w:rsidR="00591326">
        <w:rPr>
          <w:rStyle w:val="CommentReference"/>
        </w:rPr>
        <w:commentReference w:id="9"/>
      </w:r>
      <w:r w:rsidR="00591326">
        <w:rPr>
          <w:rStyle w:val="CommentReference"/>
        </w:rPr>
        <w:commentReference w:id="8"/>
      </w:r>
    </w:p>
    <w:p w14:paraId="0AF14F86" w14:textId="2BBB05EE" w:rsidR="00E0056A" w:rsidRDefault="00E0056A" w:rsidP="003C3DDE">
      <w:r w:rsidRPr="00555A3A">
        <w:rPr>
          <w:highlight w:val="yellow"/>
        </w:rPr>
        <w:t>Sample size calculation:</w:t>
      </w:r>
    </w:p>
    <w:p w14:paraId="40DF4B56" w14:textId="44BC5BF7" w:rsidR="00E0056A" w:rsidRDefault="00E0056A" w:rsidP="003C3DDE"/>
    <w:p w14:paraId="0920E741" w14:textId="74338774" w:rsidR="00C4597F" w:rsidRDefault="00C4597F" w:rsidP="003C3DDE">
      <w:commentRangeStart w:id="10"/>
      <w:r>
        <w:t xml:space="preserve">The reliability of the novel DLS will give insight into the feasibility of further research </w:t>
      </w:r>
      <w:commentRangeStart w:id="11"/>
      <w:commentRangeStart w:id="12"/>
      <w:r>
        <w:t>potential</w:t>
      </w:r>
      <w:commentRangeEnd w:id="11"/>
      <w:r w:rsidR="00591326">
        <w:rPr>
          <w:rStyle w:val="CommentReference"/>
        </w:rPr>
        <w:commentReference w:id="11"/>
      </w:r>
      <w:commentRangeEnd w:id="12"/>
      <w:r w:rsidR="00591326">
        <w:rPr>
          <w:rStyle w:val="CommentReference"/>
        </w:rPr>
        <w:commentReference w:id="12"/>
      </w:r>
      <w:r>
        <w:t>.</w:t>
      </w:r>
      <w:commentRangeEnd w:id="10"/>
      <w:r w:rsidR="00591326">
        <w:rPr>
          <w:rStyle w:val="CommentReference"/>
        </w:rPr>
        <w:commentReference w:id="10"/>
      </w:r>
    </w:p>
    <w:p w14:paraId="02065BE0" w14:textId="77777777" w:rsidR="00E0056A" w:rsidRDefault="00E0056A" w:rsidP="003C3DDE"/>
    <w:p w14:paraId="7408744C" w14:textId="5F8293EB" w:rsidR="00571E0F" w:rsidRDefault="00571E0F" w:rsidP="003C3DDE"/>
    <w:p w14:paraId="405ED7C3" w14:textId="60ED9933" w:rsidR="00BC173D" w:rsidRPr="00BC173D" w:rsidRDefault="0088105A" w:rsidP="0007651C">
      <w:pPr>
        <w:pStyle w:val="Heading2"/>
      </w:pPr>
      <w:r>
        <w:t>Achievability</w:t>
      </w:r>
    </w:p>
    <w:p w14:paraId="538675A9" w14:textId="630CF392" w:rsidR="00434E92" w:rsidRDefault="0088105A" w:rsidP="0088105A">
      <w:r>
        <w:t>Protocol submission was made to the Witwatersrand’s Human Research Ethics Committee</w:t>
      </w:r>
      <w:r w:rsidR="00051EBA">
        <w:t xml:space="preserve"> (Wits HREC)</w:t>
      </w:r>
      <w:r>
        <w:t xml:space="preserve"> on 03 November 2023</w:t>
      </w:r>
      <w:r w:rsidR="00035DCA">
        <w:t>. F</w:t>
      </w:r>
      <w:r>
        <w:t xml:space="preserve">eedback from this submission is expected in </w:t>
      </w:r>
      <w:r w:rsidR="00051EBA">
        <w:t xml:space="preserve">late </w:t>
      </w:r>
      <w:r>
        <w:t xml:space="preserve">January </w:t>
      </w:r>
      <w:r w:rsidR="00051EBA">
        <w:t>202</w:t>
      </w:r>
      <w:r w:rsidR="00434E92">
        <w:t>4.</w:t>
      </w:r>
    </w:p>
    <w:p w14:paraId="66270C2B" w14:textId="29B9E562" w:rsidR="00051EBA" w:rsidRDefault="000444B8" w:rsidP="0088105A">
      <w:r>
        <w:t>L</w:t>
      </w:r>
      <w:r w:rsidR="0088105A">
        <w:t>ocal sponsorship through the University of the Witwaters</w:t>
      </w:r>
      <w:r w:rsidR="00051EBA">
        <w:t>rand will be implemented for the study</w:t>
      </w:r>
      <w:r w:rsidR="0088105A">
        <w:t>.</w:t>
      </w:r>
    </w:p>
    <w:p w14:paraId="2B4E9939" w14:textId="02C3549C" w:rsidR="0088105A" w:rsidRDefault="00051EBA" w:rsidP="0088105A">
      <w:r>
        <w:t xml:space="preserve">Of notable concern is the delay in feedback from Wits HREC. Given the nature of the proposed study, it is conceivable that there will be possible changes required to the protocol, which would require further local ethics approval before data </w:t>
      </w:r>
      <w:r w:rsidR="00035DCA">
        <w:t>can</w:t>
      </w:r>
      <w:r>
        <w:t xml:space="preserve"> be collected.</w:t>
      </w:r>
      <w:r w:rsidR="00035DCA">
        <w:t xml:space="preserve"> This c</w:t>
      </w:r>
      <w:r w:rsidR="00BC173D">
        <w:t>ould ultimately lead to delays in the project timeline.</w:t>
      </w:r>
    </w:p>
    <w:p w14:paraId="272D251C" w14:textId="00B03708" w:rsidR="005B36D2" w:rsidRDefault="005B36D2" w:rsidP="0088105A">
      <w:r>
        <w:t>The following project timeline is proposed:</w:t>
      </w:r>
    </w:p>
    <w:tbl>
      <w:tblPr>
        <w:tblW w:w="9760" w:type="dxa"/>
        <w:tblLook w:val="04A0" w:firstRow="1" w:lastRow="0" w:firstColumn="1" w:lastColumn="0" w:noHBand="0" w:noVBand="1"/>
      </w:tblPr>
      <w:tblGrid>
        <w:gridCol w:w="2520"/>
        <w:gridCol w:w="720"/>
        <w:gridCol w:w="700"/>
        <w:gridCol w:w="740"/>
        <w:gridCol w:w="720"/>
        <w:gridCol w:w="680"/>
        <w:gridCol w:w="720"/>
        <w:gridCol w:w="760"/>
        <w:gridCol w:w="720"/>
        <w:gridCol w:w="780"/>
        <w:gridCol w:w="700"/>
      </w:tblGrid>
      <w:tr w:rsidR="005B36D2" w14:paraId="38A5987E" w14:textId="77777777" w:rsidTr="005B36D2">
        <w:trPr>
          <w:trHeight w:val="290"/>
        </w:trPr>
        <w:tc>
          <w:tcPr>
            <w:tcW w:w="2520" w:type="dxa"/>
            <w:tcBorders>
              <w:top w:val="single" w:sz="4" w:space="0" w:color="auto"/>
              <w:left w:val="single" w:sz="4" w:space="0" w:color="auto"/>
              <w:bottom w:val="single" w:sz="4" w:space="0" w:color="auto"/>
              <w:right w:val="single" w:sz="4" w:space="0" w:color="auto"/>
            </w:tcBorders>
            <w:noWrap/>
            <w:vAlign w:val="bottom"/>
            <w:hideMark/>
          </w:tcPr>
          <w:p w14:paraId="7FA15039"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single" w:sz="4" w:space="0" w:color="auto"/>
              <w:left w:val="nil"/>
              <w:bottom w:val="single" w:sz="4" w:space="0" w:color="auto"/>
              <w:right w:val="single" w:sz="4" w:space="0" w:color="auto"/>
            </w:tcBorders>
            <w:noWrap/>
            <w:vAlign w:val="bottom"/>
            <w:hideMark/>
          </w:tcPr>
          <w:p w14:paraId="6A8FA09A"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Sep-23</w:t>
            </w:r>
          </w:p>
        </w:tc>
        <w:tc>
          <w:tcPr>
            <w:tcW w:w="700" w:type="dxa"/>
            <w:tcBorders>
              <w:top w:val="single" w:sz="4" w:space="0" w:color="auto"/>
              <w:left w:val="nil"/>
              <w:bottom w:val="single" w:sz="4" w:space="0" w:color="auto"/>
              <w:right w:val="single" w:sz="4" w:space="0" w:color="auto"/>
            </w:tcBorders>
            <w:noWrap/>
            <w:vAlign w:val="bottom"/>
            <w:hideMark/>
          </w:tcPr>
          <w:p w14:paraId="23112491"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Oct-23</w:t>
            </w:r>
          </w:p>
        </w:tc>
        <w:tc>
          <w:tcPr>
            <w:tcW w:w="740" w:type="dxa"/>
            <w:tcBorders>
              <w:top w:val="single" w:sz="4" w:space="0" w:color="auto"/>
              <w:left w:val="nil"/>
              <w:bottom w:val="single" w:sz="4" w:space="0" w:color="auto"/>
              <w:right w:val="single" w:sz="4" w:space="0" w:color="auto"/>
            </w:tcBorders>
            <w:noWrap/>
            <w:vAlign w:val="bottom"/>
            <w:hideMark/>
          </w:tcPr>
          <w:p w14:paraId="63B48260"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Nov-23</w:t>
            </w:r>
          </w:p>
        </w:tc>
        <w:tc>
          <w:tcPr>
            <w:tcW w:w="720" w:type="dxa"/>
            <w:tcBorders>
              <w:top w:val="single" w:sz="4" w:space="0" w:color="auto"/>
              <w:left w:val="nil"/>
              <w:bottom w:val="single" w:sz="4" w:space="0" w:color="auto"/>
              <w:right w:val="single" w:sz="4" w:space="0" w:color="auto"/>
            </w:tcBorders>
            <w:noWrap/>
            <w:vAlign w:val="bottom"/>
            <w:hideMark/>
          </w:tcPr>
          <w:p w14:paraId="1EFA8374"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Dec-23</w:t>
            </w:r>
          </w:p>
        </w:tc>
        <w:tc>
          <w:tcPr>
            <w:tcW w:w="680" w:type="dxa"/>
            <w:tcBorders>
              <w:top w:val="single" w:sz="4" w:space="0" w:color="auto"/>
              <w:left w:val="nil"/>
              <w:bottom w:val="single" w:sz="4" w:space="0" w:color="auto"/>
              <w:right w:val="single" w:sz="4" w:space="0" w:color="auto"/>
            </w:tcBorders>
            <w:noWrap/>
            <w:vAlign w:val="bottom"/>
            <w:hideMark/>
          </w:tcPr>
          <w:p w14:paraId="0B91C62C"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Jan-24</w:t>
            </w:r>
          </w:p>
        </w:tc>
        <w:tc>
          <w:tcPr>
            <w:tcW w:w="720" w:type="dxa"/>
            <w:tcBorders>
              <w:top w:val="single" w:sz="4" w:space="0" w:color="auto"/>
              <w:left w:val="nil"/>
              <w:bottom w:val="single" w:sz="4" w:space="0" w:color="auto"/>
              <w:right w:val="single" w:sz="4" w:space="0" w:color="auto"/>
            </w:tcBorders>
            <w:noWrap/>
            <w:vAlign w:val="bottom"/>
            <w:hideMark/>
          </w:tcPr>
          <w:p w14:paraId="726C2EF8"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Feb-24</w:t>
            </w:r>
          </w:p>
        </w:tc>
        <w:tc>
          <w:tcPr>
            <w:tcW w:w="760" w:type="dxa"/>
            <w:tcBorders>
              <w:top w:val="single" w:sz="4" w:space="0" w:color="auto"/>
              <w:left w:val="nil"/>
              <w:bottom w:val="single" w:sz="4" w:space="0" w:color="auto"/>
              <w:right w:val="single" w:sz="4" w:space="0" w:color="auto"/>
            </w:tcBorders>
            <w:noWrap/>
            <w:vAlign w:val="bottom"/>
            <w:hideMark/>
          </w:tcPr>
          <w:p w14:paraId="3B52C7A5"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Mar-24</w:t>
            </w:r>
          </w:p>
        </w:tc>
        <w:tc>
          <w:tcPr>
            <w:tcW w:w="720" w:type="dxa"/>
            <w:tcBorders>
              <w:top w:val="single" w:sz="4" w:space="0" w:color="auto"/>
              <w:left w:val="nil"/>
              <w:bottom w:val="single" w:sz="4" w:space="0" w:color="auto"/>
              <w:right w:val="single" w:sz="4" w:space="0" w:color="auto"/>
            </w:tcBorders>
            <w:noWrap/>
            <w:vAlign w:val="bottom"/>
            <w:hideMark/>
          </w:tcPr>
          <w:p w14:paraId="71C1DFFA"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Apr-24</w:t>
            </w:r>
          </w:p>
        </w:tc>
        <w:tc>
          <w:tcPr>
            <w:tcW w:w="780" w:type="dxa"/>
            <w:tcBorders>
              <w:top w:val="single" w:sz="4" w:space="0" w:color="auto"/>
              <w:left w:val="nil"/>
              <w:bottom w:val="single" w:sz="4" w:space="0" w:color="auto"/>
              <w:right w:val="single" w:sz="4" w:space="0" w:color="auto"/>
            </w:tcBorders>
            <w:noWrap/>
            <w:vAlign w:val="bottom"/>
            <w:hideMark/>
          </w:tcPr>
          <w:p w14:paraId="35BA6E43"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May-24</w:t>
            </w:r>
          </w:p>
        </w:tc>
        <w:tc>
          <w:tcPr>
            <w:tcW w:w="700" w:type="dxa"/>
            <w:tcBorders>
              <w:top w:val="single" w:sz="4" w:space="0" w:color="auto"/>
              <w:left w:val="nil"/>
              <w:bottom w:val="single" w:sz="4" w:space="0" w:color="auto"/>
              <w:right w:val="single" w:sz="4" w:space="0" w:color="auto"/>
            </w:tcBorders>
            <w:noWrap/>
            <w:vAlign w:val="bottom"/>
            <w:hideMark/>
          </w:tcPr>
          <w:p w14:paraId="4C24BE4E" w14:textId="77777777" w:rsidR="005B36D2" w:rsidRDefault="005B36D2">
            <w:pPr>
              <w:spacing w:after="0" w:line="240" w:lineRule="auto"/>
              <w:jc w:val="right"/>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Jun-24</w:t>
            </w:r>
          </w:p>
        </w:tc>
      </w:tr>
      <w:tr w:rsidR="005B36D2" w14:paraId="5ECDBE32"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43D7F1AA"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Literature Review</w:t>
            </w:r>
          </w:p>
        </w:tc>
        <w:tc>
          <w:tcPr>
            <w:tcW w:w="720" w:type="dxa"/>
            <w:tcBorders>
              <w:top w:val="nil"/>
              <w:left w:val="nil"/>
              <w:bottom w:val="single" w:sz="4" w:space="0" w:color="auto"/>
              <w:right w:val="single" w:sz="4" w:space="0" w:color="auto"/>
            </w:tcBorders>
            <w:shd w:val="clear" w:color="auto" w:fill="00B050"/>
            <w:noWrap/>
            <w:vAlign w:val="bottom"/>
            <w:hideMark/>
          </w:tcPr>
          <w:p w14:paraId="4E5EE312" w14:textId="77777777" w:rsidR="005B36D2" w:rsidRDefault="005B36D2">
            <w:pPr>
              <w:spacing w:after="0" w:line="240" w:lineRule="auto"/>
              <w:rPr>
                <w:rFonts w:ascii="Times New Roman" w:eastAsia="Times New Roman" w:hAnsi="Times New Roman" w:cs="Times New Roman"/>
                <w:color w:val="92D050"/>
                <w:sz w:val="24"/>
                <w:szCs w:val="24"/>
                <w:lang w:eastAsia="en-ZA"/>
              </w:rPr>
            </w:pPr>
            <w:r>
              <w:rPr>
                <w:rFonts w:ascii="Times New Roman" w:eastAsia="Times New Roman" w:hAnsi="Times New Roman" w:cs="Times New Roman"/>
                <w:color w:val="92D050"/>
                <w:sz w:val="24"/>
                <w:szCs w:val="24"/>
                <w:lang w:eastAsia="en-ZA"/>
              </w:rPr>
              <w:t> </w:t>
            </w:r>
          </w:p>
        </w:tc>
        <w:tc>
          <w:tcPr>
            <w:tcW w:w="700" w:type="dxa"/>
            <w:tcBorders>
              <w:top w:val="nil"/>
              <w:left w:val="nil"/>
              <w:bottom w:val="single" w:sz="4" w:space="0" w:color="auto"/>
              <w:right w:val="single" w:sz="4" w:space="0" w:color="auto"/>
            </w:tcBorders>
            <w:shd w:val="clear" w:color="auto" w:fill="00B050"/>
            <w:noWrap/>
            <w:vAlign w:val="bottom"/>
            <w:hideMark/>
          </w:tcPr>
          <w:p w14:paraId="2939FAFD" w14:textId="77777777" w:rsidR="005B36D2" w:rsidRDefault="005B36D2">
            <w:pPr>
              <w:spacing w:after="0" w:line="240" w:lineRule="auto"/>
              <w:rPr>
                <w:rFonts w:ascii="Times New Roman" w:eastAsia="Times New Roman" w:hAnsi="Times New Roman" w:cs="Times New Roman"/>
                <w:color w:val="92D050"/>
                <w:sz w:val="24"/>
                <w:szCs w:val="24"/>
                <w:lang w:eastAsia="en-ZA"/>
              </w:rPr>
            </w:pPr>
            <w:r>
              <w:rPr>
                <w:rFonts w:ascii="Times New Roman" w:eastAsia="Times New Roman" w:hAnsi="Times New Roman" w:cs="Times New Roman"/>
                <w:color w:val="92D050"/>
                <w:sz w:val="24"/>
                <w:szCs w:val="24"/>
                <w:lang w:eastAsia="en-ZA"/>
              </w:rPr>
              <w:t> </w:t>
            </w:r>
          </w:p>
        </w:tc>
        <w:tc>
          <w:tcPr>
            <w:tcW w:w="740" w:type="dxa"/>
            <w:tcBorders>
              <w:top w:val="nil"/>
              <w:left w:val="nil"/>
              <w:bottom w:val="single" w:sz="4" w:space="0" w:color="auto"/>
              <w:right w:val="single" w:sz="4" w:space="0" w:color="auto"/>
            </w:tcBorders>
            <w:shd w:val="clear" w:color="auto" w:fill="00B050"/>
            <w:noWrap/>
            <w:vAlign w:val="bottom"/>
            <w:hideMark/>
          </w:tcPr>
          <w:p w14:paraId="305E8065" w14:textId="77777777" w:rsidR="005B36D2" w:rsidRDefault="005B36D2">
            <w:pPr>
              <w:spacing w:after="0" w:line="240" w:lineRule="auto"/>
              <w:rPr>
                <w:rFonts w:ascii="Times New Roman" w:eastAsia="Times New Roman" w:hAnsi="Times New Roman" w:cs="Times New Roman"/>
                <w:color w:val="92D050"/>
                <w:sz w:val="24"/>
                <w:szCs w:val="24"/>
                <w:lang w:eastAsia="en-ZA"/>
              </w:rPr>
            </w:pPr>
            <w:r>
              <w:rPr>
                <w:rFonts w:ascii="Times New Roman" w:eastAsia="Times New Roman" w:hAnsi="Times New Roman" w:cs="Times New Roman"/>
                <w:color w:val="92D05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34707D48"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noWrap/>
            <w:vAlign w:val="bottom"/>
            <w:hideMark/>
          </w:tcPr>
          <w:p w14:paraId="5A82FDC9"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6E4EDE8F"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noWrap/>
            <w:vAlign w:val="bottom"/>
            <w:hideMark/>
          </w:tcPr>
          <w:p w14:paraId="62BD0C48"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098D1B93"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hideMark/>
          </w:tcPr>
          <w:p w14:paraId="05677BB8"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6E0206DA"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2D93AA91"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16067EAD"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Project Outline Summary</w:t>
            </w:r>
          </w:p>
        </w:tc>
        <w:tc>
          <w:tcPr>
            <w:tcW w:w="720" w:type="dxa"/>
            <w:tcBorders>
              <w:top w:val="nil"/>
              <w:left w:val="nil"/>
              <w:bottom w:val="single" w:sz="4" w:space="0" w:color="auto"/>
              <w:right w:val="single" w:sz="4" w:space="0" w:color="auto"/>
            </w:tcBorders>
            <w:shd w:val="clear" w:color="auto" w:fill="00B050"/>
            <w:noWrap/>
            <w:vAlign w:val="bottom"/>
            <w:hideMark/>
          </w:tcPr>
          <w:p w14:paraId="123665A7" w14:textId="77777777" w:rsidR="005B36D2" w:rsidRDefault="005B36D2">
            <w:pPr>
              <w:spacing w:after="0" w:line="240" w:lineRule="auto"/>
              <w:rPr>
                <w:rFonts w:ascii="Times New Roman" w:eastAsia="Times New Roman" w:hAnsi="Times New Roman" w:cs="Times New Roman"/>
                <w:color w:val="92D050"/>
                <w:sz w:val="24"/>
                <w:szCs w:val="24"/>
                <w:lang w:eastAsia="en-ZA"/>
              </w:rPr>
            </w:pPr>
            <w:r>
              <w:rPr>
                <w:rFonts w:ascii="Times New Roman" w:eastAsia="Times New Roman" w:hAnsi="Times New Roman" w:cs="Times New Roman"/>
                <w:color w:val="92D050"/>
                <w:sz w:val="24"/>
                <w:szCs w:val="24"/>
                <w:lang w:eastAsia="en-ZA"/>
              </w:rPr>
              <w:t> </w:t>
            </w:r>
          </w:p>
        </w:tc>
        <w:tc>
          <w:tcPr>
            <w:tcW w:w="700" w:type="dxa"/>
            <w:tcBorders>
              <w:top w:val="nil"/>
              <w:left w:val="nil"/>
              <w:bottom w:val="single" w:sz="4" w:space="0" w:color="auto"/>
              <w:right w:val="single" w:sz="4" w:space="0" w:color="auto"/>
            </w:tcBorders>
            <w:shd w:val="clear" w:color="auto" w:fill="00B050"/>
            <w:noWrap/>
            <w:vAlign w:val="bottom"/>
            <w:hideMark/>
          </w:tcPr>
          <w:p w14:paraId="4BE670FD" w14:textId="77777777" w:rsidR="005B36D2" w:rsidRDefault="005B36D2">
            <w:pPr>
              <w:spacing w:after="0" w:line="240" w:lineRule="auto"/>
              <w:rPr>
                <w:rFonts w:ascii="Times New Roman" w:eastAsia="Times New Roman" w:hAnsi="Times New Roman" w:cs="Times New Roman"/>
                <w:color w:val="92D050"/>
                <w:sz w:val="24"/>
                <w:szCs w:val="24"/>
                <w:lang w:eastAsia="en-ZA"/>
              </w:rPr>
            </w:pPr>
            <w:r>
              <w:rPr>
                <w:rFonts w:ascii="Times New Roman" w:eastAsia="Times New Roman" w:hAnsi="Times New Roman" w:cs="Times New Roman"/>
                <w:color w:val="92D050"/>
                <w:sz w:val="24"/>
                <w:szCs w:val="24"/>
                <w:lang w:eastAsia="en-ZA"/>
              </w:rPr>
              <w:t> </w:t>
            </w:r>
          </w:p>
        </w:tc>
        <w:tc>
          <w:tcPr>
            <w:tcW w:w="740" w:type="dxa"/>
            <w:tcBorders>
              <w:top w:val="nil"/>
              <w:left w:val="nil"/>
              <w:bottom w:val="single" w:sz="4" w:space="0" w:color="auto"/>
              <w:right w:val="single" w:sz="4" w:space="0" w:color="auto"/>
            </w:tcBorders>
            <w:shd w:val="clear" w:color="auto" w:fill="00B050"/>
            <w:noWrap/>
            <w:vAlign w:val="bottom"/>
            <w:hideMark/>
          </w:tcPr>
          <w:p w14:paraId="62897206" w14:textId="77777777" w:rsidR="005B36D2" w:rsidRDefault="005B36D2">
            <w:pPr>
              <w:spacing w:after="0" w:line="240" w:lineRule="auto"/>
              <w:rPr>
                <w:rFonts w:ascii="Times New Roman" w:eastAsia="Times New Roman" w:hAnsi="Times New Roman" w:cs="Times New Roman"/>
                <w:color w:val="92D050"/>
                <w:sz w:val="24"/>
                <w:szCs w:val="24"/>
                <w:lang w:eastAsia="en-ZA"/>
              </w:rPr>
            </w:pPr>
            <w:r>
              <w:rPr>
                <w:rFonts w:ascii="Times New Roman" w:eastAsia="Times New Roman" w:hAnsi="Times New Roman" w:cs="Times New Roman"/>
                <w:color w:val="92D05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4DE84165"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noWrap/>
            <w:vAlign w:val="bottom"/>
            <w:hideMark/>
          </w:tcPr>
          <w:p w14:paraId="6221AB23"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40AF49B0"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noWrap/>
            <w:vAlign w:val="bottom"/>
            <w:hideMark/>
          </w:tcPr>
          <w:p w14:paraId="1FAAB4F7"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72ED1AE7"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hideMark/>
          </w:tcPr>
          <w:p w14:paraId="0D2E1272"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3B866313"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52B1342C"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770C27D5"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Ethics WHREC Submission</w:t>
            </w:r>
          </w:p>
        </w:tc>
        <w:tc>
          <w:tcPr>
            <w:tcW w:w="720" w:type="dxa"/>
            <w:tcBorders>
              <w:top w:val="nil"/>
              <w:left w:val="nil"/>
              <w:bottom w:val="single" w:sz="4" w:space="0" w:color="auto"/>
              <w:right w:val="single" w:sz="4" w:space="0" w:color="auto"/>
            </w:tcBorders>
            <w:noWrap/>
            <w:vAlign w:val="bottom"/>
            <w:hideMark/>
          </w:tcPr>
          <w:p w14:paraId="28611FB9"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shd w:val="clear" w:color="auto" w:fill="00B050"/>
            <w:noWrap/>
            <w:vAlign w:val="bottom"/>
            <w:hideMark/>
          </w:tcPr>
          <w:p w14:paraId="310AD419"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40" w:type="dxa"/>
            <w:tcBorders>
              <w:top w:val="nil"/>
              <w:left w:val="nil"/>
              <w:bottom w:val="single" w:sz="4" w:space="0" w:color="auto"/>
              <w:right w:val="single" w:sz="4" w:space="0" w:color="auto"/>
            </w:tcBorders>
            <w:shd w:val="clear" w:color="auto" w:fill="00B050"/>
            <w:noWrap/>
            <w:vAlign w:val="bottom"/>
            <w:hideMark/>
          </w:tcPr>
          <w:p w14:paraId="07779F66"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132AB724"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noWrap/>
            <w:vAlign w:val="bottom"/>
            <w:hideMark/>
          </w:tcPr>
          <w:p w14:paraId="68C0A48F"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417602E7"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noWrap/>
            <w:vAlign w:val="bottom"/>
            <w:hideMark/>
          </w:tcPr>
          <w:p w14:paraId="675A228B"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07EC2B68"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hideMark/>
          </w:tcPr>
          <w:p w14:paraId="0A49E065"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4F322B3A" w14:textId="77777777" w:rsidR="005B36D2" w:rsidRDefault="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16DAEEB4"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tcPr>
          <w:p w14:paraId="1A0343E8" w14:textId="05A6C7FE"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Detailed Summary</w:t>
            </w:r>
          </w:p>
        </w:tc>
        <w:tc>
          <w:tcPr>
            <w:tcW w:w="720" w:type="dxa"/>
            <w:tcBorders>
              <w:top w:val="nil"/>
              <w:left w:val="nil"/>
              <w:bottom w:val="single" w:sz="4" w:space="0" w:color="auto"/>
              <w:right w:val="single" w:sz="4" w:space="0" w:color="auto"/>
            </w:tcBorders>
            <w:noWrap/>
            <w:vAlign w:val="bottom"/>
          </w:tcPr>
          <w:p w14:paraId="0A50D25B" w14:textId="6A52FDBD"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shd w:val="clear" w:color="auto" w:fill="auto"/>
            <w:noWrap/>
            <w:vAlign w:val="bottom"/>
          </w:tcPr>
          <w:p w14:paraId="59A2B3F1" w14:textId="0CDD2AC8"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40" w:type="dxa"/>
            <w:tcBorders>
              <w:top w:val="nil"/>
              <w:left w:val="nil"/>
              <w:bottom w:val="single" w:sz="4" w:space="0" w:color="auto"/>
              <w:right w:val="single" w:sz="4" w:space="0" w:color="auto"/>
            </w:tcBorders>
            <w:shd w:val="clear" w:color="auto" w:fill="auto"/>
            <w:noWrap/>
            <w:vAlign w:val="bottom"/>
          </w:tcPr>
          <w:p w14:paraId="51DDF7F2" w14:textId="1BBEFC72"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00B050"/>
            <w:noWrap/>
            <w:vAlign w:val="bottom"/>
          </w:tcPr>
          <w:p w14:paraId="4B7DDF1F" w14:textId="08E76753"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shd w:val="clear" w:color="auto" w:fill="00B050"/>
            <w:noWrap/>
            <w:vAlign w:val="bottom"/>
          </w:tcPr>
          <w:p w14:paraId="36E58ACB" w14:textId="3073A0B0"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tcPr>
          <w:p w14:paraId="1F0A621E" w14:textId="5EE848FE"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noWrap/>
            <w:vAlign w:val="bottom"/>
          </w:tcPr>
          <w:p w14:paraId="6C62E09A" w14:textId="104515F0"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tcPr>
          <w:p w14:paraId="284F6DA1" w14:textId="45674D9D"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tcPr>
          <w:p w14:paraId="0A2D92BB" w14:textId="27194712"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tcPr>
          <w:p w14:paraId="1162D03A" w14:textId="0FC83883"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3C096E92"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732B6F99"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Data Collection</w:t>
            </w:r>
          </w:p>
        </w:tc>
        <w:tc>
          <w:tcPr>
            <w:tcW w:w="720" w:type="dxa"/>
            <w:tcBorders>
              <w:top w:val="nil"/>
              <w:left w:val="nil"/>
              <w:bottom w:val="single" w:sz="4" w:space="0" w:color="auto"/>
              <w:right w:val="single" w:sz="4" w:space="0" w:color="auto"/>
            </w:tcBorders>
            <w:noWrap/>
            <w:vAlign w:val="bottom"/>
            <w:hideMark/>
          </w:tcPr>
          <w:p w14:paraId="646524D6"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17430115"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40" w:type="dxa"/>
            <w:tcBorders>
              <w:top w:val="nil"/>
              <w:left w:val="nil"/>
              <w:bottom w:val="single" w:sz="4" w:space="0" w:color="auto"/>
              <w:right w:val="single" w:sz="4" w:space="0" w:color="auto"/>
            </w:tcBorders>
            <w:noWrap/>
            <w:vAlign w:val="bottom"/>
            <w:hideMark/>
          </w:tcPr>
          <w:p w14:paraId="008D4638"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auto"/>
            <w:noWrap/>
            <w:vAlign w:val="bottom"/>
            <w:hideMark/>
          </w:tcPr>
          <w:p w14:paraId="46CB7FAD"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noWrap/>
            <w:vAlign w:val="bottom"/>
            <w:hideMark/>
          </w:tcPr>
          <w:p w14:paraId="07EDE592"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00B050"/>
            <w:noWrap/>
            <w:vAlign w:val="bottom"/>
            <w:hideMark/>
          </w:tcPr>
          <w:p w14:paraId="4C8CC930"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noWrap/>
            <w:vAlign w:val="bottom"/>
            <w:hideMark/>
          </w:tcPr>
          <w:p w14:paraId="500F044A"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6B245A28"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hideMark/>
          </w:tcPr>
          <w:p w14:paraId="6CA3911D"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5A02E49E"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0EFB6B15"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50E3A377"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DLS Training/Validation</w:t>
            </w:r>
          </w:p>
        </w:tc>
        <w:tc>
          <w:tcPr>
            <w:tcW w:w="720" w:type="dxa"/>
            <w:tcBorders>
              <w:top w:val="nil"/>
              <w:left w:val="nil"/>
              <w:bottom w:val="single" w:sz="4" w:space="0" w:color="auto"/>
              <w:right w:val="single" w:sz="4" w:space="0" w:color="auto"/>
            </w:tcBorders>
            <w:noWrap/>
            <w:vAlign w:val="bottom"/>
            <w:hideMark/>
          </w:tcPr>
          <w:p w14:paraId="4802F08F"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33D3801B"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40" w:type="dxa"/>
            <w:tcBorders>
              <w:top w:val="nil"/>
              <w:left w:val="nil"/>
              <w:bottom w:val="single" w:sz="4" w:space="0" w:color="auto"/>
              <w:right w:val="single" w:sz="4" w:space="0" w:color="auto"/>
            </w:tcBorders>
            <w:noWrap/>
            <w:vAlign w:val="bottom"/>
            <w:hideMark/>
          </w:tcPr>
          <w:p w14:paraId="53E663B3"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488BA657"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shd w:val="clear" w:color="auto" w:fill="auto"/>
            <w:noWrap/>
            <w:vAlign w:val="bottom"/>
            <w:hideMark/>
          </w:tcPr>
          <w:p w14:paraId="3079290E"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00B050"/>
            <w:noWrap/>
            <w:vAlign w:val="bottom"/>
            <w:hideMark/>
          </w:tcPr>
          <w:p w14:paraId="3328C292"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shd w:val="clear" w:color="auto" w:fill="00B050"/>
            <w:noWrap/>
            <w:vAlign w:val="bottom"/>
            <w:hideMark/>
          </w:tcPr>
          <w:p w14:paraId="3DBD35A1"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1EBF2C1F"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hideMark/>
          </w:tcPr>
          <w:p w14:paraId="270C5171"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1E9D2E06"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1BDDA4D0"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07CFF195"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e-Poster</w:t>
            </w:r>
          </w:p>
        </w:tc>
        <w:tc>
          <w:tcPr>
            <w:tcW w:w="720" w:type="dxa"/>
            <w:tcBorders>
              <w:top w:val="nil"/>
              <w:left w:val="nil"/>
              <w:bottom w:val="single" w:sz="4" w:space="0" w:color="auto"/>
              <w:right w:val="single" w:sz="4" w:space="0" w:color="auto"/>
            </w:tcBorders>
            <w:noWrap/>
            <w:vAlign w:val="bottom"/>
            <w:hideMark/>
          </w:tcPr>
          <w:p w14:paraId="4F73A5B0"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22A8327F"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40" w:type="dxa"/>
            <w:tcBorders>
              <w:top w:val="nil"/>
              <w:left w:val="nil"/>
              <w:bottom w:val="single" w:sz="4" w:space="0" w:color="auto"/>
              <w:right w:val="single" w:sz="4" w:space="0" w:color="auto"/>
            </w:tcBorders>
            <w:noWrap/>
            <w:vAlign w:val="bottom"/>
            <w:hideMark/>
          </w:tcPr>
          <w:p w14:paraId="29A5F8A5"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5F40A8DB"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shd w:val="clear" w:color="auto" w:fill="auto"/>
            <w:noWrap/>
            <w:vAlign w:val="bottom"/>
            <w:hideMark/>
          </w:tcPr>
          <w:p w14:paraId="4E9ACE5F"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00B050"/>
            <w:noWrap/>
            <w:vAlign w:val="bottom"/>
            <w:hideMark/>
          </w:tcPr>
          <w:p w14:paraId="23EBF32C"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shd w:val="clear" w:color="auto" w:fill="00B050"/>
            <w:noWrap/>
            <w:vAlign w:val="bottom"/>
            <w:hideMark/>
          </w:tcPr>
          <w:p w14:paraId="2DDC9E9A"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03BD3598"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noWrap/>
            <w:vAlign w:val="bottom"/>
            <w:hideMark/>
          </w:tcPr>
          <w:p w14:paraId="0CBDABD0"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637508C0"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r w:rsidR="005B36D2" w14:paraId="74CB0EE0" w14:textId="77777777" w:rsidTr="005B36D2">
        <w:trPr>
          <w:trHeight w:val="290"/>
        </w:trPr>
        <w:tc>
          <w:tcPr>
            <w:tcW w:w="2520" w:type="dxa"/>
            <w:tcBorders>
              <w:top w:val="nil"/>
              <w:left w:val="single" w:sz="4" w:space="0" w:color="auto"/>
              <w:bottom w:val="single" w:sz="4" w:space="0" w:color="auto"/>
              <w:right w:val="single" w:sz="4" w:space="0" w:color="auto"/>
            </w:tcBorders>
            <w:noWrap/>
            <w:vAlign w:val="bottom"/>
            <w:hideMark/>
          </w:tcPr>
          <w:p w14:paraId="21088B18"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Completed Project Report</w:t>
            </w:r>
          </w:p>
        </w:tc>
        <w:tc>
          <w:tcPr>
            <w:tcW w:w="720" w:type="dxa"/>
            <w:tcBorders>
              <w:top w:val="nil"/>
              <w:left w:val="nil"/>
              <w:bottom w:val="single" w:sz="4" w:space="0" w:color="auto"/>
              <w:right w:val="single" w:sz="4" w:space="0" w:color="auto"/>
            </w:tcBorders>
            <w:noWrap/>
            <w:vAlign w:val="bottom"/>
            <w:hideMark/>
          </w:tcPr>
          <w:p w14:paraId="5FCCCECA"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noWrap/>
            <w:vAlign w:val="bottom"/>
            <w:hideMark/>
          </w:tcPr>
          <w:p w14:paraId="4F2608A1"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40" w:type="dxa"/>
            <w:tcBorders>
              <w:top w:val="nil"/>
              <w:left w:val="nil"/>
              <w:bottom w:val="single" w:sz="4" w:space="0" w:color="auto"/>
              <w:right w:val="single" w:sz="4" w:space="0" w:color="auto"/>
            </w:tcBorders>
            <w:noWrap/>
            <w:vAlign w:val="bottom"/>
            <w:hideMark/>
          </w:tcPr>
          <w:p w14:paraId="0125DBE3"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noWrap/>
            <w:vAlign w:val="bottom"/>
            <w:hideMark/>
          </w:tcPr>
          <w:p w14:paraId="24714D50"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680" w:type="dxa"/>
            <w:tcBorders>
              <w:top w:val="nil"/>
              <w:left w:val="nil"/>
              <w:bottom w:val="single" w:sz="4" w:space="0" w:color="auto"/>
              <w:right w:val="single" w:sz="4" w:space="0" w:color="auto"/>
            </w:tcBorders>
            <w:shd w:val="clear" w:color="auto" w:fill="auto"/>
            <w:noWrap/>
            <w:vAlign w:val="bottom"/>
            <w:hideMark/>
          </w:tcPr>
          <w:p w14:paraId="29AFB23C"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auto"/>
            <w:noWrap/>
            <w:vAlign w:val="bottom"/>
            <w:hideMark/>
          </w:tcPr>
          <w:p w14:paraId="5455614E"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60" w:type="dxa"/>
            <w:tcBorders>
              <w:top w:val="nil"/>
              <w:left w:val="nil"/>
              <w:bottom w:val="single" w:sz="4" w:space="0" w:color="auto"/>
              <w:right w:val="single" w:sz="4" w:space="0" w:color="auto"/>
            </w:tcBorders>
            <w:shd w:val="clear" w:color="auto" w:fill="00B050"/>
            <w:noWrap/>
            <w:vAlign w:val="bottom"/>
            <w:hideMark/>
          </w:tcPr>
          <w:p w14:paraId="6A82C3B0"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20" w:type="dxa"/>
            <w:tcBorders>
              <w:top w:val="nil"/>
              <w:left w:val="nil"/>
              <w:bottom w:val="single" w:sz="4" w:space="0" w:color="auto"/>
              <w:right w:val="single" w:sz="4" w:space="0" w:color="auto"/>
            </w:tcBorders>
            <w:shd w:val="clear" w:color="auto" w:fill="00B050"/>
            <w:noWrap/>
            <w:vAlign w:val="bottom"/>
            <w:hideMark/>
          </w:tcPr>
          <w:p w14:paraId="359A3112"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80" w:type="dxa"/>
            <w:tcBorders>
              <w:top w:val="nil"/>
              <w:left w:val="nil"/>
              <w:bottom w:val="single" w:sz="4" w:space="0" w:color="auto"/>
              <w:right w:val="single" w:sz="4" w:space="0" w:color="auto"/>
            </w:tcBorders>
            <w:shd w:val="clear" w:color="auto" w:fill="00B050"/>
            <w:noWrap/>
            <w:vAlign w:val="bottom"/>
            <w:hideMark/>
          </w:tcPr>
          <w:p w14:paraId="77595C39"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c>
          <w:tcPr>
            <w:tcW w:w="700" w:type="dxa"/>
            <w:tcBorders>
              <w:top w:val="nil"/>
              <w:left w:val="nil"/>
              <w:bottom w:val="single" w:sz="4" w:space="0" w:color="auto"/>
              <w:right w:val="single" w:sz="4" w:space="0" w:color="auto"/>
            </w:tcBorders>
            <w:shd w:val="clear" w:color="auto" w:fill="00B050"/>
            <w:noWrap/>
            <w:vAlign w:val="bottom"/>
            <w:hideMark/>
          </w:tcPr>
          <w:p w14:paraId="3A33EAFF" w14:textId="77777777" w:rsidR="005B36D2" w:rsidRDefault="005B36D2" w:rsidP="005B36D2">
            <w:pPr>
              <w:spacing w:after="0" w:line="240" w:lineRule="auto"/>
              <w:rPr>
                <w:rFonts w:ascii="Times New Roman" w:eastAsia="Times New Roman" w:hAnsi="Times New Roman" w:cs="Times New Roman"/>
                <w:color w:val="000000"/>
                <w:sz w:val="24"/>
                <w:szCs w:val="24"/>
                <w:lang w:eastAsia="en-ZA"/>
              </w:rPr>
            </w:pPr>
            <w:r>
              <w:rPr>
                <w:rFonts w:ascii="Times New Roman" w:eastAsia="Times New Roman" w:hAnsi="Times New Roman" w:cs="Times New Roman"/>
                <w:color w:val="000000"/>
                <w:sz w:val="24"/>
                <w:szCs w:val="24"/>
                <w:lang w:eastAsia="en-ZA"/>
              </w:rPr>
              <w:t> </w:t>
            </w:r>
          </w:p>
        </w:tc>
      </w:tr>
    </w:tbl>
    <w:p w14:paraId="6A8877A3" w14:textId="1941A5D2" w:rsidR="005B36D2" w:rsidRPr="005B36D2" w:rsidRDefault="005B36D2" w:rsidP="0088105A">
      <w:pPr>
        <w:rPr>
          <w:rFonts w:ascii="Times New Roman" w:hAnsi="Times New Roman" w:cs="Times New Roman"/>
          <w:sz w:val="16"/>
          <w:szCs w:val="16"/>
        </w:rPr>
      </w:pPr>
      <w:r>
        <w:rPr>
          <w:rFonts w:ascii="Times New Roman" w:hAnsi="Times New Roman" w:cs="Times New Roman"/>
          <w:sz w:val="16"/>
          <w:szCs w:val="16"/>
        </w:rPr>
        <w:t xml:space="preserve">Figure </w:t>
      </w:r>
      <w:r w:rsidR="000444B8">
        <w:rPr>
          <w:rFonts w:ascii="Times New Roman" w:hAnsi="Times New Roman" w:cs="Times New Roman"/>
          <w:sz w:val="16"/>
          <w:szCs w:val="16"/>
        </w:rPr>
        <w:t>1</w:t>
      </w:r>
      <w:r>
        <w:rPr>
          <w:rFonts w:ascii="Times New Roman" w:hAnsi="Times New Roman" w:cs="Times New Roman"/>
          <w:sz w:val="16"/>
          <w:szCs w:val="16"/>
        </w:rPr>
        <w:t xml:space="preserve">. </w:t>
      </w:r>
      <w:r>
        <w:rPr>
          <w:rFonts w:ascii="Times New Roman" w:hAnsi="Times New Roman" w:cs="Times New Roman"/>
          <w:i/>
          <w:sz w:val="16"/>
          <w:szCs w:val="16"/>
        </w:rPr>
        <w:t>Gantt chart</w:t>
      </w:r>
    </w:p>
    <w:p w14:paraId="17A95C8B" w14:textId="5062DEE6" w:rsidR="00BC173D" w:rsidRDefault="00BC173D" w:rsidP="00BC173D">
      <w:pPr>
        <w:pStyle w:val="Heading2"/>
      </w:pPr>
      <w:r>
        <w:t>Novelty</w:t>
      </w:r>
    </w:p>
    <w:p w14:paraId="48303179" w14:textId="36266355" w:rsidR="005E4D60" w:rsidRDefault="00BC173D">
      <w:r>
        <w:t xml:space="preserve">There is a need to assist clinicians working across various settings, in the diagnosis of elevated </w:t>
      </w:r>
      <w:r w:rsidR="0007651C">
        <w:t>ICP. Traditionally, the assessment for raised ICP</w:t>
      </w:r>
      <w:r>
        <w:t xml:space="preserve"> has been available to </w:t>
      </w:r>
      <w:r w:rsidR="00434E92">
        <w:t xml:space="preserve">select </w:t>
      </w:r>
      <w:r>
        <w:t>specialised and experienced p</w:t>
      </w:r>
      <w:r w:rsidR="0007651C">
        <w:t>hysicians using fundoscopic examination and more recently ocular ultrasound. W</w:t>
      </w:r>
      <w:r>
        <w:t>ith the advent of AI</w:t>
      </w:r>
      <w:r w:rsidR="0007651C">
        <w:t>,</w:t>
      </w:r>
      <w:r>
        <w:t xml:space="preserve"> there is now an opportunity to leverage existing infrastructure </w:t>
      </w:r>
      <w:r w:rsidR="0007651C">
        <w:t xml:space="preserve">to assist clinicians at all levels in the diagnosis of raised ICP. Several studies look at AI in medical </w:t>
      </w:r>
      <w:proofErr w:type="gramStart"/>
      <w:r w:rsidR="0007651C">
        <w:t>imaging</w:t>
      </w:r>
      <w:proofErr w:type="gramEnd"/>
      <w:r w:rsidR="0007651C">
        <w:t xml:space="preserve"> but none focuses on the use of a DLS in assessing the ONSD in a South African population. If successful, this may have the potential to aid healthcare services across varied </w:t>
      </w:r>
      <w:commentRangeStart w:id="13"/>
      <w:r w:rsidR="0007651C">
        <w:t>settings</w:t>
      </w:r>
      <w:commentRangeEnd w:id="13"/>
      <w:r w:rsidR="00D92497">
        <w:rPr>
          <w:rStyle w:val="CommentReference"/>
        </w:rPr>
        <w:commentReference w:id="13"/>
      </w:r>
      <w:r w:rsidR="0007651C">
        <w:t>.</w:t>
      </w:r>
    </w:p>
    <w:p w14:paraId="10FC8371" w14:textId="77777777" w:rsidR="00D92497" w:rsidRDefault="00D92497"/>
    <w:p w14:paraId="61864A8B" w14:textId="2AFB04C5" w:rsidR="0019458D" w:rsidRPr="0019458D" w:rsidRDefault="003C0128" w:rsidP="0019458D">
      <w:pPr>
        <w:pStyle w:val="Heading2"/>
      </w:pPr>
      <w:commentRangeStart w:id="14"/>
      <w:r>
        <w:lastRenderedPageBreak/>
        <w:t>References</w:t>
      </w:r>
    </w:p>
    <w:p w14:paraId="77E6B067" w14:textId="37306710" w:rsidR="0019458D" w:rsidRPr="00C038F2" w:rsidRDefault="0019458D" w:rsidP="0019458D">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 Dunn, Hamish P., et al. “Optimising Fundoscopy Practices across the Medical Spectrum: A Focus Group Study.” </w:t>
      </w:r>
      <w:r w:rsidRPr="00C038F2">
        <w:rPr>
          <w:rFonts w:asciiTheme="minorHAnsi" w:hAnsiTheme="minorHAnsi" w:cstheme="minorHAnsi"/>
          <w:i/>
          <w:iCs/>
          <w:sz w:val="22"/>
          <w:szCs w:val="22"/>
        </w:rPr>
        <w:t>PLOS ONE</w:t>
      </w:r>
      <w:r w:rsidRPr="00C038F2">
        <w:rPr>
          <w:rFonts w:asciiTheme="minorHAnsi" w:hAnsiTheme="minorHAnsi" w:cstheme="minorHAnsi"/>
          <w:sz w:val="22"/>
          <w:szCs w:val="22"/>
        </w:rPr>
        <w:t xml:space="preserve">, vol. 18, no. 1, 27 Jan. 2023, p. e0280937, </w:t>
      </w:r>
      <w:hyperlink r:id="rId12" w:history="1">
        <w:r w:rsidR="00F844BE" w:rsidRPr="00C038F2">
          <w:rPr>
            <w:rStyle w:val="Hyperlink"/>
            <w:rFonts w:asciiTheme="minorHAnsi" w:hAnsiTheme="minorHAnsi" w:cstheme="minorHAnsi"/>
            <w:sz w:val="22"/>
            <w:szCs w:val="22"/>
          </w:rPr>
          <w:t>https://doi.org/10.1371/journal.pone.0280937. Accessed 2 Apr. 2023</w:t>
        </w:r>
      </w:hyperlink>
      <w:r w:rsidRPr="00C038F2">
        <w:rPr>
          <w:rFonts w:asciiTheme="minorHAnsi" w:hAnsiTheme="minorHAnsi" w:cstheme="minorHAnsi"/>
          <w:sz w:val="22"/>
          <w:szCs w:val="22"/>
        </w:rPr>
        <w:t>.</w:t>
      </w:r>
    </w:p>
    <w:p w14:paraId="680A4D8F" w14:textId="5D9758FD" w:rsidR="0019458D" w:rsidRPr="00C038F2" w:rsidRDefault="00F844BE" w:rsidP="0019458D">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[2] </w:t>
      </w:r>
      <w:proofErr w:type="spellStart"/>
      <w:r w:rsidR="0019458D" w:rsidRPr="00C038F2">
        <w:rPr>
          <w:rFonts w:asciiTheme="minorHAnsi" w:hAnsiTheme="minorHAnsi" w:cstheme="minorHAnsi"/>
          <w:sz w:val="22"/>
          <w:szCs w:val="22"/>
        </w:rPr>
        <w:t>Kareemi</w:t>
      </w:r>
      <w:proofErr w:type="spellEnd"/>
      <w:r w:rsidR="0019458D" w:rsidRPr="00C038F2">
        <w:rPr>
          <w:rFonts w:asciiTheme="minorHAnsi" w:hAnsiTheme="minorHAnsi" w:cstheme="minorHAnsi"/>
          <w:sz w:val="22"/>
          <w:szCs w:val="22"/>
        </w:rPr>
        <w:t xml:space="preserve">, Hashim, et al. “Initial Diagnosis and Management of Acutely Elevated Intracranial Pressure.” </w:t>
      </w:r>
      <w:r w:rsidR="0019458D" w:rsidRPr="00C038F2">
        <w:rPr>
          <w:rFonts w:asciiTheme="minorHAnsi" w:hAnsiTheme="minorHAnsi" w:cstheme="minorHAnsi"/>
          <w:i/>
          <w:iCs/>
          <w:sz w:val="22"/>
          <w:szCs w:val="22"/>
        </w:rPr>
        <w:t>Journal of Intensive Care Medicine</w:t>
      </w:r>
      <w:r w:rsidR="0019458D" w:rsidRPr="00C038F2">
        <w:rPr>
          <w:rFonts w:asciiTheme="minorHAnsi" w:hAnsiTheme="minorHAnsi" w:cstheme="minorHAnsi"/>
          <w:sz w:val="22"/>
          <w:szCs w:val="22"/>
        </w:rPr>
        <w:t xml:space="preserve">, vol. 38, no. 7, 19 Feb. 2023, p. 088506662311565, </w:t>
      </w:r>
      <w:hyperlink r:id="rId13" w:history="1">
        <w:r w:rsidRPr="00C038F2">
          <w:rPr>
            <w:rStyle w:val="Hyperlink"/>
            <w:rFonts w:asciiTheme="minorHAnsi" w:hAnsiTheme="minorHAnsi" w:cstheme="minorHAnsi"/>
            <w:sz w:val="22"/>
            <w:szCs w:val="22"/>
          </w:rPr>
          <w:t>https://doi.org/10.1177/08850666231156589</w:t>
        </w:r>
      </w:hyperlink>
      <w:r w:rsidR="0019458D" w:rsidRPr="00C038F2">
        <w:rPr>
          <w:rFonts w:asciiTheme="minorHAnsi" w:hAnsiTheme="minorHAnsi" w:cstheme="minorHAnsi"/>
          <w:sz w:val="22"/>
          <w:szCs w:val="22"/>
        </w:rPr>
        <w:t>.</w:t>
      </w:r>
    </w:p>
    <w:p w14:paraId="6E4E67C0" w14:textId="39616F64" w:rsidR="0019458D" w:rsidRPr="00C038F2" w:rsidRDefault="00F844BE" w:rsidP="0019458D">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[3] </w:t>
      </w:r>
      <w:r w:rsidR="0019458D" w:rsidRPr="00C038F2">
        <w:rPr>
          <w:rFonts w:asciiTheme="minorHAnsi" w:hAnsiTheme="minorHAnsi" w:cstheme="minorHAnsi"/>
          <w:sz w:val="22"/>
          <w:szCs w:val="22"/>
        </w:rPr>
        <w:t xml:space="preserve">Mackay, Devin D., et al. “The Demise of Direct Ophthalmoscopy.” </w:t>
      </w:r>
      <w:r w:rsidR="0019458D" w:rsidRPr="00C038F2">
        <w:rPr>
          <w:rFonts w:asciiTheme="minorHAnsi" w:hAnsiTheme="minorHAnsi" w:cstheme="minorHAnsi"/>
          <w:i/>
          <w:iCs/>
          <w:sz w:val="22"/>
          <w:szCs w:val="22"/>
        </w:rPr>
        <w:t>Neurology: Clinical Practice</w:t>
      </w:r>
      <w:r w:rsidR="0019458D" w:rsidRPr="00C038F2">
        <w:rPr>
          <w:rFonts w:asciiTheme="minorHAnsi" w:hAnsiTheme="minorHAnsi" w:cstheme="minorHAnsi"/>
          <w:sz w:val="22"/>
          <w:szCs w:val="22"/>
        </w:rPr>
        <w:t xml:space="preserve">, vol. 5, no. 2, 29 Dec. 2014, pp. 150–157, www.ncbi.nlm.nih.gov/pmc/articles/PMC4404284/, </w:t>
      </w:r>
      <w:hyperlink r:id="rId14" w:history="1">
        <w:r w:rsidRPr="00C038F2">
          <w:rPr>
            <w:rStyle w:val="Hyperlink"/>
            <w:rFonts w:asciiTheme="minorHAnsi" w:hAnsiTheme="minorHAnsi" w:cstheme="minorHAnsi"/>
            <w:sz w:val="22"/>
            <w:szCs w:val="22"/>
          </w:rPr>
          <w:t>https://doi.org/10.1212/cpj.0000000000000115</w:t>
        </w:r>
      </w:hyperlink>
      <w:r w:rsidR="0019458D" w:rsidRPr="00C038F2">
        <w:rPr>
          <w:rFonts w:asciiTheme="minorHAnsi" w:hAnsiTheme="minorHAnsi" w:cstheme="minorHAnsi"/>
          <w:sz w:val="22"/>
          <w:szCs w:val="22"/>
        </w:rPr>
        <w:t>.</w:t>
      </w:r>
    </w:p>
    <w:p w14:paraId="305E271D" w14:textId="11B2123E" w:rsidR="00F844BE" w:rsidRPr="00C038F2" w:rsidRDefault="00F844BE" w:rsidP="00F844BE">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[4] Dunn, Laurence T. “Raised Intracranial Pressure.” </w:t>
      </w:r>
      <w:r w:rsidRPr="00C038F2">
        <w:rPr>
          <w:rFonts w:cstheme="minorHAnsi"/>
          <w:i/>
          <w:iCs/>
          <w:lang w:val="en-US"/>
        </w:rPr>
        <w:t>Journal of Neurology, Neurosurgery &amp; Psychiatry</w:t>
      </w:r>
      <w:r w:rsidRPr="00C038F2">
        <w:rPr>
          <w:rFonts w:cstheme="minorHAnsi"/>
          <w:lang w:val="en-US"/>
        </w:rPr>
        <w:t xml:space="preserve">, vol. 73, no. suppl 1, Sept. 2002, pp. i23–i27, jnnp.bmj.com/content/73/suppl_1/i23, </w:t>
      </w:r>
      <w:hyperlink r:id="rId15" w:history="1">
        <w:r w:rsidRPr="00C038F2">
          <w:rPr>
            <w:rFonts w:cstheme="minorHAnsi"/>
            <w:lang w:val="en-US"/>
          </w:rPr>
          <w:t>https://doi.org/10.1136/jnnp.73.suppl_1.i23</w:t>
        </w:r>
      </w:hyperlink>
      <w:r w:rsidRPr="00C038F2">
        <w:rPr>
          <w:rFonts w:cstheme="minorHAnsi"/>
          <w:lang w:val="en-US"/>
        </w:rPr>
        <w:t>.</w:t>
      </w:r>
    </w:p>
    <w:p w14:paraId="1F00E958" w14:textId="69EA8F08" w:rsidR="00F844BE" w:rsidRPr="00C038F2" w:rsidRDefault="00F844BE" w:rsidP="00F844BE">
      <w:pPr>
        <w:widowControl w:val="0"/>
        <w:autoSpaceDE w:val="0"/>
        <w:autoSpaceDN w:val="0"/>
        <w:adjustRightInd w:val="0"/>
        <w:spacing w:after="0" w:line="480" w:lineRule="auto"/>
        <w:ind w:left="720" w:hanging="720"/>
        <w:rPr>
          <w:rFonts w:cstheme="minorHAnsi"/>
          <w:lang w:val="en-US"/>
        </w:rPr>
      </w:pPr>
      <w:r w:rsidRPr="00D92497">
        <w:rPr>
          <w:rFonts w:cstheme="minorHAnsi"/>
          <w:lang w:val="it-IT"/>
        </w:rPr>
        <w:t xml:space="preserve">[5] Pinto, Venessa L, et al. </w:t>
      </w:r>
      <w:r w:rsidRPr="00C038F2">
        <w:rPr>
          <w:rFonts w:cstheme="minorHAnsi"/>
          <w:lang w:val="en-US"/>
        </w:rPr>
        <w:t xml:space="preserve">“Increased Intracranial Pressure.” </w:t>
      </w:r>
      <w:r w:rsidRPr="00C038F2">
        <w:rPr>
          <w:rFonts w:cstheme="minorHAnsi"/>
          <w:i/>
          <w:iCs/>
          <w:lang w:val="en-US"/>
        </w:rPr>
        <w:t>Nih.gov</w:t>
      </w:r>
      <w:r w:rsidRPr="00C038F2">
        <w:rPr>
          <w:rFonts w:cstheme="minorHAnsi"/>
          <w:lang w:val="en-US"/>
        </w:rPr>
        <w:t xml:space="preserve">, </w:t>
      </w:r>
      <w:proofErr w:type="spellStart"/>
      <w:r w:rsidRPr="00C038F2">
        <w:rPr>
          <w:rFonts w:cstheme="minorHAnsi"/>
          <w:lang w:val="en-US"/>
        </w:rPr>
        <w:t>StatPearls</w:t>
      </w:r>
      <w:proofErr w:type="spellEnd"/>
      <w:r w:rsidRPr="00C038F2">
        <w:rPr>
          <w:rFonts w:cstheme="minorHAnsi"/>
          <w:lang w:val="en-US"/>
        </w:rPr>
        <w:t xml:space="preserve"> Publishing, 2019, </w:t>
      </w:r>
      <w:hyperlink r:id="rId16" w:history="1">
        <w:r w:rsidRPr="00C038F2">
          <w:rPr>
            <w:rStyle w:val="Hyperlink"/>
            <w:rFonts w:cstheme="minorHAnsi"/>
            <w:lang w:val="en-US"/>
          </w:rPr>
          <w:t>www.ncbi.nlm.nih.gov/books/NBK482119/</w:t>
        </w:r>
      </w:hyperlink>
      <w:r w:rsidRPr="00C038F2">
        <w:rPr>
          <w:rFonts w:cstheme="minorHAnsi"/>
          <w:lang w:val="en-US"/>
        </w:rPr>
        <w:t>.</w:t>
      </w:r>
    </w:p>
    <w:p w14:paraId="29293519" w14:textId="2D06FE25" w:rsidR="00F844BE" w:rsidRPr="00C038F2" w:rsidRDefault="00F844BE" w:rsidP="00F844BE">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[6] Xu, Wen, et al. “Noninvasive Methods of Detecting Increased Intracranial Pressure.” </w:t>
      </w:r>
      <w:r w:rsidRPr="00C038F2">
        <w:rPr>
          <w:rFonts w:cstheme="minorHAnsi"/>
          <w:i/>
          <w:iCs/>
          <w:lang w:val="en-US"/>
        </w:rPr>
        <w:t>Child’s Nervous System</w:t>
      </w:r>
      <w:r w:rsidRPr="00C038F2">
        <w:rPr>
          <w:rFonts w:cstheme="minorHAnsi"/>
          <w:lang w:val="en-US"/>
        </w:rPr>
        <w:t xml:space="preserve">, vol. 32, no. 8, 28 June 2016, pp. 1371–1386, </w:t>
      </w:r>
      <w:hyperlink r:id="rId17" w:history="1">
        <w:r w:rsidRPr="00C038F2">
          <w:rPr>
            <w:rFonts w:cstheme="minorHAnsi"/>
            <w:lang w:val="en-US"/>
          </w:rPr>
          <w:t>https://doi.org/10.1007/s00381-016-3143-x</w:t>
        </w:r>
      </w:hyperlink>
      <w:r w:rsidRPr="00C038F2">
        <w:rPr>
          <w:rFonts w:cstheme="minorHAnsi"/>
          <w:lang w:val="en-US"/>
        </w:rPr>
        <w:t>.</w:t>
      </w:r>
    </w:p>
    <w:p w14:paraId="28409493" w14:textId="446D2B38" w:rsidR="00F844BE" w:rsidRPr="00C038F2" w:rsidRDefault="00F844BE" w:rsidP="00F844BE">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[7] Bruce, Beau B., et al. “Diagnostic Accuracy and Use of Nonmydriatic Ocular Fundus Photography by Emergency Physicians: Phase II of the FOTO-ED Study.” </w:t>
      </w:r>
      <w:r w:rsidRPr="00C038F2">
        <w:rPr>
          <w:rFonts w:cstheme="minorHAnsi"/>
          <w:i/>
          <w:iCs/>
          <w:lang w:val="en-US"/>
        </w:rPr>
        <w:t>Annals of Emergency Medicine</w:t>
      </w:r>
      <w:r w:rsidRPr="00C038F2">
        <w:rPr>
          <w:rFonts w:cstheme="minorHAnsi"/>
          <w:lang w:val="en-US"/>
        </w:rPr>
        <w:t>, vol. 62, no. 1, July 2013, pp. 28-</w:t>
      </w:r>
      <w:proofErr w:type="gramStart"/>
      <w:r w:rsidRPr="00C038F2">
        <w:rPr>
          <w:rFonts w:cstheme="minorHAnsi"/>
          <w:lang w:val="en-US"/>
        </w:rPr>
        <w:t>33.e</w:t>
      </w:r>
      <w:proofErr w:type="gramEnd"/>
      <w:r w:rsidRPr="00C038F2">
        <w:rPr>
          <w:rFonts w:cstheme="minorHAnsi"/>
          <w:lang w:val="en-US"/>
        </w:rPr>
        <w:t xml:space="preserve">1, </w:t>
      </w:r>
      <w:hyperlink r:id="rId18" w:history="1">
        <w:r w:rsidRPr="00C038F2">
          <w:rPr>
            <w:rFonts w:cstheme="minorHAnsi"/>
            <w:lang w:val="en-US"/>
          </w:rPr>
          <w:t>https://doi.org/10.1016/j.annemergmed.2013.01.010</w:t>
        </w:r>
      </w:hyperlink>
      <w:r w:rsidRPr="00C038F2">
        <w:rPr>
          <w:rFonts w:cstheme="minorHAnsi"/>
          <w:lang w:val="en-US"/>
        </w:rPr>
        <w:t>. Accessed 28 May 2021.</w:t>
      </w:r>
    </w:p>
    <w:p w14:paraId="2B1FE4AD" w14:textId="57EE4144" w:rsidR="00F844BE" w:rsidRPr="00C038F2" w:rsidRDefault="00F844BE" w:rsidP="00F844BE">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[8] Becker, Juanita, et al. “Appropriateness of Computed Tomography and Magnetic Resonance Imaging Scans in the Eden and Central Karoo Districts of the Western Cape Province, South Africa.” </w:t>
      </w:r>
      <w:r w:rsidRPr="00C038F2">
        <w:rPr>
          <w:rFonts w:cstheme="minorHAnsi"/>
          <w:i/>
          <w:iCs/>
          <w:lang w:val="en-US"/>
        </w:rPr>
        <w:t>South African Medical Journal</w:t>
      </w:r>
      <w:r w:rsidRPr="00C038F2">
        <w:rPr>
          <w:rFonts w:cstheme="minorHAnsi"/>
          <w:lang w:val="en-US"/>
        </w:rPr>
        <w:t xml:space="preserve">, vol. 104, no. 11, 1 July 2014, p. 762, </w:t>
      </w:r>
      <w:hyperlink r:id="rId19" w:history="1">
        <w:r w:rsidRPr="00C038F2">
          <w:rPr>
            <w:rFonts w:cstheme="minorHAnsi"/>
            <w:lang w:val="en-US"/>
          </w:rPr>
          <w:t>https://doi.org/10.7196/samj.8158</w:t>
        </w:r>
      </w:hyperlink>
      <w:r w:rsidRPr="00C038F2">
        <w:rPr>
          <w:rFonts w:cstheme="minorHAnsi"/>
          <w:lang w:val="en-US"/>
        </w:rPr>
        <w:t>. Accessed 10 Jan. 2022</w:t>
      </w:r>
    </w:p>
    <w:p w14:paraId="4C0D5C8C" w14:textId="62B761B6" w:rsidR="008E5F9A" w:rsidRPr="00C038F2" w:rsidRDefault="008E5F9A" w:rsidP="008E5F9A">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lastRenderedPageBreak/>
        <w:t xml:space="preserve">[9] Lewis, Sarah J, et al. “Artificial Intelligence in Medical Imaging Practice: Looking to the Future.” </w:t>
      </w:r>
      <w:r w:rsidRPr="00C038F2">
        <w:rPr>
          <w:rFonts w:cstheme="minorHAnsi"/>
          <w:i/>
          <w:iCs/>
          <w:lang w:val="en-US"/>
        </w:rPr>
        <w:t>Journal of Medical Radiation Sciences</w:t>
      </w:r>
      <w:r w:rsidRPr="00C038F2">
        <w:rPr>
          <w:rFonts w:cstheme="minorHAnsi"/>
          <w:lang w:val="en-US"/>
        </w:rPr>
        <w:t xml:space="preserve">, vol. 66, no. 4, 10 Nov. 2019, pp. 292–295, </w:t>
      </w:r>
      <w:hyperlink r:id="rId20" w:history="1">
        <w:r w:rsidRPr="00C038F2">
          <w:rPr>
            <w:rFonts w:cstheme="minorHAnsi"/>
            <w:lang w:val="en-US"/>
          </w:rPr>
          <w:t>https://doi.org/10.1002/jmrs.369</w:t>
        </w:r>
      </w:hyperlink>
      <w:r w:rsidRPr="00C038F2">
        <w:rPr>
          <w:rFonts w:cstheme="minorHAnsi"/>
          <w:lang w:val="en-US"/>
        </w:rPr>
        <w:t>. Accessed 25 Feb. 2020.</w:t>
      </w:r>
    </w:p>
    <w:p w14:paraId="37A451A2" w14:textId="6F95246C" w:rsidR="008E5F9A" w:rsidRPr="00C038F2" w:rsidRDefault="008E5F9A" w:rsidP="008E5F9A">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[10] Marzola, Francesco, et al. “Development of a Deep Learning–Based System for Optic Nerve Characterization in Transorbital Ultrasound Images on a Multicenter Data Set.” </w:t>
      </w:r>
      <w:r w:rsidRPr="00C038F2">
        <w:rPr>
          <w:rFonts w:cstheme="minorHAnsi"/>
          <w:i/>
          <w:iCs/>
          <w:lang w:val="en-US"/>
        </w:rPr>
        <w:t>Ultrasound in Medicine &amp; Biology</w:t>
      </w:r>
      <w:r w:rsidRPr="00C038F2">
        <w:rPr>
          <w:rFonts w:cstheme="minorHAnsi"/>
          <w:lang w:val="en-US"/>
        </w:rPr>
        <w:t xml:space="preserve">, vol. 49, no. 9, Sept. 2023, pp. 2060–2071, </w:t>
      </w:r>
      <w:hyperlink r:id="rId21" w:history="1">
        <w:r w:rsidRPr="00C038F2">
          <w:rPr>
            <w:rFonts w:cstheme="minorHAnsi"/>
            <w:lang w:val="en-US"/>
          </w:rPr>
          <w:t>https://doi.org/10.1016/j.ultrasmedbio.2023.05.011</w:t>
        </w:r>
      </w:hyperlink>
      <w:r w:rsidRPr="00C038F2">
        <w:rPr>
          <w:rFonts w:cstheme="minorHAnsi"/>
          <w:lang w:val="en-US"/>
        </w:rPr>
        <w:t>. Accessed 29 Oct. 2023.</w:t>
      </w:r>
    </w:p>
    <w:p w14:paraId="35DC8779" w14:textId="463AB5B1" w:rsidR="008E5F9A" w:rsidRPr="00C038F2" w:rsidRDefault="008E5F9A" w:rsidP="008E5F9A">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[11] </w:t>
      </w:r>
      <w:proofErr w:type="spellStart"/>
      <w:r w:rsidRPr="00C038F2">
        <w:rPr>
          <w:rFonts w:cstheme="minorHAnsi"/>
          <w:lang w:val="en-US"/>
        </w:rPr>
        <w:t>Meiburger</w:t>
      </w:r>
      <w:proofErr w:type="spellEnd"/>
      <w:r w:rsidRPr="00C038F2">
        <w:rPr>
          <w:rFonts w:cstheme="minorHAnsi"/>
          <w:lang w:val="en-US"/>
        </w:rPr>
        <w:t xml:space="preserve">, Kristen M., et al. “Automatic Segmentation of the Optic Nerve in Transorbital Ultrasound Images Using a Deep Learning Approach.” </w:t>
      </w:r>
      <w:r w:rsidRPr="00C038F2">
        <w:rPr>
          <w:rFonts w:cstheme="minorHAnsi"/>
          <w:i/>
          <w:iCs/>
          <w:lang w:val="en-US"/>
        </w:rPr>
        <w:t>2021 IEEE International Ultrasonics Symposium (IUS)</w:t>
      </w:r>
      <w:r w:rsidRPr="00C038F2">
        <w:rPr>
          <w:rFonts w:cstheme="minorHAnsi"/>
          <w:lang w:val="en-US"/>
        </w:rPr>
        <w:t xml:space="preserve">, 11 Sept. 2021, </w:t>
      </w:r>
      <w:hyperlink r:id="rId22" w:history="1">
        <w:r w:rsidRPr="00C038F2">
          <w:rPr>
            <w:rFonts w:cstheme="minorHAnsi"/>
            <w:lang w:val="en-US"/>
          </w:rPr>
          <w:t>https://doi.org/10.1109/ius52206.2021.9593827</w:t>
        </w:r>
      </w:hyperlink>
      <w:r w:rsidRPr="00C038F2">
        <w:rPr>
          <w:rFonts w:cstheme="minorHAnsi"/>
          <w:lang w:val="en-US"/>
        </w:rPr>
        <w:t>. Accessed 29 Oct. 2023.</w:t>
      </w:r>
    </w:p>
    <w:p w14:paraId="6845FBB4" w14:textId="5810742B" w:rsidR="008E5F9A" w:rsidRPr="00C038F2" w:rsidRDefault="008E5F9A" w:rsidP="008E5F9A">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[12] Newman, W D. “Measurement of Optic Nerve Sheath Diameter by Ultrasound: A Means of Detecting Acute Raised Intracranial Pressure in Hydrocephalus.” </w:t>
      </w:r>
      <w:r w:rsidRPr="00C038F2">
        <w:rPr>
          <w:rFonts w:asciiTheme="minorHAnsi" w:hAnsiTheme="minorHAnsi" w:cstheme="minorHAnsi"/>
          <w:i/>
          <w:iCs/>
          <w:sz w:val="22"/>
          <w:szCs w:val="22"/>
        </w:rPr>
        <w:t>British Journal of Ophthalmology</w:t>
      </w:r>
      <w:r w:rsidRPr="00C038F2">
        <w:rPr>
          <w:rFonts w:asciiTheme="minorHAnsi" w:hAnsiTheme="minorHAnsi" w:cstheme="minorHAnsi"/>
          <w:sz w:val="22"/>
          <w:szCs w:val="22"/>
        </w:rPr>
        <w:t>, vol. 86, no. 10, 1 Oct. 2002, pp. 1109–1113, https://doi.org/10.1136/bjo.86.10.1109. Accessed 13 Aug. 2020.</w:t>
      </w:r>
    </w:p>
    <w:p w14:paraId="27CE7124" w14:textId="4FF4525C" w:rsidR="008E5F9A" w:rsidRPr="00C038F2" w:rsidRDefault="008E5F9A" w:rsidP="008E5F9A">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[13] Ghanem, </w:t>
      </w:r>
      <w:proofErr w:type="spellStart"/>
      <w:r w:rsidRPr="00C038F2">
        <w:rPr>
          <w:rFonts w:asciiTheme="minorHAnsi" w:hAnsiTheme="minorHAnsi" w:cstheme="minorHAnsi"/>
          <w:sz w:val="22"/>
          <w:szCs w:val="22"/>
        </w:rPr>
        <w:t>Ghadi</w:t>
      </w:r>
      <w:proofErr w:type="spellEnd"/>
      <w:r w:rsidRPr="00C038F2">
        <w:rPr>
          <w:rFonts w:asciiTheme="minorHAnsi" w:hAnsiTheme="minorHAnsi" w:cstheme="minorHAnsi"/>
          <w:sz w:val="22"/>
          <w:szCs w:val="22"/>
        </w:rPr>
        <w:t xml:space="preserve">, et al. “Ultrasound Detected Increase in Optic Disk Height to Identify Elevated Intracranial Pressure: A Systematic Review.” </w:t>
      </w:r>
      <w:r w:rsidRPr="00C038F2">
        <w:rPr>
          <w:rFonts w:asciiTheme="minorHAnsi" w:hAnsiTheme="minorHAnsi" w:cstheme="minorHAnsi"/>
          <w:i/>
          <w:iCs/>
          <w:sz w:val="22"/>
          <w:szCs w:val="22"/>
        </w:rPr>
        <w:t>The Ultrasound Journal</w:t>
      </w:r>
      <w:r w:rsidRPr="00C038F2">
        <w:rPr>
          <w:rFonts w:asciiTheme="minorHAnsi" w:hAnsiTheme="minorHAnsi" w:cstheme="minorHAnsi"/>
          <w:sz w:val="22"/>
          <w:szCs w:val="22"/>
        </w:rPr>
        <w:t>, vol. 15, no. 1, 25 May 2023, https://doi.org/10.1186/s13089-023-00324-7. Accessed 16 Oct. 2023.</w:t>
      </w:r>
    </w:p>
    <w:p w14:paraId="35D73571" w14:textId="75BD416C" w:rsidR="008E5F9A" w:rsidRPr="00C038F2" w:rsidRDefault="008E5F9A" w:rsidP="008E5F9A">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[14] Richards, Evan, et al. “Optic Nerve Sheath Ultrasound.” </w:t>
      </w:r>
      <w:r w:rsidRPr="00C038F2">
        <w:rPr>
          <w:rFonts w:asciiTheme="minorHAnsi" w:hAnsiTheme="minorHAnsi" w:cstheme="minorHAnsi"/>
          <w:i/>
          <w:iCs/>
          <w:sz w:val="22"/>
          <w:szCs w:val="22"/>
        </w:rPr>
        <w:t>Nih.gov</w:t>
      </w:r>
      <w:r w:rsidRPr="00C038F2">
        <w:rPr>
          <w:rFonts w:asciiTheme="minorHAnsi" w:hAnsiTheme="minorHAnsi" w:cstheme="minorHAnsi"/>
          <w:sz w:val="22"/>
          <w:szCs w:val="22"/>
        </w:rPr>
        <w:t xml:space="preserve">, </w:t>
      </w:r>
      <w:proofErr w:type="spellStart"/>
      <w:r w:rsidRPr="00C038F2">
        <w:rPr>
          <w:rFonts w:asciiTheme="minorHAnsi" w:hAnsiTheme="minorHAnsi" w:cstheme="minorHAnsi"/>
          <w:sz w:val="22"/>
          <w:szCs w:val="22"/>
        </w:rPr>
        <w:t>StatPearls</w:t>
      </w:r>
      <w:proofErr w:type="spellEnd"/>
      <w:r w:rsidRPr="00C038F2">
        <w:rPr>
          <w:rFonts w:asciiTheme="minorHAnsi" w:hAnsiTheme="minorHAnsi" w:cstheme="minorHAnsi"/>
          <w:sz w:val="22"/>
          <w:szCs w:val="22"/>
        </w:rPr>
        <w:t xml:space="preserve"> Publishing, 9 Aug. 2022, </w:t>
      </w:r>
      <w:hyperlink r:id="rId23" w:history="1">
        <w:r w:rsidRPr="00C038F2">
          <w:rPr>
            <w:rStyle w:val="Hyperlink"/>
            <w:rFonts w:asciiTheme="minorHAnsi" w:hAnsiTheme="minorHAnsi" w:cstheme="minorHAnsi"/>
            <w:sz w:val="22"/>
            <w:szCs w:val="22"/>
          </w:rPr>
          <w:t>www.ncbi.nlm.nih.gov/books/NBK554479/</w:t>
        </w:r>
      </w:hyperlink>
      <w:r w:rsidRPr="00C038F2">
        <w:rPr>
          <w:rFonts w:asciiTheme="minorHAnsi" w:hAnsiTheme="minorHAnsi" w:cstheme="minorHAnsi"/>
          <w:sz w:val="22"/>
          <w:szCs w:val="22"/>
        </w:rPr>
        <w:t>.</w:t>
      </w:r>
    </w:p>
    <w:p w14:paraId="7883CFBB" w14:textId="6669E468" w:rsidR="008E5F9A" w:rsidRPr="00C038F2" w:rsidRDefault="008E5F9A" w:rsidP="008E5F9A">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[15] Dhoot, Rupak, and Edward Margolin. “Papilledema.” </w:t>
      </w:r>
      <w:r w:rsidRPr="00C038F2">
        <w:rPr>
          <w:rFonts w:cstheme="minorHAnsi"/>
          <w:i/>
          <w:iCs/>
          <w:lang w:val="en-US"/>
        </w:rPr>
        <w:t>PubMed</w:t>
      </w:r>
      <w:r w:rsidRPr="00C038F2">
        <w:rPr>
          <w:rFonts w:cstheme="minorHAnsi"/>
          <w:lang w:val="en-US"/>
        </w:rPr>
        <w:t xml:space="preserve">, </w:t>
      </w:r>
      <w:proofErr w:type="spellStart"/>
      <w:r w:rsidRPr="00C038F2">
        <w:rPr>
          <w:rFonts w:cstheme="minorHAnsi"/>
          <w:lang w:val="en-US"/>
        </w:rPr>
        <w:t>StatPearls</w:t>
      </w:r>
      <w:proofErr w:type="spellEnd"/>
      <w:r w:rsidRPr="00C038F2">
        <w:rPr>
          <w:rFonts w:cstheme="minorHAnsi"/>
          <w:lang w:val="en-US"/>
        </w:rPr>
        <w:t xml:space="preserve"> Publishing, 2023, </w:t>
      </w:r>
      <w:hyperlink r:id="rId24" w:anchor=":~:text=Papilledema%20is%20a%20disease%20entity" w:history="1">
        <w:r w:rsidRPr="00C038F2">
          <w:rPr>
            <w:rStyle w:val="Hyperlink"/>
            <w:rFonts w:cstheme="minorHAnsi"/>
            <w:lang w:val="en-US"/>
          </w:rPr>
          <w:t>www.ncbi.nlm.nih.gov/books/NBK538295/#:~:text=Papilledema%20is%20a%20disease%20entity</w:t>
        </w:r>
      </w:hyperlink>
      <w:r w:rsidRPr="00C038F2">
        <w:rPr>
          <w:rFonts w:cstheme="minorHAnsi"/>
          <w:lang w:val="en-US"/>
        </w:rPr>
        <w:t>.</w:t>
      </w:r>
    </w:p>
    <w:p w14:paraId="3BF1A9FD" w14:textId="2DB35D0A"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[16] Anderson, Richard C. E., et al. “Complications of Intracranial Pressure Monitoring in Children with Head Trauma.” </w:t>
      </w:r>
      <w:r w:rsidRPr="00C038F2">
        <w:rPr>
          <w:rFonts w:asciiTheme="minorHAnsi" w:hAnsiTheme="minorHAnsi" w:cstheme="minorHAnsi"/>
          <w:i/>
          <w:iCs/>
          <w:sz w:val="22"/>
          <w:szCs w:val="22"/>
        </w:rPr>
        <w:t xml:space="preserve">Journal of Neurosurgery: </w:t>
      </w:r>
      <w:proofErr w:type="spellStart"/>
      <w:r w:rsidRPr="00C038F2">
        <w:rPr>
          <w:rFonts w:asciiTheme="minorHAnsi" w:hAnsiTheme="minorHAnsi" w:cstheme="minorHAnsi"/>
          <w:i/>
          <w:iCs/>
          <w:sz w:val="22"/>
          <w:szCs w:val="22"/>
        </w:rPr>
        <w:t>Pediatrics</w:t>
      </w:r>
      <w:proofErr w:type="spellEnd"/>
      <w:r w:rsidRPr="00C038F2">
        <w:rPr>
          <w:rFonts w:asciiTheme="minorHAnsi" w:hAnsiTheme="minorHAnsi" w:cstheme="minorHAnsi"/>
          <w:sz w:val="22"/>
          <w:szCs w:val="22"/>
        </w:rPr>
        <w:t>, vol. 101, no. 2, Nov. 2004, pp. 53–58, https://doi.org/10.3171/ped.2004.101.2.0053. Accessed 22 Jan. 2023.</w:t>
      </w:r>
    </w:p>
    <w:p w14:paraId="41132694" w14:textId="547BE8D0"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lastRenderedPageBreak/>
        <w:t>[17] Binz, Daniel D., et al. “</w:t>
      </w:r>
      <w:proofErr w:type="spellStart"/>
      <w:r w:rsidRPr="00C038F2">
        <w:rPr>
          <w:rFonts w:asciiTheme="minorHAnsi" w:hAnsiTheme="minorHAnsi" w:cstheme="minorHAnsi"/>
          <w:sz w:val="22"/>
          <w:szCs w:val="22"/>
        </w:rPr>
        <w:t>Hemorrhagic</w:t>
      </w:r>
      <w:proofErr w:type="spellEnd"/>
      <w:r w:rsidRPr="00C038F2">
        <w:rPr>
          <w:rFonts w:asciiTheme="minorHAnsi" w:hAnsiTheme="minorHAnsi" w:cstheme="minorHAnsi"/>
          <w:sz w:val="22"/>
          <w:szCs w:val="22"/>
        </w:rPr>
        <w:t xml:space="preserve"> Complications of Ventriculostomy Placement: A Meta-Analysis.” </w:t>
      </w:r>
      <w:r w:rsidRPr="00C038F2">
        <w:rPr>
          <w:rFonts w:asciiTheme="minorHAnsi" w:hAnsiTheme="minorHAnsi" w:cstheme="minorHAnsi"/>
          <w:i/>
          <w:iCs/>
          <w:sz w:val="22"/>
          <w:szCs w:val="22"/>
        </w:rPr>
        <w:t>Neurocritical Care</w:t>
      </w:r>
      <w:r w:rsidRPr="00C038F2">
        <w:rPr>
          <w:rFonts w:asciiTheme="minorHAnsi" w:hAnsiTheme="minorHAnsi" w:cstheme="minorHAnsi"/>
          <w:sz w:val="22"/>
          <w:szCs w:val="22"/>
        </w:rPr>
        <w:t>, vol. 10, no. 2, 18 Feb. 2009, https://doi.org/10.1007/s12028-009-9193-0. Accessed 11 Apr. 2020.</w:t>
      </w:r>
    </w:p>
    <w:p w14:paraId="16BBC32D" w14:textId="3F7F6E6C"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[18] </w:t>
      </w:r>
      <w:proofErr w:type="spellStart"/>
      <w:r w:rsidRPr="00C038F2">
        <w:rPr>
          <w:rFonts w:asciiTheme="minorHAnsi" w:hAnsiTheme="minorHAnsi" w:cstheme="minorHAnsi"/>
          <w:sz w:val="22"/>
          <w:szCs w:val="22"/>
        </w:rPr>
        <w:t>Dasic</w:t>
      </w:r>
      <w:proofErr w:type="spellEnd"/>
      <w:r w:rsidRPr="00C038F2">
        <w:rPr>
          <w:rFonts w:asciiTheme="minorHAnsi" w:hAnsiTheme="minorHAnsi" w:cstheme="minorHAnsi"/>
          <w:sz w:val="22"/>
          <w:szCs w:val="22"/>
        </w:rPr>
        <w:t xml:space="preserve">, D., et al. “External Ventricular Drain Infection: The Effect of a Strict Protocol on Infection Rates and a Review of the Literature.” </w:t>
      </w:r>
      <w:r w:rsidRPr="00C038F2">
        <w:rPr>
          <w:rFonts w:asciiTheme="minorHAnsi" w:hAnsiTheme="minorHAnsi" w:cstheme="minorHAnsi"/>
          <w:i/>
          <w:iCs/>
          <w:sz w:val="22"/>
          <w:szCs w:val="22"/>
        </w:rPr>
        <w:t>British Journal of Neurosurgery</w:t>
      </w:r>
      <w:r w:rsidRPr="00C038F2">
        <w:rPr>
          <w:rFonts w:asciiTheme="minorHAnsi" w:hAnsiTheme="minorHAnsi" w:cstheme="minorHAnsi"/>
          <w:sz w:val="22"/>
          <w:szCs w:val="22"/>
        </w:rPr>
        <w:t>, vol. 20, no. 5, Jan. 2006, pp. 296–300, https://doi.org/10.1080/02688690600999901. Accessed 2 Jan. 2020.</w:t>
      </w:r>
    </w:p>
    <w:p w14:paraId="3C3B4CCC" w14:textId="698E638F"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[19] </w:t>
      </w:r>
      <w:proofErr w:type="spellStart"/>
      <w:r w:rsidRPr="00C038F2">
        <w:rPr>
          <w:rFonts w:asciiTheme="minorHAnsi" w:hAnsiTheme="minorHAnsi" w:cstheme="minorHAnsi"/>
          <w:sz w:val="22"/>
          <w:szCs w:val="22"/>
        </w:rPr>
        <w:t>Hoefnagel</w:t>
      </w:r>
      <w:proofErr w:type="spellEnd"/>
      <w:r w:rsidRPr="00C038F2">
        <w:rPr>
          <w:rFonts w:asciiTheme="minorHAnsi" w:hAnsiTheme="minorHAnsi" w:cstheme="minorHAnsi"/>
          <w:sz w:val="22"/>
          <w:szCs w:val="22"/>
        </w:rPr>
        <w:t xml:space="preserve">, D., et al. “Risk Factors for Infections Related to External Ventricular Drainage.” </w:t>
      </w:r>
      <w:r w:rsidRPr="00D92497">
        <w:rPr>
          <w:rFonts w:asciiTheme="minorHAnsi" w:hAnsiTheme="minorHAnsi" w:cstheme="minorHAnsi"/>
          <w:i/>
          <w:iCs/>
          <w:sz w:val="22"/>
          <w:szCs w:val="22"/>
          <w:lang w:val="it-IT"/>
        </w:rPr>
        <w:t>Acta Neurochirurgica</w:t>
      </w:r>
      <w:r w:rsidRPr="00D92497">
        <w:rPr>
          <w:rFonts w:asciiTheme="minorHAnsi" w:hAnsiTheme="minorHAnsi" w:cstheme="minorHAnsi"/>
          <w:sz w:val="22"/>
          <w:szCs w:val="22"/>
          <w:lang w:val="it-IT"/>
        </w:rPr>
        <w:t xml:space="preserve">, vol. 150, no. 3, 19 Feb. 2008, pp. 209–214, https://doi.org/10.1007/s00701-007-1458-9. </w:t>
      </w:r>
      <w:r w:rsidRPr="00C038F2">
        <w:rPr>
          <w:rFonts w:asciiTheme="minorHAnsi" w:hAnsiTheme="minorHAnsi" w:cstheme="minorHAnsi"/>
          <w:sz w:val="22"/>
          <w:szCs w:val="22"/>
        </w:rPr>
        <w:t>Accessed 11 May 2021.</w:t>
      </w:r>
    </w:p>
    <w:p w14:paraId="49FDF178" w14:textId="35558553"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[20] Koskinen, Lars-Owe D., et al. “The Complications and the Position of the Codman </w:t>
      </w:r>
      <w:proofErr w:type="spellStart"/>
      <w:r w:rsidRPr="00C038F2">
        <w:rPr>
          <w:rFonts w:asciiTheme="minorHAnsi" w:hAnsiTheme="minorHAnsi" w:cstheme="minorHAnsi"/>
          <w:sz w:val="22"/>
          <w:szCs w:val="22"/>
        </w:rPr>
        <w:t>MicroSensor</w:t>
      </w:r>
      <w:r w:rsidRPr="00C038F2">
        <w:rPr>
          <w:rFonts w:asciiTheme="minorHAnsi" w:hAnsiTheme="minorHAnsi" w:cstheme="minorHAnsi"/>
          <w:sz w:val="22"/>
          <w:szCs w:val="22"/>
          <w:vertAlign w:val="superscript"/>
        </w:rPr>
        <w:t>TM</w:t>
      </w:r>
      <w:proofErr w:type="spellEnd"/>
      <w:r w:rsidRPr="00C038F2">
        <w:rPr>
          <w:rFonts w:asciiTheme="minorHAnsi" w:hAnsiTheme="minorHAnsi" w:cstheme="minorHAnsi"/>
          <w:sz w:val="22"/>
          <w:szCs w:val="22"/>
        </w:rPr>
        <w:t xml:space="preserve"> ICP Device: An Analysis of 549 Patients and 650 Sensors.” </w:t>
      </w:r>
      <w:r w:rsidRPr="00D92497">
        <w:rPr>
          <w:rFonts w:asciiTheme="minorHAnsi" w:hAnsiTheme="minorHAnsi" w:cstheme="minorHAnsi"/>
          <w:i/>
          <w:iCs/>
          <w:sz w:val="22"/>
          <w:szCs w:val="22"/>
          <w:lang w:val="it-IT"/>
        </w:rPr>
        <w:t>Acta Neurochirurgica</w:t>
      </w:r>
      <w:r w:rsidRPr="00D92497">
        <w:rPr>
          <w:rFonts w:asciiTheme="minorHAnsi" w:hAnsiTheme="minorHAnsi" w:cstheme="minorHAnsi"/>
          <w:sz w:val="22"/>
          <w:szCs w:val="22"/>
          <w:lang w:val="it-IT"/>
        </w:rPr>
        <w:t xml:space="preserve">, vol. 155, no. 11, 1 Nov. 2013, pp. 2141–2148; discussion 2148, pubmed.ncbi.nlm.nih.gov/24018980/, https://doi.org/10.1007/s00701-013-1856-0. </w:t>
      </w:r>
      <w:r w:rsidRPr="00C038F2">
        <w:rPr>
          <w:rFonts w:asciiTheme="minorHAnsi" w:hAnsiTheme="minorHAnsi" w:cstheme="minorHAnsi"/>
          <w:sz w:val="22"/>
          <w:szCs w:val="22"/>
        </w:rPr>
        <w:t>Accessed 8 Jan. 2024.</w:t>
      </w:r>
    </w:p>
    <w:p w14:paraId="7FF0A5F6" w14:textId="4AC36167" w:rsidR="00A113F3" w:rsidRPr="00C038F2" w:rsidRDefault="00A113F3" w:rsidP="00A113F3">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[21] Gaurav Gupta, Gaurav, et al. “Intracranial Pressure Monitoring: Background, Indications, Contraindications.” </w:t>
      </w:r>
      <w:proofErr w:type="spellStart"/>
      <w:r w:rsidRPr="00C038F2">
        <w:rPr>
          <w:rFonts w:cstheme="minorHAnsi"/>
          <w:i/>
          <w:iCs/>
          <w:lang w:val="en-US"/>
        </w:rPr>
        <w:t>EMedicine</w:t>
      </w:r>
      <w:proofErr w:type="spellEnd"/>
      <w:r w:rsidRPr="00C038F2">
        <w:rPr>
          <w:rFonts w:cstheme="minorHAnsi"/>
          <w:lang w:val="en-US"/>
        </w:rPr>
        <w:t>, 30 June 2023, emedicine.medscape.com/article/1829950-overview?form=fpf&amp;scode=msp&amp;st=fpf&amp;socialSite=google&amp;icd=login_success_gg_match_fpf. Accessed 29 Oct. 2023.</w:t>
      </w:r>
    </w:p>
    <w:p w14:paraId="4E1BD11E" w14:textId="0F4BC282"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 xml:space="preserve">[22] Nazir, Sayeda, et al. “Sensitivity of Papilledema as a Sign of Shunt Failure in Children.” </w:t>
      </w:r>
      <w:r w:rsidRPr="00C038F2">
        <w:rPr>
          <w:rFonts w:asciiTheme="minorHAnsi" w:hAnsiTheme="minorHAnsi" w:cstheme="minorHAnsi"/>
          <w:i/>
          <w:iCs/>
          <w:sz w:val="22"/>
          <w:szCs w:val="22"/>
        </w:rPr>
        <w:t xml:space="preserve">Journal of AAPOS: The Official Publication of the American Association for </w:t>
      </w:r>
      <w:proofErr w:type="spellStart"/>
      <w:r w:rsidRPr="00C038F2">
        <w:rPr>
          <w:rFonts w:asciiTheme="minorHAnsi" w:hAnsiTheme="minorHAnsi" w:cstheme="minorHAnsi"/>
          <w:i/>
          <w:iCs/>
          <w:sz w:val="22"/>
          <w:szCs w:val="22"/>
        </w:rPr>
        <w:t>Pediatric</w:t>
      </w:r>
      <w:proofErr w:type="spellEnd"/>
      <w:r w:rsidRPr="00C038F2">
        <w:rPr>
          <w:rFonts w:asciiTheme="minorHAnsi" w:hAnsiTheme="minorHAnsi" w:cstheme="minorHAnsi"/>
          <w:i/>
          <w:iCs/>
          <w:sz w:val="22"/>
          <w:szCs w:val="22"/>
        </w:rPr>
        <w:t xml:space="preserve"> Ophthalmology and Strabismus</w:t>
      </w:r>
      <w:r w:rsidRPr="00C038F2">
        <w:rPr>
          <w:rFonts w:asciiTheme="minorHAnsi" w:hAnsiTheme="minorHAnsi" w:cstheme="minorHAnsi"/>
          <w:sz w:val="22"/>
          <w:szCs w:val="22"/>
        </w:rPr>
        <w:t>, vol. 13, no. 1, 1 Feb. 2009, pp. 63–66, pubmed.ncbi.nlm.nih.gov/19022691/, https://doi.org/10.1016/j.jaapos.2008.08.003. Accessed 8 Jan. 2024.</w:t>
      </w:r>
    </w:p>
    <w:p w14:paraId="1C324464" w14:textId="31757D23"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t>[23] Rangwala, Lubaina M., and Grant T. Liu. “</w:t>
      </w:r>
      <w:proofErr w:type="spellStart"/>
      <w:r w:rsidRPr="00C038F2">
        <w:rPr>
          <w:rFonts w:asciiTheme="minorHAnsi" w:hAnsiTheme="minorHAnsi" w:cstheme="minorHAnsi"/>
          <w:sz w:val="22"/>
          <w:szCs w:val="22"/>
        </w:rPr>
        <w:t>Pediatric</w:t>
      </w:r>
      <w:proofErr w:type="spellEnd"/>
      <w:r w:rsidRPr="00C038F2">
        <w:rPr>
          <w:rFonts w:asciiTheme="minorHAnsi" w:hAnsiTheme="minorHAnsi" w:cstheme="minorHAnsi"/>
          <w:sz w:val="22"/>
          <w:szCs w:val="22"/>
        </w:rPr>
        <w:t xml:space="preserve"> Idiopathic Intracranial Hypertension.” </w:t>
      </w:r>
      <w:r w:rsidRPr="00C038F2">
        <w:rPr>
          <w:rFonts w:asciiTheme="minorHAnsi" w:hAnsiTheme="minorHAnsi" w:cstheme="minorHAnsi"/>
          <w:i/>
          <w:iCs/>
          <w:sz w:val="22"/>
          <w:szCs w:val="22"/>
        </w:rPr>
        <w:t>Survey of Ophthalmology</w:t>
      </w:r>
      <w:r w:rsidRPr="00C038F2">
        <w:rPr>
          <w:rFonts w:asciiTheme="minorHAnsi" w:hAnsiTheme="minorHAnsi" w:cstheme="minorHAnsi"/>
          <w:sz w:val="22"/>
          <w:szCs w:val="22"/>
        </w:rPr>
        <w:t>, vol. 52, no. 6, Nov. 2007, pp. 597–617, https://doi.org/10.1016/j.survophthal.2007.08.018. Accessed 30 Aug. 2020.</w:t>
      </w:r>
    </w:p>
    <w:p w14:paraId="4F7677A9" w14:textId="0F2AEEC5" w:rsidR="00A113F3" w:rsidRPr="00C038F2" w:rsidRDefault="00A113F3" w:rsidP="00A113F3">
      <w:pPr>
        <w:pStyle w:val="NormalWeb"/>
        <w:spacing w:before="0" w:beforeAutospacing="0" w:after="0" w:afterAutospacing="0" w:line="480" w:lineRule="auto"/>
        <w:ind w:left="720" w:hanging="720"/>
        <w:rPr>
          <w:rFonts w:asciiTheme="minorHAnsi" w:hAnsiTheme="minorHAnsi" w:cstheme="minorHAnsi"/>
          <w:sz w:val="22"/>
          <w:szCs w:val="22"/>
        </w:rPr>
      </w:pPr>
      <w:r w:rsidRPr="00C038F2">
        <w:rPr>
          <w:rFonts w:asciiTheme="minorHAnsi" w:hAnsiTheme="minorHAnsi" w:cstheme="minorHAnsi"/>
          <w:sz w:val="22"/>
          <w:szCs w:val="22"/>
        </w:rPr>
        <w:lastRenderedPageBreak/>
        <w:t xml:space="preserve">[24] Tuite, Gerald F., et al. “The Effectiveness of Papilledema as an Indicator of Raised Intracranial Pressure in Children with Craniosynostosis.” </w:t>
      </w:r>
      <w:r w:rsidRPr="00C038F2">
        <w:rPr>
          <w:rFonts w:asciiTheme="minorHAnsi" w:hAnsiTheme="minorHAnsi" w:cstheme="minorHAnsi"/>
          <w:i/>
          <w:iCs/>
          <w:sz w:val="22"/>
          <w:szCs w:val="22"/>
        </w:rPr>
        <w:t>Neurosurgery</w:t>
      </w:r>
      <w:r w:rsidRPr="00C038F2">
        <w:rPr>
          <w:rFonts w:asciiTheme="minorHAnsi" w:hAnsiTheme="minorHAnsi" w:cstheme="minorHAnsi"/>
          <w:sz w:val="22"/>
          <w:szCs w:val="22"/>
        </w:rPr>
        <w:t>, vol. 38, no. 2, 1 Feb. 1996, pp. 272–278, https://doi.org/10.1097/00006123-199602000-00009. Accessed 27 June 2022.</w:t>
      </w:r>
    </w:p>
    <w:p w14:paraId="1D66DE0D" w14:textId="6A704604" w:rsidR="00A113F3" w:rsidRPr="00C038F2" w:rsidRDefault="00B01370" w:rsidP="00A113F3">
      <w:pPr>
        <w:widowControl w:val="0"/>
        <w:autoSpaceDE w:val="0"/>
        <w:autoSpaceDN w:val="0"/>
        <w:adjustRightInd w:val="0"/>
        <w:spacing w:after="0" w:line="480" w:lineRule="auto"/>
        <w:ind w:left="720" w:hanging="720"/>
        <w:rPr>
          <w:rFonts w:cstheme="minorHAnsi"/>
          <w:lang w:val="en-US"/>
        </w:rPr>
      </w:pPr>
      <w:r w:rsidRPr="00C038F2">
        <w:rPr>
          <w:rFonts w:cstheme="minorHAnsi"/>
          <w:lang w:val="en-US"/>
        </w:rPr>
        <w:t xml:space="preserve">[25] Johnson, Lee. “Ocular Ultrasound.” </w:t>
      </w:r>
      <w:r w:rsidRPr="00C038F2">
        <w:rPr>
          <w:rFonts w:cstheme="minorHAnsi"/>
          <w:i/>
          <w:iCs/>
          <w:lang w:val="en-US"/>
        </w:rPr>
        <w:t>Core EM</w:t>
      </w:r>
      <w:r w:rsidRPr="00C038F2">
        <w:rPr>
          <w:rFonts w:cstheme="minorHAnsi"/>
          <w:lang w:val="en-US"/>
        </w:rPr>
        <w:t>, 29 Apr. 2019, coreem.net/core/ocular-ultrasound/. Accessed 29 Oct. 2023.</w:t>
      </w:r>
    </w:p>
    <w:p w14:paraId="109CB60F" w14:textId="310C80CB" w:rsidR="00B01370" w:rsidRPr="00C038F2" w:rsidRDefault="00B01370" w:rsidP="00B01370">
      <w:pPr>
        <w:widowControl w:val="0"/>
        <w:autoSpaceDE w:val="0"/>
        <w:autoSpaceDN w:val="0"/>
        <w:adjustRightInd w:val="0"/>
        <w:spacing w:after="0" w:line="480" w:lineRule="auto"/>
        <w:ind w:left="720" w:hanging="720"/>
        <w:rPr>
          <w:rFonts w:cstheme="minorHAnsi"/>
          <w:lang w:val="en-US"/>
        </w:rPr>
      </w:pPr>
      <w:r w:rsidRPr="00C038F2">
        <w:rPr>
          <w:rFonts w:cstheme="minorHAnsi"/>
        </w:rPr>
        <w:t xml:space="preserve">[26] </w:t>
      </w:r>
      <w:r w:rsidRPr="00C038F2">
        <w:rPr>
          <w:rFonts w:cstheme="minorHAnsi"/>
          <w:lang w:val="en-US"/>
        </w:rPr>
        <w:t xml:space="preserve">Bates, Amanda, and Harry J. Goett. “Ocular Ultrasound.” </w:t>
      </w:r>
      <w:r w:rsidRPr="00C038F2">
        <w:rPr>
          <w:rFonts w:cstheme="minorHAnsi"/>
          <w:i/>
          <w:iCs/>
          <w:lang w:val="en-US"/>
        </w:rPr>
        <w:t>PubMed</w:t>
      </w:r>
      <w:r w:rsidRPr="00C038F2">
        <w:rPr>
          <w:rFonts w:cstheme="minorHAnsi"/>
          <w:lang w:val="en-US"/>
        </w:rPr>
        <w:t xml:space="preserve">, </w:t>
      </w:r>
      <w:proofErr w:type="spellStart"/>
      <w:r w:rsidRPr="00C038F2">
        <w:rPr>
          <w:rFonts w:cstheme="minorHAnsi"/>
          <w:lang w:val="en-US"/>
        </w:rPr>
        <w:t>StatPearls</w:t>
      </w:r>
      <w:proofErr w:type="spellEnd"/>
      <w:r w:rsidRPr="00C038F2">
        <w:rPr>
          <w:rFonts w:cstheme="minorHAnsi"/>
          <w:lang w:val="en-US"/>
        </w:rPr>
        <w:t xml:space="preserve"> Publishing, 2021, </w:t>
      </w:r>
      <w:hyperlink r:id="rId25" w:history="1">
        <w:r w:rsidRPr="00C038F2">
          <w:rPr>
            <w:rStyle w:val="Hyperlink"/>
            <w:rFonts w:cstheme="minorHAnsi"/>
            <w:lang w:val="en-US"/>
          </w:rPr>
          <w:t>www.ncbi.nlm.nih.gov/books/NBK459120/</w:t>
        </w:r>
      </w:hyperlink>
      <w:r w:rsidRPr="00C038F2">
        <w:rPr>
          <w:rFonts w:cstheme="minorHAnsi"/>
          <w:lang w:val="en-US"/>
        </w:rPr>
        <w:t>.</w:t>
      </w:r>
    </w:p>
    <w:p w14:paraId="4284F98C" w14:textId="6B4A1B72" w:rsidR="00622B2A" w:rsidRDefault="00622B2A" w:rsidP="00622B2A">
      <w:pPr>
        <w:pStyle w:val="NormalWeb"/>
        <w:spacing w:before="0" w:beforeAutospacing="0" w:after="0" w:afterAutospacing="0" w:line="480" w:lineRule="auto"/>
        <w:ind w:left="720" w:hanging="720"/>
      </w:pPr>
      <w:r>
        <w:rPr>
          <w:rFonts w:asciiTheme="minorHAnsi" w:hAnsiTheme="minorHAnsi" w:cstheme="minorHAnsi"/>
          <w:sz w:val="22"/>
          <w:szCs w:val="22"/>
        </w:rPr>
        <w:t xml:space="preserve">[27] </w:t>
      </w:r>
      <w:r w:rsidRPr="00622B2A">
        <w:t xml:space="preserve">Trollip, Lindy, et al. “Optic Nerve Sheath Diameter: A Cross-Sectional Study of Ultrasonographic Measurement in Healthy Black South African Adults.” </w:t>
      </w:r>
      <w:r w:rsidRPr="00622B2A">
        <w:rPr>
          <w:i/>
          <w:iCs/>
        </w:rPr>
        <w:t>Life</w:t>
      </w:r>
      <w:r w:rsidRPr="00622B2A">
        <w:t xml:space="preserve">, vol. 13, no. 10, 1 Oct. 2023, p. 1979, www.mdpi.com/2075-1729/13/10/1979#:~:text=Our%20study%20shows%20that%20in, </w:t>
      </w:r>
      <w:hyperlink r:id="rId26" w:history="1">
        <w:r w:rsidRPr="008A6FF1">
          <w:rPr>
            <w:rStyle w:val="Hyperlink"/>
          </w:rPr>
          <w:t>https://doi.org/10.3390/life13101979. Accessed 22 Jan. 2024</w:t>
        </w:r>
      </w:hyperlink>
      <w:r w:rsidRPr="00622B2A">
        <w:t>.</w:t>
      </w:r>
    </w:p>
    <w:p w14:paraId="789CC7A4" w14:textId="6217BFCE" w:rsidR="00402094" w:rsidRPr="00C038F2" w:rsidRDefault="00622B2A" w:rsidP="00402094">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[28</w:t>
      </w:r>
      <w:r w:rsidR="00402094" w:rsidRPr="00C038F2">
        <w:rPr>
          <w:rFonts w:asciiTheme="minorHAnsi" w:hAnsiTheme="minorHAnsi" w:cstheme="minorHAnsi"/>
          <w:sz w:val="22"/>
          <w:szCs w:val="22"/>
        </w:rPr>
        <w:t xml:space="preserve">] Potgieter, D. W., et al. “Can Accurate Ultrasonographic Measurement of the Optic Nerve Sheath Diameter (a Non-Invasive Measure of Intracranial Pressure) Be Taught to Novice Operators in a Single Training Session?” </w:t>
      </w:r>
      <w:r w:rsidR="00402094" w:rsidRPr="00C038F2">
        <w:rPr>
          <w:rFonts w:asciiTheme="minorHAnsi" w:hAnsiTheme="minorHAnsi" w:cstheme="minorHAnsi"/>
          <w:i/>
          <w:iCs/>
          <w:sz w:val="22"/>
          <w:szCs w:val="22"/>
        </w:rPr>
        <w:t>Anaesthesia and Intensive Care</w:t>
      </w:r>
      <w:r w:rsidR="00402094" w:rsidRPr="00C038F2">
        <w:rPr>
          <w:rFonts w:asciiTheme="minorHAnsi" w:hAnsiTheme="minorHAnsi" w:cstheme="minorHAnsi"/>
          <w:sz w:val="22"/>
          <w:szCs w:val="22"/>
        </w:rPr>
        <w:t>, vol. 39, no. 1, Jan. 2011, pp. 95–100, https://doi.org/10.1177/0310057x1103900116. Accessed 29 Mar. 2023.</w:t>
      </w:r>
    </w:p>
    <w:p w14:paraId="55CE291A" w14:textId="4C8A24EB" w:rsidR="00402094" w:rsidRPr="00C038F2" w:rsidRDefault="00622B2A" w:rsidP="00402094">
      <w:pPr>
        <w:widowControl w:val="0"/>
        <w:autoSpaceDE w:val="0"/>
        <w:autoSpaceDN w:val="0"/>
        <w:adjustRightInd w:val="0"/>
        <w:spacing w:after="0" w:line="480" w:lineRule="auto"/>
        <w:ind w:left="720" w:hanging="720"/>
        <w:rPr>
          <w:rFonts w:cstheme="minorHAnsi"/>
          <w:lang w:val="en-US"/>
        </w:rPr>
      </w:pPr>
      <w:r>
        <w:rPr>
          <w:rFonts w:cstheme="minorHAnsi"/>
          <w:lang w:val="en-US"/>
        </w:rPr>
        <w:t>[29</w:t>
      </w:r>
      <w:r w:rsidR="00402094" w:rsidRPr="00C038F2">
        <w:rPr>
          <w:rFonts w:cstheme="minorHAnsi"/>
          <w:lang w:val="en-US"/>
        </w:rPr>
        <w:t xml:space="preserve">] van Hoving, Daniël Jacobus, and Heinrich Lamprecht. “Toward an Appropriate Point-of-Care Ultrasound Curriculum: A Reflection of the Clinical Practice in South Africa.” </w:t>
      </w:r>
      <w:r w:rsidR="00402094" w:rsidRPr="00C038F2">
        <w:rPr>
          <w:rFonts w:cstheme="minorHAnsi"/>
          <w:i/>
          <w:iCs/>
          <w:lang w:val="en-US"/>
        </w:rPr>
        <w:t>Journal of Medical Ultrasound</w:t>
      </w:r>
      <w:r w:rsidR="00402094" w:rsidRPr="00C038F2">
        <w:rPr>
          <w:rFonts w:cstheme="minorHAnsi"/>
          <w:lang w:val="en-US"/>
        </w:rPr>
        <w:t xml:space="preserve">, vol. 24, no. 1, Mar. 2016, pp. 18–24, </w:t>
      </w:r>
      <w:hyperlink r:id="rId27" w:history="1">
        <w:r w:rsidR="00402094" w:rsidRPr="00C038F2">
          <w:rPr>
            <w:rFonts w:cstheme="minorHAnsi"/>
            <w:lang w:val="en-US"/>
          </w:rPr>
          <w:t>https://doi.org/10.1016/j.jmu.2015.11.001</w:t>
        </w:r>
      </w:hyperlink>
      <w:r w:rsidR="00402094" w:rsidRPr="00C038F2">
        <w:rPr>
          <w:rFonts w:cstheme="minorHAnsi"/>
          <w:lang w:val="en-US"/>
        </w:rPr>
        <w:t>. Accessed 25 Aug. 2019.</w:t>
      </w:r>
    </w:p>
    <w:p w14:paraId="233E2CC3" w14:textId="3738F9C4" w:rsidR="00C038F2" w:rsidRPr="00C038F2" w:rsidRDefault="00622B2A" w:rsidP="00C038F2">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[30</w:t>
      </w:r>
      <w:r w:rsidR="00C038F2" w:rsidRPr="00C038F2">
        <w:rPr>
          <w:rFonts w:asciiTheme="minorHAnsi" w:hAnsiTheme="minorHAnsi" w:cstheme="minorHAnsi"/>
          <w:sz w:val="22"/>
          <w:szCs w:val="22"/>
        </w:rPr>
        <w:t xml:space="preserve">] Vallejo, W., Diaz-Uribe, C., &amp; Fajardo, C. (2022). Google </w:t>
      </w:r>
      <w:proofErr w:type="spellStart"/>
      <w:r w:rsidR="00C038F2" w:rsidRPr="00C038F2">
        <w:rPr>
          <w:rFonts w:asciiTheme="minorHAnsi" w:hAnsiTheme="minorHAnsi" w:cstheme="minorHAnsi"/>
          <w:sz w:val="22"/>
          <w:szCs w:val="22"/>
        </w:rPr>
        <w:t>colab</w:t>
      </w:r>
      <w:proofErr w:type="spellEnd"/>
      <w:r w:rsidR="00C038F2" w:rsidRPr="00C038F2">
        <w:rPr>
          <w:rFonts w:asciiTheme="minorHAnsi" w:hAnsiTheme="minorHAnsi" w:cstheme="minorHAnsi"/>
          <w:sz w:val="22"/>
          <w:szCs w:val="22"/>
        </w:rPr>
        <w:t xml:space="preserve"> and virtual simulations: practical e-learning tools to support the teaching of thermodynamics and to introduce coding to students. Acs Omega, 7(8), 7421-7429. https://doi.org/10.1021/acsomega.2c00362 </w:t>
      </w:r>
    </w:p>
    <w:p w14:paraId="7B6C73A0" w14:textId="67D540F4" w:rsidR="00C038F2" w:rsidRPr="00C038F2" w:rsidRDefault="00622B2A" w:rsidP="00C038F2">
      <w:pPr>
        <w:pStyle w:val="NormalWeb"/>
        <w:spacing w:before="0" w:beforeAutospacing="0" w:after="0" w:afterAutospacing="0" w:line="480" w:lineRule="auto"/>
        <w:ind w:left="720" w:hanging="720"/>
        <w:rPr>
          <w:rFonts w:asciiTheme="minorHAnsi" w:hAnsiTheme="minorHAnsi" w:cstheme="minorHAnsi"/>
          <w:sz w:val="22"/>
          <w:szCs w:val="22"/>
        </w:rPr>
      </w:pPr>
      <w:r>
        <w:rPr>
          <w:rFonts w:asciiTheme="minorHAnsi" w:hAnsiTheme="minorHAnsi" w:cstheme="minorHAnsi"/>
          <w:sz w:val="22"/>
          <w:szCs w:val="22"/>
        </w:rPr>
        <w:t>[31</w:t>
      </w:r>
      <w:r w:rsidR="00C038F2" w:rsidRPr="00C038F2">
        <w:rPr>
          <w:rFonts w:asciiTheme="minorHAnsi" w:hAnsiTheme="minorHAnsi" w:cstheme="minorHAnsi"/>
          <w:sz w:val="22"/>
          <w:szCs w:val="22"/>
        </w:rPr>
        <w:t xml:space="preserve">] Kaya, and Bilge. “Deep Metric Learning: A Survey.” </w:t>
      </w:r>
      <w:r w:rsidR="00C038F2" w:rsidRPr="00C038F2">
        <w:rPr>
          <w:rFonts w:asciiTheme="minorHAnsi" w:hAnsiTheme="minorHAnsi" w:cstheme="minorHAnsi"/>
          <w:i/>
          <w:iCs/>
          <w:sz w:val="22"/>
          <w:szCs w:val="22"/>
        </w:rPr>
        <w:t>Symmetry</w:t>
      </w:r>
      <w:r w:rsidR="00C038F2" w:rsidRPr="00C038F2">
        <w:rPr>
          <w:rFonts w:asciiTheme="minorHAnsi" w:hAnsiTheme="minorHAnsi" w:cstheme="minorHAnsi"/>
          <w:sz w:val="22"/>
          <w:szCs w:val="22"/>
        </w:rPr>
        <w:t xml:space="preserve">, vol. 11, no. 9, 21 Aug. 2019, p. 1066, </w:t>
      </w:r>
      <w:hyperlink r:id="rId28" w:history="1">
        <w:r w:rsidR="00C038F2" w:rsidRPr="00C038F2">
          <w:rPr>
            <w:rStyle w:val="Hyperlink"/>
            <w:rFonts w:asciiTheme="minorHAnsi" w:hAnsiTheme="minorHAnsi" w:cstheme="minorHAnsi"/>
            <w:sz w:val="22"/>
            <w:szCs w:val="22"/>
          </w:rPr>
          <w:t>https://doi.org/10.3390/sym11091066</w:t>
        </w:r>
      </w:hyperlink>
      <w:r w:rsidR="00C038F2" w:rsidRPr="00C038F2">
        <w:rPr>
          <w:rFonts w:asciiTheme="minorHAnsi" w:hAnsiTheme="minorHAnsi" w:cstheme="minorHAnsi"/>
          <w:sz w:val="22"/>
          <w:szCs w:val="22"/>
        </w:rPr>
        <w:t>.</w:t>
      </w:r>
    </w:p>
    <w:p w14:paraId="12E96139" w14:textId="077C0A63" w:rsidR="0061325D" w:rsidRPr="00D92497" w:rsidRDefault="00622B2A" w:rsidP="0061325D">
      <w:pPr>
        <w:pStyle w:val="NormalWeb"/>
        <w:spacing w:before="0" w:beforeAutospacing="0" w:after="0" w:afterAutospacing="0" w:line="480" w:lineRule="auto"/>
        <w:ind w:left="720" w:hanging="720"/>
        <w:rPr>
          <w:lang w:val="it-IT"/>
        </w:rPr>
      </w:pPr>
      <w:r>
        <w:rPr>
          <w:rFonts w:asciiTheme="minorHAnsi" w:hAnsiTheme="minorHAnsi" w:cstheme="minorHAnsi"/>
          <w:sz w:val="22"/>
          <w:szCs w:val="22"/>
        </w:rPr>
        <w:lastRenderedPageBreak/>
        <w:t>[32</w:t>
      </w:r>
      <w:r w:rsidR="00C038F2" w:rsidRPr="00C038F2">
        <w:rPr>
          <w:rFonts w:asciiTheme="minorHAnsi" w:hAnsiTheme="minorHAnsi" w:cstheme="minorHAnsi"/>
          <w:sz w:val="22"/>
          <w:szCs w:val="22"/>
        </w:rPr>
        <w:t xml:space="preserve">] </w:t>
      </w:r>
      <w:proofErr w:type="spellStart"/>
      <w:r w:rsidR="0061325D" w:rsidRPr="0061325D">
        <w:t>Balagurunathan</w:t>
      </w:r>
      <w:proofErr w:type="spellEnd"/>
      <w:r w:rsidR="0061325D" w:rsidRPr="0061325D">
        <w:t xml:space="preserve">, Yoganand, et al. “Requirements and Reliability of AI in the Medical Context.” </w:t>
      </w:r>
      <w:r w:rsidR="0061325D" w:rsidRPr="00D92497">
        <w:rPr>
          <w:i/>
          <w:iCs/>
          <w:lang w:val="it-IT"/>
        </w:rPr>
        <w:t>Physica Medica</w:t>
      </w:r>
      <w:r w:rsidR="0061325D" w:rsidRPr="00D92497">
        <w:rPr>
          <w:lang w:val="it-IT"/>
        </w:rPr>
        <w:t xml:space="preserve">, vol. 83, Mar. 2021, pp. 72–78, </w:t>
      </w:r>
      <w:r w:rsidR="00422247">
        <w:fldChar w:fldCharType="begin"/>
      </w:r>
      <w:r w:rsidR="00422247" w:rsidRPr="00D92497">
        <w:rPr>
          <w:lang w:val="it-IT"/>
        </w:rPr>
        <w:instrText>HYPERLINK "https://doi.org/10.1016/j.ejmp.2021.02.024"</w:instrText>
      </w:r>
      <w:r w:rsidR="00422247">
        <w:fldChar w:fldCharType="separate"/>
      </w:r>
      <w:r w:rsidR="0061325D" w:rsidRPr="00D92497">
        <w:rPr>
          <w:rStyle w:val="Hyperlink"/>
          <w:lang w:val="it-IT"/>
        </w:rPr>
        <w:t>https://doi.org/10.1016/j.ejmp.2021.02.024</w:t>
      </w:r>
      <w:r w:rsidR="00422247">
        <w:rPr>
          <w:rStyle w:val="Hyperlink"/>
        </w:rPr>
        <w:fldChar w:fldCharType="end"/>
      </w:r>
      <w:r w:rsidR="0061325D" w:rsidRPr="00D92497">
        <w:rPr>
          <w:lang w:val="it-IT"/>
        </w:rPr>
        <w:t>.</w:t>
      </w:r>
    </w:p>
    <w:p w14:paraId="1E4384ED" w14:textId="50904836" w:rsidR="0061325D" w:rsidRDefault="0061325D" w:rsidP="0061325D">
      <w:pPr>
        <w:pStyle w:val="NormalWeb"/>
        <w:spacing w:before="0" w:beforeAutospacing="0" w:after="0" w:afterAutospacing="0" w:line="480" w:lineRule="auto"/>
        <w:ind w:left="720" w:hanging="720"/>
      </w:pPr>
      <w:r>
        <w:t xml:space="preserve">[33] </w:t>
      </w:r>
      <w:r w:rsidRPr="0061325D">
        <w:t xml:space="preserve">Patton, N, et al. “Statistical Strategies to Assess Reliability in Ophthalmology.” </w:t>
      </w:r>
      <w:r w:rsidRPr="0061325D">
        <w:rPr>
          <w:i/>
          <w:iCs/>
        </w:rPr>
        <w:t>Eye</w:t>
      </w:r>
      <w:r w:rsidRPr="0061325D">
        <w:t>, vol. 20, no. 7, 2 Dec. 2005, pp. 749–754, https://doi.org/10.1038/sj.eye.6702097. Accessed 20 Oct. 2020.</w:t>
      </w:r>
    </w:p>
    <w:p w14:paraId="1F4F3AF0" w14:textId="220D9F6E" w:rsidR="0061325D" w:rsidRDefault="0061325D" w:rsidP="0061325D">
      <w:pPr>
        <w:pStyle w:val="NormalWeb"/>
        <w:spacing w:before="0" w:beforeAutospacing="0" w:after="0" w:afterAutospacing="0" w:line="480" w:lineRule="auto"/>
        <w:ind w:left="720" w:hanging="720"/>
      </w:pPr>
      <w:r>
        <w:t xml:space="preserve">[34] </w:t>
      </w:r>
      <w:r w:rsidRPr="0061325D">
        <w:t xml:space="preserve">Sürücü, </w:t>
      </w:r>
      <w:proofErr w:type="gramStart"/>
      <w:r w:rsidRPr="0061325D">
        <w:t>Lütfi ,</w:t>
      </w:r>
      <w:proofErr w:type="gramEnd"/>
      <w:r w:rsidRPr="0061325D">
        <w:t xml:space="preserve"> and Ahmet </w:t>
      </w:r>
      <w:proofErr w:type="spellStart"/>
      <w:r w:rsidRPr="0061325D">
        <w:t>Maslakci</w:t>
      </w:r>
      <w:proofErr w:type="spellEnd"/>
      <w:r w:rsidRPr="0061325D">
        <w:t xml:space="preserve">. “Validity and Reliability in Quantitative Research.” </w:t>
      </w:r>
      <w:r w:rsidRPr="0061325D">
        <w:rPr>
          <w:i/>
          <w:iCs/>
        </w:rPr>
        <w:t>ResearchGate</w:t>
      </w:r>
      <w:r w:rsidRPr="0061325D">
        <w:t xml:space="preserve">, 2020, </w:t>
      </w:r>
      <w:hyperlink r:id="rId29" w:history="1">
        <w:r w:rsidRPr="008A6FF1">
          <w:rPr>
            <w:rStyle w:val="Hyperlink"/>
          </w:rPr>
          <w:t>www.researchgate.net/publication/344379869_Validity_and_Reliability_in_Quantitative_Research</w:t>
        </w:r>
      </w:hyperlink>
      <w:r w:rsidRPr="0061325D">
        <w:t>.</w:t>
      </w:r>
      <w:commentRangeEnd w:id="14"/>
      <w:r w:rsidR="00422247">
        <w:rPr>
          <w:rStyle w:val="CommentReference"/>
          <w:rFonts w:asciiTheme="minorHAnsi" w:eastAsiaTheme="minorHAnsi" w:hAnsiTheme="minorHAnsi" w:cstheme="minorBidi"/>
          <w:lang w:eastAsia="en-US"/>
        </w:rPr>
        <w:commentReference w:id="14"/>
      </w:r>
    </w:p>
    <w:p w14:paraId="2068F91E" w14:textId="5A553BF1" w:rsidR="00C038F2" w:rsidRDefault="00C038F2" w:rsidP="0061325D">
      <w:pPr>
        <w:pStyle w:val="NormalWeb"/>
        <w:spacing w:before="0" w:beforeAutospacing="0" w:after="0" w:afterAutospacing="0" w:line="480" w:lineRule="auto"/>
        <w:ind w:left="720" w:hanging="720"/>
      </w:pPr>
    </w:p>
    <w:sectPr w:rsidR="00C038F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aig Parker" w:date="2024-01-23T21:49:00Z" w:initials="CP">
    <w:p w14:paraId="3C6DDF13" w14:textId="77777777" w:rsidR="00422247" w:rsidRDefault="00422247" w:rsidP="00422247">
      <w:pPr>
        <w:pStyle w:val="CommentText"/>
      </w:pPr>
      <w:r>
        <w:rPr>
          <w:rStyle w:val="CommentReference"/>
        </w:rPr>
        <w:annotationRef/>
      </w:r>
      <w:r>
        <w:t xml:space="preserve">Suggestion: </w:t>
      </w:r>
      <w:r>
        <w:rPr>
          <w:color w:val="374151"/>
        </w:rPr>
        <w:t>Evaluating the Reliability of a Deep Learning System for Measuring Optic Nerve Sheath Diameter in a South African Cohort</w:t>
      </w:r>
      <w:r>
        <w:t xml:space="preserve"> </w:t>
      </w:r>
    </w:p>
  </w:comment>
  <w:comment w:id="1" w:author="Craig Parker" w:date="2024-01-23T21:40:00Z" w:initials="CP">
    <w:p w14:paraId="16D62C73" w14:textId="0CA01CB1" w:rsidR="0006280C" w:rsidRDefault="0006280C" w:rsidP="0006280C">
      <w:pPr>
        <w:pStyle w:val="CommentText"/>
      </w:pPr>
      <w:r>
        <w:rPr>
          <w:rStyle w:val="CommentReference"/>
        </w:rPr>
        <w:annotationRef/>
      </w:r>
      <w:r>
        <w:t>Reframed Hypothesis:</w:t>
      </w:r>
    </w:p>
    <w:p w14:paraId="7C46BAA1" w14:textId="77777777" w:rsidR="0006280C" w:rsidRDefault="0006280C" w:rsidP="0006280C">
      <w:pPr>
        <w:pStyle w:val="CommentText"/>
      </w:pPr>
      <w:r>
        <w:t>"The Deep Learning System (DLS), when trained with a dataset of transorbital ultrasound images, will demonstrate high reliability in measuring the Optic Nerve Sheath Diameter (ONSD), as evidenced by achieving an Interclass Correlation Coefficient (ICC) greater than 0.75 and narrow limits of agreement in Bland-Altman plots when compared to measurements taken by a trained and experienced ultrasound provider.</w:t>
      </w:r>
    </w:p>
  </w:comment>
  <w:comment w:id="2" w:author="Craig Parker" w:date="2024-01-23T21:45:00Z" w:initials="CP">
    <w:p w14:paraId="582CBE2A" w14:textId="77777777" w:rsidR="0006280C" w:rsidRDefault="0006280C" w:rsidP="0006280C">
      <w:pPr>
        <w:pStyle w:val="CommentText"/>
      </w:pPr>
      <w:r>
        <w:rPr>
          <w:rStyle w:val="CommentReference"/>
        </w:rPr>
        <w:annotationRef/>
      </w:r>
      <w:r>
        <w:t>I think you are still being too ambitious realistically what you are proposing here. Try and make these AIMs SMART to get a real sense of what you are trying to do.</w:t>
      </w:r>
    </w:p>
  </w:comment>
  <w:comment w:id="3" w:author="Craig Parker" w:date="2024-01-23T21:46:00Z" w:initials="CP">
    <w:p w14:paraId="2A628463" w14:textId="77777777" w:rsidR="0006280C" w:rsidRDefault="0006280C" w:rsidP="0006280C">
      <w:pPr>
        <w:pStyle w:val="CommentText"/>
      </w:pPr>
      <w:r>
        <w:rPr>
          <w:rStyle w:val="CommentReference"/>
        </w:rPr>
        <w:annotationRef/>
      </w:r>
      <w:r>
        <w:t>Accumulate a Dataset of Defined Ocular Ultrasound Images:</w:t>
      </w:r>
    </w:p>
    <w:p w14:paraId="207D8563" w14:textId="77777777" w:rsidR="0006280C" w:rsidRDefault="0006280C" w:rsidP="0006280C">
      <w:pPr>
        <w:pStyle w:val="CommentText"/>
      </w:pPr>
    </w:p>
    <w:p w14:paraId="0A72DC05" w14:textId="77777777" w:rsidR="0006280C" w:rsidRDefault="0006280C" w:rsidP="0006280C">
      <w:pPr>
        <w:pStyle w:val="CommentText"/>
      </w:pPr>
      <w:r>
        <w:t>"Collect and curate a comprehensive dataset of at least 200 high-quality, de-identified ocular ultrasound images from a diverse population, ensuring a range of age groups and ocular conditions, within a ?-month period. This dataset will form the basis for training and testing the Deep Learning System (DLS)."</w:t>
      </w:r>
    </w:p>
    <w:p w14:paraId="736F5001" w14:textId="77777777" w:rsidR="0006280C" w:rsidRDefault="0006280C" w:rsidP="0006280C">
      <w:pPr>
        <w:pStyle w:val="CommentText"/>
      </w:pPr>
      <w:r>
        <w:t>Fine-Tune a Deep Learning System (DLS) for Precision in Measuring ONSD:</w:t>
      </w:r>
    </w:p>
    <w:p w14:paraId="105D2C4E" w14:textId="77777777" w:rsidR="0006280C" w:rsidRDefault="0006280C" w:rsidP="0006280C">
      <w:pPr>
        <w:pStyle w:val="CommentText"/>
      </w:pPr>
    </w:p>
    <w:p w14:paraId="61795C37" w14:textId="77777777" w:rsidR="0006280C" w:rsidRDefault="0006280C" w:rsidP="0006280C">
      <w:pPr>
        <w:pStyle w:val="CommentText"/>
      </w:pPr>
      <w:r>
        <w:t>"Develop and fine-tune a Deep Learning System using the curated dataset, with the specific objective of achieving a measurement precision within a 5% margin of error for the Optic Nerve Sheath Diameter (ONSD). This process includes optimizing the DLS architecture, parameter tuning, and implementing advanced image processing techniques over a ?-month period."</w:t>
      </w:r>
    </w:p>
    <w:p w14:paraId="07D38672" w14:textId="77777777" w:rsidR="0006280C" w:rsidRDefault="0006280C" w:rsidP="0006280C">
      <w:pPr>
        <w:pStyle w:val="CommentText"/>
      </w:pPr>
      <w:r>
        <w:t>Evaluate the DLS’s Reliability Using a Method Comparison Test:</w:t>
      </w:r>
    </w:p>
    <w:p w14:paraId="58D97C6F" w14:textId="77777777" w:rsidR="0006280C" w:rsidRDefault="0006280C" w:rsidP="0006280C">
      <w:pPr>
        <w:pStyle w:val="CommentText"/>
      </w:pPr>
    </w:p>
    <w:p w14:paraId="50D820B7" w14:textId="77777777" w:rsidR="0006280C" w:rsidRDefault="0006280C" w:rsidP="0006280C">
      <w:pPr>
        <w:pStyle w:val="CommentText"/>
      </w:pPr>
      <w:r>
        <w:t>"Conduct a comprehensive evaluation of the DLS’s reliability in measuring ONSD by comparing its outputs with those obtained from a trained and experienced ultrasound provider. This evaluation will use statistical methods such as Interclass Correlation Coefficients (ICC) and Bland-Altman plots, aiming to achieve an ICC greater than 0.75. The study will also assess the DLS’s consistency across different patient demographics and ocular conditions, to be completed within ? months from the commencement of the study."</w:t>
      </w:r>
    </w:p>
  </w:comment>
  <w:comment w:id="4" w:author="Craig Parker" w:date="2024-01-23T21:51:00Z" w:initials="CP">
    <w:p w14:paraId="1890607B" w14:textId="77777777" w:rsidR="00422247" w:rsidRDefault="00422247" w:rsidP="00422247">
      <w:pPr>
        <w:pStyle w:val="CommentText"/>
      </w:pPr>
      <w:r>
        <w:rPr>
          <w:rStyle w:val="CommentReference"/>
        </w:rPr>
        <w:annotationRef/>
      </w:r>
      <w:r>
        <w:t>Draw a diagram of this methodology, then you will see if you understand how it will work and easier for readers to digest.</w:t>
      </w:r>
    </w:p>
  </w:comment>
  <w:comment w:id="5" w:author="Craig Parker" w:date="2024-01-23T21:26:00Z" w:initials="CP">
    <w:p w14:paraId="27252881" w14:textId="6C2FE947" w:rsidR="00B50807" w:rsidRDefault="00B50807" w:rsidP="00B50807">
      <w:pPr>
        <w:pStyle w:val="CommentText"/>
      </w:pPr>
      <w:r>
        <w:rPr>
          <w:rStyle w:val="CommentReference"/>
        </w:rPr>
        <w:annotationRef/>
      </w:r>
      <w:r>
        <w:rPr>
          <w:b/>
          <w:bCs/>
          <w:color w:val="374151"/>
        </w:rPr>
        <w:t>Image Preprocessing and Standardization:</w:t>
      </w:r>
    </w:p>
    <w:p w14:paraId="1C3B7349" w14:textId="77777777" w:rsidR="00B50807" w:rsidRDefault="00B50807" w:rsidP="00B50807">
      <w:pPr>
        <w:pStyle w:val="CommentText"/>
        <w:numPr>
          <w:ilvl w:val="0"/>
          <w:numId w:val="3"/>
        </w:numPr>
      </w:pPr>
      <w:r>
        <w:rPr>
          <w:color w:val="374151"/>
        </w:rPr>
        <w:t>Provide more information on the image preprocessing steps. What techniques will be used to standardize and enhance the images? How will these steps affect the training of the DLS?</w:t>
      </w:r>
    </w:p>
  </w:comment>
  <w:comment w:id="6" w:author="Craig Parker" w:date="2024-01-23T21:27:00Z" w:initials="CP">
    <w:p w14:paraId="67D6BDDC" w14:textId="77777777" w:rsidR="00B50807" w:rsidRDefault="00B50807" w:rsidP="00B50807">
      <w:pPr>
        <w:pStyle w:val="CommentText"/>
      </w:pPr>
      <w:r>
        <w:rPr>
          <w:rStyle w:val="CommentReference"/>
        </w:rPr>
        <w:annotationRef/>
      </w:r>
      <w:r>
        <w:rPr>
          <w:b/>
          <w:bCs/>
          <w:color w:val="374151"/>
        </w:rPr>
        <w:t>Use of Google Colab:</w:t>
      </w:r>
    </w:p>
    <w:p w14:paraId="343E9BF5" w14:textId="77777777" w:rsidR="00B50807" w:rsidRDefault="00B50807" w:rsidP="00B50807">
      <w:pPr>
        <w:pStyle w:val="CommentText"/>
        <w:numPr>
          <w:ilvl w:val="0"/>
          <w:numId w:val="4"/>
        </w:numPr>
      </w:pPr>
      <w:r>
        <w:rPr>
          <w:color w:val="374151"/>
        </w:rPr>
        <w:t>Justify the choice of Google Colab as the platform for model development. Discuss its benefits and any limitations it might have for this specific project. You will probably need GPU/TPU to train this model? Will you use Tensorflow or Pytorch?</w:t>
      </w:r>
    </w:p>
    <w:p w14:paraId="146744E4" w14:textId="77777777" w:rsidR="00B50807" w:rsidRDefault="00B50807" w:rsidP="00B50807">
      <w:pPr>
        <w:pStyle w:val="CommentText"/>
      </w:pPr>
    </w:p>
  </w:comment>
  <w:comment w:id="7" w:author="Craig Parker" w:date="2024-01-23T21:29:00Z" w:initials="CP">
    <w:p w14:paraId="3DB6C7FF" w14:textId="77777777" w:rsidR="00591326" w:rsidRDefault="00591326" w:rsidP="00591326">
      <w:pPr>
        <w:pStyle w:val="CommentText"/>
      </w:pPr>
      <w:r>
        <w:rPr>
          <w:rStyle w:val="CommentReference"/>
        </w:rPr>
        <w:annotationRef/>
      </w:r>
      <w:r>
        <w:rPr>
          <w:b/>
          <w:bCs/>
          <w:color w:val="374151"/>
        </w:rPr>
        <w:t>Deep Learning System (DLS) Training and Cross-Validation:</w:t>
      </w:r>
    </w:p>
    <w:p w14:paraId="28235A0E" w14:textId="77777777" w:rsidR="00591326" w:rsidRDefault="00591326" w:rsidP="00591326">
      <w:pPr>
        <w:pStyle w:val="CommentText"/>
        <w:numPr>
          <w:ilvl w:val="0"/>
          <w:numId w:val="5"/>
        </w:numPr>
      </w:pPr>
      <w:r>
        <w:rPr>
          <w:color w:val="374151"/>
        </w:rPr>
        <w:t>Elaborate on the DLS training process. Detail the architecture of the Convolutional Neural Network (CNN), including layers and parameters.</w:t>
      </w:r>
    </w:p>
    <w:p w14:paraId="55FCBC41" w14:textId="77777777" w:rsidR="00591326" w:rsidRDefault="00591326" w:rsidP="00591326">
      <w:pPr>
        <w:pStyle w:val="CommentText"/>
        <w:numPr>
          <w:ilvl w:val="0"/>
          <w:numId w:val="5"/>
        </w:numPr>
      </w:pPr>
      <w:r>
        <w:rPr>
          <w:color w:val="374151"/>
        </w:rPr>
        <w:t>Explain the cross-validation strategy. How will the dataset be split into training, validation, and test sets? Discuss how overfitting will be avoided</w:t>
      </w:r>
    </w:p>
  </w:comment>
  <w:comment w:id="9" w:author="Craig Parker" w:date="2024-01-23T21:30:00Z" w:initials="CP">
    <w:p w14:paraId="02C8A53E" w14:textId="77777777" w:rsidR="00591326" w:rsidRDefault="00591326" w:rsidP="00591326">
      <w:pPr>
        <w:pStyle w:val="CommentText"/>
      </w:pPr>
      <w:r>
        <w:rPr>
          <w:rStyle w:val="CommentReference"/>
        </w:rPr>
        <w:annotationRef/>
      </w:r>
      <w:r>
        <w:rPr>
          <w:b/>
          <w:bCs/>
          <w:color w:val="374151"/>
        </w:rPr>
        <w:t>Feasibility with Available Images:</w:t>
      </w:r>
    </w:p>
    <w:p w14:paraId="6677DE4A" w14:textId="77777777" w:rsidR="00591326" w:rsidRDefault="00591326" w:rsidP="00591326">
      <w:pPr>
        <w:pStyle w:val="CommentText"/>
        <w:numPr>
          <w:ilvl w:val="0"/>
          <w:numId w:val="7"/>
        </w:numPr>
      </w:pPr>
      <w:r>
        <w:rPr>
          <w:color w:val="374151"/>
        </w:rPr>
        <w:t>Address the concern about the adequacy of the dataset size, especially considering the complexity of CNNs. Discuss the feasibility of achieving reliable model performance with the available 198 images.</w:t>
      </w:r>
    </w:p>
    <w:p w14:paraId="7DC47242" w14:textId="77777777" w:rsidR="00591326" w:rsidRDefault="00591326" w:rsidP="00591326">
      <w:pPr>
        <w:pStyle w:val="CommentText"/>
        <w:numPr>
          <w:ilvl w:val="0"/>
          <w:numId w:val="7"/>
        </w:numPr>
      </w:pPr>
      <w:r>
        <w:rPr>
          <w:color w:val="374151"/>
        </w:rPr>
        <w:t>If transfer learning is considered, explain how it can be utilized effectively with a limited dataset.</w:t>
      </w:r>
    </w:p>
  </w:comment>
  <w:comment w:id="8" w:author="Craig Parker" w:date="2024-01-23T21:29:00Z" w:initials="CP">
    <w:p w14:paraId="50257E3B" w14:textId="171C0D43" w:rsidR="00591326" w:rsidRDefault="00591326" w:rsidP="00591326">
      <w:pPr>
        <w:pStyle w:val="CommentText"/>
      </w:pPr>
      <w:r>
        <w:rPr>
          <w:rStyle w:val="CommentReference"/>
        </w:rPr>
        <w:annotationRef/>
      </w:r>
      <w:r>
        <w:rPr>
          <w:b/>
          <w:bCs/>
          <w:color w:val="374151"/>
        </w:rPr>
        <w:t>Reliability Analysis:</w:t>
      </w:r>
    </w:p>
    <w:p w14:paraId="1D396148" w14:textId="77777777" w:rsidR="00591326" w:rsidRDefault="00591326" w:rsidP="00591326">
      <w:pPr>
        <w:pStyle w:val="CommentText"/>
        <w:numPr>
          <w:ilvl w:val="0"/>
          <w:numId w:val="6"/>
        </w:numPr>
      </w:pPr>
      <w:r>
        <w:rPr>
          <w:color w:val="374151"/>
        </w:rPr>
        <w:t>Provide a more detailed methodology for the reliability analysis. Explain how Interclass Correlation Coefficients (ICC) and Bland-Altman plots will be used, including the statistical parameters and thresholds for determining reliability.</w:t>
      </w:r>
    </w:p>
  </w:comment>
  <w:comment w:id="11" w:author="Craig Parker" w:date="2024-01-23T21:37:00Z" w:initials="CP">
    <w:p w14:paraId="5716B4E3" w14:textId="77777777" w:rsidR="00591326" w:rsidRDefault="00591326" w:rsidP="00591326">
      <w:pPr>
        <w:pStyle w:val="CommentText"/>
      </w:pPr>
      <w:r>
        <w:rPr>
          <w:rStyle w:val="CommentReference"/>
        </w:rPr>
        <w:annotationRef/>
      </w:r>
      <w:r>
        <w:t>from scipy.stats import norm</w:t>
      </w:r>
    </w:p>
    <w:p w14:paraId="1D264A40" w14:textId="77777777" w:rsidR="00591326" w:rsidRDefault="00591326" w:rsidP="00591326">
      <w:pPr>
        <w:pStyle w:val="CommentText"/>
      </w:pPr>
    </w:p>
    <w:p w14:paraId="60FB2E4C" w14:textId="77777777" w:rsidR="00591326" w:rsidRDefault="00591326" w:rsidP="00591326">
      <w:pPr>
        <w:pStyle w:val="CommentText"/>
      </w:pPr>
      <w:r>
        <w:t># Given values for the sample size calculation</w:t>
      </w:r>
    </w:p>
    <w:p w14:paraId="1F2C0A87" w14:textId="77777777" w:rsidR="00591326" w:rsidRDefault="00591326" w:rsidP="00591326">
      <w:pPr>
        <w:pStyle w:val="CommentText"/>
      </w:pPr>
      <w:r>
        <w:t>alpha = 0.05  # Significance level (for a 95% confidence interval)</w:t>
      </w:r>
    </w:p>
    <w:p w14:paraId="779CAC9D" w14:textId="77777777" w:rsidR="00591326" w:rsidRDefault="00591326" w:rsidP="00591326">
      <w:pPr>
        <w:pStyle w:val="CommentText"/>
      </w:pPr>
      <w:r>
        <w:t>power = 0.8   # Desired power of the study (80%)</w:t>
      </w:r>
    </w:p>
    <w:p w14:paraId="5096FF7E" w14:textId="77777777" w:rsidR="00591326" w:rsidRDefault="00591326" w:rsidP="00591326">
      <w:pPr>
        <w:pStyle w:val="CommentText"/>
      </w:pPr>
      <w:r>
        <w:t>sd = 0.4      # Estimated standard deviation of the measurement (an assumption)</w:t>
      </w:r>
    </w:p>
    <w:p w14:paraId="4BD4535F" w14:textId="77777777" w:rsidR="00591326" w:rsidRDefault="00591326" w:rsidP="00591326">
      <w:pPr>
        <w:pStyle w:val="CommentText"/>
      </w:pPr>
    </w:p>
    <w:p w14:paraId="2B8F521C" w14:textId="77777777" w:rsidR="00591326" w:rsidRDefault="00591326" w:rsidP="00591326">
      <w:pPr>
        <w:pStyle w:val="CommentText"/>
      </w:pPr>
      <w:r>
        <w:t># Effect size</w:t>
      </w:r>
    </w:p>
    <w:p w14:paraId="344DB38C" w14:textId="77777777" w:rsidR="00591326" w:rsidRDefault="00591326" w:rsidP="00591326">
      <w:pPr>
        <w:pStyle w:val="CommentText"/>
      </w:pPr>
      <w:r>
        <w:t># Assuming a small effect size of 0.2 (Cohen's d) which is common in similar studies</w:t>
      </w:r>
    </w:p>
    <w:p w14:paraId="23EDBE41" w14:textId="77777777" w:rsidR="00591326" w:rsidRDefault="00591326" w:rsidP="00591326">
      <w:pPr>
        <w:pStyle w:val="CommentText"/>
      </w:pPr>
      <w:r>
        <w:t>effect_size = 0.2</w:t>
      </w:r>
    </w:p>
    <w:p w14:paraId="72A88685" w14:textId="77777777" w:rsidR="00591326" w:rsidRDefault="00591326" w:rsidP="00591326">
      <w:pPr>
        <w:pStyle w:val="CommentText"/>
      </w:pPr>
    </w:p>
    <w:p w14:paraId="463DA463" w14:textId="77777777" w:rsidR="00591326" w:rsidRDefault="00591326" w:rsidP="00591326">
      <w:pPr>
        <w:pStyle w:val="CommentText"/>
      </w:pPr>
      <w:r>
        <w:t># Calculating the sample size</w:t>
      </w:r>
    </w:p>
    <w:p w14:paraId="45D83E69" w14:textId="77777777" w:rsidR="00591326" w:rsidRDefault="00591326" w:rsidP="00591326">
      <w:pPr>
        <w:pStyle w:val="CommentText"/>
      </w:pPr>
      <w:r>
        <w:t># For a two-tailed test, the z-score for the given alpha and power are:</w:t>
      </w:r>
    </w:p>
    <w:p w14:paraId="13DF10D2" w14:textId="77777777" w:rsidR="00591326" w:rsidRDefault="00591326" w:rsidP="00591326">
      <w:pPr>
        <w:pStyle w:val="CommentText"/>
      </w:pPr>
      <w:r>
        <w:t>z_alpha = norm.ppf(1 - alpha / 2)  # two-tailed test</w:t>
      </w:r>
    </w:p>
    <w:p w14:paraId="6F95177C" w14:textId="77777777" w:rsidR="00591326" w:rsidRDefault="00591326" w:rsidP="00591326">
      <w:pPr>
        <w:pStyle w:val="CommentText"/>
      </w:pPr>
      <w:r>
        <w:t>z_beta = norm.ppf(power)</w:t>
      </w:r>
    </w:p>
    <w:p w14:paraId="45B2F006" w14:textId="77777777" w:rsidR="00591326" w:rsidRDefault="00591326" w:rsidP="00591326">
      <w:pPr>
        <w:pStyle w:val="CommentText"/>
      </w:pPr>
    </w:p>
    <w:p w14:paraId="7CAEF94E" w14:textId="77777777" w:rsidR="00591326" w:rsidRDefault="00591326" w:rsidP="00591326">
      <w:pPr>
        <w:pStyle w:val="CommentText"/>
      </w:pPr>
      <w:r>
        <w:t># The formula for sample size calculation in a two-sample comparison is:</w:t>
      </w:r>
    </w:p>
    <w:p w14:paraId="5F9F3173" w14:textId="77777777" w:rsidR="00591326" w:rsidRDefault="00591326" w:rsidP="00591326">
      <w:pPr>
        <w:pStyle w:val="CommentText"/>
      </w:pPr>
      <w:r>
        <w:t>n = 2 * (z_alpha + z_beta) ** 2 * sd ** 2 / effect_size ** 2</w:t>
      </w:r>
    </w:p>
    <w:p w14:paraId="7938FC63" w14:textId="77777777" w:rsidR="00591326" w:rsidRDefault="00591326" w:rsidP="00591326">
      <w:pPr>
        <w:pStyle w:val="CommentText"/>
      </w:pPr>
    </w:p>
    <w:p w14:paraId="1A376C96" w14:textId="77777777" w:rsidR="00591326" w:rsidRDefault="00591326" w:rsidP="00591326">
      <w:pPr>
        <w:pStyle w:val="CommentText"/>
      </w:pPr>
      <w:r>
        <w:t># Round up to the nearest whole number as we cannot have a fraction of a sample</w:t>
      </w:r>
    </w:p>
    <w:p w14:paraId="5B4D6B77" w14:textId="77777777" w:rsidR="00591326" w:rsidRDefault="00591326" w:rsidP="00591326">
      <w:pPr>
        <w:pStyle w:val="CommentText"/>
      </w:pPr>
      <w:r>
        <w:t>n_rounded = math.ceil(n)</w:t>
      </w:r>
    </w:p>
    <w:p w14:paraId="44209E2E" w14:textId="77777777" w:rsidR="00591326" w:rsidRDefault="00591326" w:rsidP="00591326">
      <w:pPr>
        <w:pStyle w:val="CommentText"/>
      </w:pPr>
    </w:p>
    <w:p w14:paraId="32611E68" w14:textId="77777777" w:rsidR="00591326" w:rsidRDefault="00591326" w:rsidP="00591326">
      <w:pPr>
        <w:pStyle w:val="CommentText"/>
      </w:pPr>
      <w:r>
        <w:t xml:space="preserve">n_rounded    </w:t>
      </w:r>
    </w:p>
    <w:p w14:paraId="52D85180" w14:textId="77777777" w:rsidR="00591326" w:rsidRDefault="00591326" w:rsidP="00591326">
      <w:pPr>
        <w:pStyle w:val="CommentText"/>
      </w:pPr>
    </w:p>
    <w:p w14:paraId="7D01DCAF" w14:textId="77777777" w:rsidR="00591326" w:rsidRDefault="00591326" w:rsidP="00591326">
      <w:pPr>
        <w:pStyle w:val="CommentText"/>
      </w:pPr>
      <w:r>
        <w:t>=63</w:t>
      </w:r>
    </w:p>
  </w:comment>
  <w:comment w:id="12" w:author="Craig Parker" w:date="2024-01-23T21:37:00Z" w:initials="CP">
    <w:p w14:paraId="5EBAD83C" w14:textId="77777777" w:rsidR="00591326" w:rsidRDefault="00591326" w:rsidP="00591326">
      <w:pPr>
        <w:pStyle w:val="CommentText"/>
        <w:ind w:left="400"/>
      </w:pPr>
      <w:r>
        <w:rPr>
          <w:rStyle w:val="CommentReference"/>
        </w:rPr>
        <w:annotationRef/>
      </w:r>
      <w:r>
        <w:t>Based on the provided estimates and assumptions, the calculated sample size required for your study is 63. This calculation assumes a significance level of 5% (alpha = 0.05), a power of 80% (power = 0.8), a standard deviation of 0.4, and a small effect size (Cohen's d = 0.2). Keep in mind that these are based on typical values and assumptions in clinical research; if you have more specific data or different objectives, these should be adjusted accordingly. ​​</w:t>
      </w:r>
    </w:p>
    <w:p w14:paraId="4106599A" w14:textId="77777777" w:rsidR="00591326" w:rsidRDefault="00591326" w:rsidP="00591326">
      <w:pPr>
        <w:pStyle w:val="CommentText"/>
        <w:ind w:left="400"/>
      </w:pPr>
    </w:p>
    <w:p w14:paraId="2BA840B0" w14:textId="77777777" w:rsidR="00591326" w:rsidRDefault="00591326" w:rsidP="00591326">
      <w:pPr>
        <w:pStyle w:val="CommentText"/>
        <w:ind w:left="400"/>
      </w:pPr>
    </w:p>
    <w:p w14:paraId="70C66E4F" w14:textId="77777777" w:rsidR="00591326" w:rsidRDefault="00591326" w:rsidP="00591326">
      <w:pPr>
        <w:pStyle w:val="CommentText"/>
        <w:ind w:left="400"/>
      </w:pPr>
    </w:p>
    <w:p w14:paraId="0782CCC1" w14:textId="77777777" w:rsidR="00591326" w:rsidRDefault="00591326" w:rsidP="00591326">
      <w:pPr>
        <w:pStyle w:val="CommentText"/>
        <w:ind w:left="400"/>
      </w:pPr>
    </w:p>
    <w:p w14:paraId="3FF5CBEC" w14:textId="77777777" w:rsidR="00591326" w:rsidRDefault="00591326" w:rsidP="00591326">
      <w:pPr>
        <w:pStyle w:val="CommentText"/>
        <w:ind w:left="400"/>
      </w:pPr>
    </w:p>
    <w:p w14:paraId="539D0555" w14:textId="77777777" w:rsidR="00591326" w:rsidRDefault="00591326" w:rsidP="00591326">
      <w:pPr>
        <w:pStyle w:val="CommentText"/>
        <w:ind w:left="200"/>
      </w:pPr>
    </w:p>
    <w:p w14:paraId="49E27D99" w14:textId="77777777" w:rsidR="00591326" w:rsidRDefault="00591326" w:rsidP="00591326">
      <w:pPr>
        <w:pStyle w:val="CommentText"/>
      </w:pPr>
    </w:p>
    <w:p w14:paraId="10F929C1" w14:textId="77777777" w:rsidR="00591326" w:rsidRDefault="00591326" w:rsidP="00591326">
      <w:pPr>
        <w:pStyle w:val="CommentText"/>
        <w:ind w:left="480"/>
      </w:pPr>
      <w:r>
        <w:rPr>
          <w:color w:val="000000"/>
        </w:rPr>
        <w:br/>
      </w:r>
    </w:p>
    <w:p w14:paraId="41C39C6B" w14:textId="77777777" w:rsidR="00591326" w:rsidRDefault="00591326" w:rsidP="00591326">
      <w:pPr>
        <w:pStyle w:val="CommentText"/>
        <w:ind w:left="280"/>
      </w:pPr>
    </w:p>
    <w:p w14:paraId="47F2E48E" w14:textId="77777777" w:rsidR="00591326" w:rsidRDefault="00591326" w:rsidP="00591326">
      <w:pPr>
        <w:pStyle w:val="CommentText"/>
        <w:ind w:left="280"/>
      </w:pPr>
    </w:p>
  </w:comment>
  <w:comment w:id="10" w:author="Craig Parker" w:date="2024-01-23T21:33:00Z" w:initials="CP">
    <w:p w14:paraId="09BAFA92" w14:textId="2C5BABAA" w:rsidR="00591326" w:rsidRDefault="00591326" w:rsidP="00591326">
      <w:pPr>
        <w:pStyle w:val="CommentText"/>
        <w:numPr>
          <w:ilvl w:val="0"/>
          <w:numId w:val="8"/>
        </w:numPr>
        <w:ind w:left="720"/>
      </w:pPr>
      <w:r>
        <w:rPr>
          <w:rStyle w:val="CommentReference"/>
        </w:rPr>
        <w:annotationRef/>
      </w:r>
      <w:r>
        <w:rPr>
          <w:b/>
          <w:bCs/>
          <w:color w:val="374151"/>
        </w:rPr>
        <w:t>Define the Primary Outcome:</w:t>
      </w:r>
      <w:r>
        <w:rPr>
          <w:color w:val="374151"/>
        </w:rPr>
        <w:t xml:space="preserve"> </w:t>
      </w:r>
      <w:r>
        <w:rPr>
          <w:b/>
          <w:bCs/>
          <w:color w:val="374151"/>
        </w:rPr>
        <w:t>Determine the primary outcome measure for the DLS's performance. In your case, it is the accuracy of ONSD measurement.</w:t>
      </w:r>
    </w:p>
    <w:p w14:paraId="652B67C9" w14:textId="77777777" w:rsidR="00591326" w:rsidRDefault="00591326" w:rsidP="00591326">
      <w:pPr>
        <w:pStyle w:val="CommentText"/>
        <w:numPr>
          <w:ilvl w:val="0"/>
          <w:numId w:val="8"/>
        </w:numPr>
        <w:ind w:left="720"/>
      </w:pPr>
      <w:r>
        <w:rPr>
          <w:b/>
          <w:bCs/>
          <w:color w:val="374151"/>
        </w:rPr>
        <w:t>Estimate Expected Effect Size:</w:t>
      </w:r>
      <w:r>
        <w:rPr>
          <w:color w:val="374151"/>
        </w:rPr>
        <w:t xml:space="preserve"> </w:t>
      </w:r>
      <w:r>
        <w:rPr>
          <w:b/>
          <w:bCs/>
          <w:color w:val="374151"/>
        </w:rPr>
        <w:t>Determine the expected difference or variability in ONSD measurements between the DLS and the standard method.</w:t>
      </w:r>
    </w:p>
    <w:p w14:paraId="4D39856D" w14:textId="77777777" w:rsidR="00591326" w:rsidRDefault="00591326" w:rsidP="00591326">
      <w:pPr>
        <w:pStyle w:val="CommentText"/>
        <w:numPr>
          <w:ilvl w:val="0"/>
          <w:numId w:val="8"/>
        </w:numPr>
        <w:ind w:left="720"/>
      </w:pPr>
      <w:r>
        <w:rPr>
          <w:b/>
          <w:bCs/>
          <w:color w:val="374151"/>
        </w:rPr>
        <w:t>Set Alpha and Power:</w:t>
      </w:r>
      <w:r>
        <w:rPr>
          <w:color w:val="374151"/>
        </w:rPr>
        <w:t xml:space="preserve"> </w:t>
      </w:r>
      <w:r>
        <w:rPr>
          <w:b/>
          <w:bCs/>
          <w:color w:val="374151"/>
        </w:rPr>
        <w:t>Typically, an alpha of 0.05 (for a 95% confidence level) and a power of 80-90% are used in clinical studies. These values dictate the probability of avoiding Type I and Type II errors.</w:t>
      </w:r>
    </w:p>
    <w:p w14:paraId="32C086A8" w14:textId="77777777" w:rsidR="00591326" w:rsidRDefault="00591326" w:rsidP="00591326">
      <w:pPr>
        <w:pStyle w:val="CommentText"/>
        <w:numPr>
          <w:ilvl w:val="0"/>
          <w:numId w:val="8"/>
        </w:numPr>
        <w:ind w:left="720"/>
      </w:pPr>
      <w:r>
        <w:rPr>
          <w:b/>
          <w:bCs/>
          <w:color w:val="374151"/>
        </w:rPr>
        <w:t>Use Statistical Formulas or Software:</w:t>
      </w:r>
      <w:r>
        <w:rPr>
          <w:color w:val="374151"/>
        </w:rPr>
        <w:t xml:space="preserve"> </w:t>
      </w:r>
      <w:r>
        <w:rPr>
          <w:b/>
          <w:bCs/>
          <w:color w:val="374151"/>
        </w:rPr>
        <w:t>There are various statistical formulas and software tools available for sample size calculation. These tools often require inputs like effect size, standard deviation, alpha, and power.</w:t>
      </w:r>
    </w:p>
    <w:p w14:paraId="1EFAAFA1" w14:textId="77777777" w:rsidR="00591326" w:rsidRDefault="00591326" w:rsidP="00591326">
      <w:pPr>
        <w:pStyle w:val="CommentText"/>
        <w:numPr>
          <w:ilvl w:val="0"/>
          <w:numId w:val="8"/>
        </w:numPr>
        <w:ind w:left="720"/>
      </w:pPr>
      <w:r>
        <w:rPr>
          <w:b/>
          <w:bCs/>
          <w:color w:val="374151"/>
        </w:rPr>
        <w:t>Consider Method Comparison Studies:</w:t>
      </w:r>
      <w:r>
        <w:rPr>
          <w:color w:val="374151"/>
        </w:rPr>
        <w:t xml:space="preserve"> </w:t>
      </w:r>
      <w:r>
        <w:rPr>
          <w:b/>
          <w:bCs/>
          <w:color w:val="374151"/>
        </w:rPr>
        <w:t>Since you are comparing two methods (DLS vs. standard measurement), you might use a method comparison approach like Bland-Altman analysis for sample size calculation.</w:t>
      </w:r>
    </w:p>
    <w:p w14:paraId="2A3581AF" w14:textId="77777777" w:rsidR="00591326" w:rsidRDefault="00591326" w:rsidP="00591326">
      <w:pPr>
        <w:pStyle w:val="CommentText"/>
        <w:numPr>
          <w:ilvl w:val="0"/>
          <w:numId w:val="8"/>
        </w:numPr>
        <w:ind w:left="720"/>
      </w:pPr>
      <w:r>
        <w:rPr>
          <w:b/>
          <w:bCs/>
          <w:color w:val="374151"/>
        </w:rPr>
        <w:t>Consult Previous Studies:</w:t>
      </w:r>
      <w:r>
        <w:rPr>
          <w:color w:val="374151"/>
        </w:rPr>
        <w:t xml:space="preserve"> </w:t>
      </w:r>
      <w:r>
        <w:rPr>
          <w:b/>
          <w:bCs/>
          <w:color w:val="374151"/>
        </w:rPr>
        <w:t>Review similar studies for guidance on typical sample sizes used in studies involving DLS and ONSD measurement</w:t>
      </w:r>
    </w:p>
  </w:comment>
  <w:comment w:id="13" w:author="Craig Parker" w:date="2024-01-23T21:13:00Z" w:initials="CP">
    <w:p w14:paraId="424B376E" w14:textId="66553E9E" w:rsidR="00D92497" w:rsidRDefault="00D92497" w:rsidP="00D92497">
      <w:pPr>
        <w:pStyle w:val="CommentText"/>
      </w:pPr>
      <w:r>
        <w:rPr>
          <w:rStyle w:val="CommentReference"/>
        </w:rPr>
        <w:annotationRef/>
      </w:r>
      <w:r>
        <w:t>I think you need a limitations section including aspects we discussed.</w:t>
      </w:r>
    </w:p>
  </w:comment>
  <w:comment w:id="14" w:author="Craig Parker" w:date="2024-01-23T21:54:00Z" w:initials="CP">
    <w:p w14:paraId="0461E35F" w14:textId="77777777" w:rsidR="00422247" w:rsidRDefault="00422247" w:rsidP="00422247">
      <w:pPr>
        <w:pStyle w:val="CommentText"/>
      </w:pPr>
      <w:r>
        <w:rPr>
          <w:rStyle w:val="CommentReference"/>
        </w:rPr>
        <w:annotationRef/>
      </w:r>
      <w:r>
        <w:t>Consistency in Format: Ensure that all references are formatted consistently. This includes the presentation of authors' names, article titles, journal names, volume and issue numbers, page numbers, publication dates, and URLs.</w:t>
      </w:r>
    </w:p>
    <w:p w14:paraId="3A5C6B8F" w14:textId="77777777" w:rsidR="00422247" w:rsidRDefault="00422247" w:rsidP="00422247">
      <w:pPr>
        <w:pStyle w:val="CommentText"/>
      </w:pPr>
    </w:p>
    <w:p w14:paraId="069721B2" w14:textId="77777777" w:rsidR="00422247" w:rsidRDefault="00422247" w:rsidP="00422247">
      <w:pPr>
        <w:pStyle w:val="CommentText"/>
      </w:pPr>
      <w:r>
        <w:t>Date Accessed for Online Sources: It's good practice to include the 'accessed date' for all online sources, as you have done in some references. This is because online content can change over time.</w:t>
      </w:r>
    </w:p>
    <w:p w14:paraId="6EF46DD9" w14:textId="77777777" w:rsidR="00422247" w:rsidRDefault="00422247" w:rsidP="00422247">
      <w:pPr>
        <w:pStyle w:val="CommentText"/>
      </w:pPr>
    </w:p>
    <w:p w14:paraId="322702E9" w14:textId="77777777" w:rsidR="00422247" w:rsidRDefault="00422247" w:rsidP="00422247">
      <w:pPr>
        <w:pStyle w:val="CommentText"/>
      </w:pPr>
      <w:r>
        <w:t>Uniformity in URL Presentation: URLs should be presented uniformly. In some references, you have included '</w:t>
      </w:r>
      <w:hyperlink r:id="rId1" w:history="1">
        <w:r w:rsidRPr="00836BE1">
          <w:rPr>
            <w:rStyle w:val="Hyperlink"/>
          </w:rPr>
          <w:t>www.</w:t>
        </w:r>
      </w:hyperlink>
      <w:r>
        <w:t>' before the URL, while in others, it's omitted. Choose one format and stick with it for all references.</w:t>
      </w:r>
    </w:p>
    <w:p w14:paraId="1DA77FD6" w14:textId="77777777" w:rsidR="00422247" w:rsidRDefault="00422247" w:rsidP="00422247">
      <w:pPr>
        <w:pStyle w:val="CommentText"/>
      </w:pPr>
    </w:p>
    <w:p w14:paraId="3DDFEA64" w14:textId="77777777" w:rsidR="00422247" w:rsidRDefault="00422247" w:rsidP="00422247">
      <w:pPr>
        <w:pStyle w:val="CommentText"/>
      </w:pPr>
      <w:r>
        <w:t>Consistency in Author Listing: Check the consistency in listing the authors. In academic references, typically either all authors are listed, or if there are many authors, the first author followed by 'et al.' is used.</w:t>
      </w:r>
    </w:p>
    <w:p w14:paraId="522FDA44" w14:textId="77777777" w:rsidR="00422247" w:rsidRDefault="00422247" w:rsidP="00422247">
      <w:pPr>
        <w:pStyle w:val="CommentText"/>
      </w:pPr>
    </w:p>
    <w:p w14:paraId="10D537AD" w14:textId="77777777" w:rsidR="00422247" w:rsidRDefault="00422247" w:rsidP="00422247">
      <w:pPr>
        <w:pStyle w:val="CommentText"/>
      </w:pPr>
      <w:r>
        <w:t>Verification of URLs: Ensure that all URLs are correct and lead to the correct source. Sometimes, URLs can be mistyped or lead to outdated links.</w:t>
      </w:r>
    </w:p>
    <w:p w14:paraId="5EC59A93" w14:textId="77777777" w:rsidR="00422247" w:rsidRDefault="00422247" w:rsidP="00422247">
      <w:pPr>
        <w:pStyle w:val="CommentText"/>
      </w:pPr>
    </w:p>
    <w:p w14:paraId="5DC7D21E" w14:textId="77777777" w:rsidR="00422247" w:rsidRDefault="00422247" w:rsidP="00422247">
      <w:pPr>
        <w:pStyle w:val="CommentText"/>
      </w:pPr>
      <w:r>
        <w:t>APA or Other Styles: Depending on the requirements of your field or publication, ensure that your referencing style (APA, MLA, Chicago, etc.) is correctly and consistently applied.</w:t>
      </w:r>
    </w:p>
    <w:p w14:paraId="55D4A522" w14:textId="77777777" w:rsidR="00422247" w:rsidRDefault="00422247" w:rsidP="00422247">
      <w:pPr>
        <w:pStyle w:val="CommentText"/>
      </w:pPr>
    </w:p>
    <w:p w14:paraId="25005DE8" w14:textId="77777777" w:rsidR="00422247" w:rsidRDefault="00422247" w:rsidP="00422247">
      <w:pPr>
        <w:pStyle w:val="CommentText"/>
      </w:pPr>
      <w:r>
        <w:t>Check for Recency and Relevance: Make sure that all references are up-to-date and relevant to your research topic. In rapidly evolving fields, particularly those involving technology or medical practices, newer sources might be more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6DDF13" w15:done="0"/>
  <w15:commentEx w15:paraId="7C46BAA1" w15:done="0"/>
  <w15:commentEx w15:paraId="582CBE2A" w15:done="0"/>
  <w15:commentEx w15:paraId="50D820B7" w15:paraIdParent="582CBE2A" w15:done="0"/>
  <w15:commentEx w15:paraId="1890607B" w15:done="0"/>
  <w15:commentEx w15:paraId="1C3B7349" w15:done="0"/>
  <w15:commentEx w15:paraId="146744E4" w15:done="0"/>
  <w15:commentEx w15:paraId="55FCBC41" w15:done="0"/>
  <w15:commentEx w15:paraId="7DC47242" w15:done="0"/>
  <w15:commentEx w15:paraId="1D396148" w15:done="0"/>
  <w15:commentEx w15:paraId="7D01DCAF" w15:done="0"/>
  <w15:commentEx w15:paraId="47F2E48E" w15:paraIdParent="7D01DCAF" w15:done="0"/>
  <w15:commentEx w15:paraId="2A3581AF" w15:done="0"/>
  <w15:commentEx w15:paraId="424B376E" w15:done="0"/>
  <w15:commentEx w15:paraId="25005D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3EFE76" w16cex:dateUtc="2024-01-23T19:49:00Z"/>
  <w16cex:commentExtensible w16cex:durableId="474783BD" w16cex:dateUtc="2024-01-23T19:40:00Z"/>
  <w16cex:commentExtensible w16cex:durableId="050CC318" w16cex:dateUtc="2024-01-23T19:45:00Z"/>
  <w16cex:commentExtensible w16cex:durableId="3E730E95" w16cex:dateUtc="2024-01-23T19:46:00Z"/>
  <w16cex:commentExtensible w16cex:durableId="581D5CAE" w16cex:dateUtc="2024-01-23T19:51:00Z"/>
  <w16cex:commentExtensible w16cex:durableId="22446F36" w16cex:dateUtc="2024-01-23T19:26:00Z"/>
  <w16cex:commentExtensible w16cex:durableId="0F5C298B" w16cex:dateUtc="2024-01-23T19:27:00Z"/>
  <w16cex:commentExtensible w16cex:durableId="56FA9B8C" w16cex:dateUtc="2024-01-23T19:29:00Z"/>
  <w16cex:commentExtensible w16cex:durableId="06028170" w16cex:dateUtc="2024-01-23T19:30:00Z"/>
  <w16cex:commentExtensible w16cex:durableId="06C6D1A5" w16cex:dateUtc="2024-01-23T19:29:00Z"/>
  <w16cex:commentExtensible w16cex:durableId="2EDF4CF2" w16cex:dateUtc="2024-01-23T19:37:00Z"/>
  <w16cex:commentExtensible w16cex:durableId="43ACB116" w16cex:dateUtc="2024-01-23T19:37:00Z"/>
  <w16cex:commentExtensible w16cex:durableId="3F1C2DF4" w16cex:dateUtc="2024-01-23T19:33:00Z"/>
  <w16cex:commentExtensible w16cex:durableId="3EFD7C03" w16cex:dateUtc="2024-01-23T19:13:00Z"/>
  <w16cex:commentExtensible w16cex:durableId="1459B327" w16cex:dateUtc="2024-01-23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6DDF13" w16cid:durableId="763EFE76"/>
  <w16cid:commentId w16cid:paraId="7C46BAA1" w16cid:durableId="474783BD"/>
  <w16cid:commentId w16cid:paraId="582CBE2A" w16cid:durableId="050CC318"/>
  <w16cid:commentId w16cid:paraId="50D820B7" w16cid:durableId="3E730E95"/>
  <w16cid:commentId w16cid:paraId="1890607B" w16cid:durableId="581D5CAE"/>
  <w16cid:commentId w16cid:paraId="1C3B7349" w16cid:durableId="22446F36"/>
  <w16cid:commentId w16cid:paraId="146744E4" w16cid:durableId="0F5C298B"/>
  <w16cid:commentId w16cid:paraId="55FCBC41" w16cid:durableId="56FA9B8C"/>
  <w16cid:commentId w16cid:paraId="7DC47242" w16cid:durableId="06028170"/>
  <w16cid:commentId w16cid:paraId="1D396148" w16cid:durableId="06C6D1A5"/>
  <w16cid:commentId w16cid:paraId="7D01DCAF" w16cid:durableId="2EDF4CF2"/>
  <w16cid:commentId w16cid:paraId="47F2E48E" w16cid:durableId="43ACB116"/>
  <w16cid:commentId w16cid:paraId="2A3581AF" w16cid:durableId="3F1C2DF4"/>
  <w16cid:commentId w16cid:paraId="424B376E" w16cid:durableId="3EFD7C03"/>
  <w16cid:commentId w16cid:paraId="25005DE8" w16cid:durableId="1459B3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8FF"/>
    <w:multiLevelType w:val="hybridMultilevel"/>
    <w:tmpl w:val="270C6CD4"/>
    <w:lvl w:ilvl="0" w:tplc="756E6852">
      <w:start w:val="1"/>
      <w:numFmt w:val="decimal"/>
      <w:lvlText w:val="%1."/>
      <w:lvlJc w:val="left"/>
      <w:pPr>
        <w:ind w:left="1440" w:hanging="360"/>
      </w:pPr>
    </w:lvl>
    <w:lvl w:ilvl="1" w:tplc="B3DC743A">
      <w:start w:val="1"/>
      <w:numFmt w:val="decimal"/>
      <w:lvlText w:val="%2."/>
      <w:lvlJc w:val="left"/>
      <w:pPr>
        <w:ind w:left="1440" w:hanging="360"/>
      </w:pPr>
    </w:lvl>
    <w:lvl w:ilvl="2" w:tplc="6FBA92C2">
      <w:start w:val="1"/>
      <w:numFmt w:val="decimal"/>
      <w:lvlText w:val="%3."/>
      <w:lvlJc w:val="left"/>
      <w:pPr>
        <w:ind w:left="1440" w:hanging="360"/>
      </w:pPr>
    </w:lvl>
    <w:lvl w:ilvl="3" w:tplc="C60EA316">
      <w:start w:val="1"/>
      <w:numFmt w:val="decimal"/>
      <w:lvlText w:val="%4."/>
      <w:lvlJc w:val="left"/>
      <w:pPr>
        <w:ind w:left="1440" w:hanging="360"/>
      </w:pPr>
    </w:lvl>
    <w:lvl w:ilvl="4" w:tplc="19AADA9A">
      <w:start w:val="1"/>
      <w:numFmt w:val="decimal"/>
      <w:lvlText w:val="%5."/>
      <w:lvlJc w:val="left"/>
      <w:pPr>
        <w:ind w:left="1440" w:hanging="360"/>
      </w:pPr>
    </w:lvl>
    <w:lvl w:ilvl="5" w:tplc="000AFE80">
      <w:start w:val="1"/>
      <w:numFmt w:val="decimal"/>
      <w:lvlText w:val="%6."/>
      <w:lvlJc w:val="left"/>
      <w:pPr>
        <w:ind w:left="1440" w:hanging="360"/>
      </w:pPr>
    </w:lvl>
    <w:lvl w:ilvl="6" w:tplc="29F4C4E0">
      <w:start w:val="1"/>
      <w:numFmt w:val="decimal"/>
      <w:lvlText w:val="%7."/>
      <w:lvlJc w:val="left"/>
      <w:pPr>
        <w:ind w:left="1440" w:hanging="360"/>
      </w:pPr>
    </w:lvl>
    <w:lvl w:ilvl="7" w:tplc="371A4FAA">
      <w:start w:val="1"/>
      <w:numFmt w:val="decimal"/>
      <w:lvlText w:val="%8."/>
      <w:lvlJc w:val="left"/>
      <w:pPr>
        <w:ind w:left="1440" w:hanging="360"/>
      </w:pPr>
    </w:lvl>
    <w:lvl w:ilvl="8" w:tplc="BB961B7E">
      <w:start w:val="1"/>
      <w:numFmt w:val="decimal"/>
      <w:lvlText w:val="%9."/>
      <w:lvlJc w:val="left"/>
      <w:pPr>
        <w:ind w:left="1440" w:hanging="360"/>
      </w:pPr>
    </w:lvl>
  </w:abstractNum>
  <w:abstractNum w:abstractNumId="1" w15:restartNumberingAfterBreak="0">
    <w:nsid w:val="19BF6409"/>
    <w:multiLevelType w:val="hybridMultilevel"/>
    <w:tmpl w:val="0C0454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7C5E41"/>
    <w:multiLevelType w:val="hybridMultilevel"/>
    <w:tmpl w:val="3CAE3E30"/>
    <w:lvl w:ilvl="0" w:tplc="2E8AC9A6">
      <w:start w:val="1"/>
      <w:numFmt w:val="bullet"/>
      <w:lvlText w:val=""/>
      <w:lvlJc w:val="left"/>
      <w:pPr>
        <w:ind w:left="1080" w:hanging="360"/>
      </w:pPr>
      <w:rPr>
        <w:rFonts w:ascii="Symbol" w:hAnsi="Symbol"/>
      </w:rPr>
    </w:lvl>
    <w:lvl w:ilvl="1" w:tplc="7C763CD6">
      <w:start w:val="1"/>
      <w:numFmt w:val="bullet"/>
      <w:lvlText w:val=""/>
      <w:lvlJc w:val="left"/>
      <w:pPr>
        <w:ind w:left="1080" w:hanging="360"/>
      </w:pPr>
      <w:rPr>
        <w:rFonts w:ascii="Symbol" w:hAnsi="Symbol"/>
      </w:rPr>
    </w:lvl>
    <w:lvl w:ilvl="2" w:tplc="432094D8">
      <w:start w:val="1"/>
      <w:numFmt w:val="bullet"/>
      <w:lvlText w:val=""/>
      <w:lvlJc w:val="left"/>
      <w:pPr>
        <w:ind w:left="1080" w:hanging="360"/>
      </w:pPr>
      <w:rPr>
        <w:rFonts w:ascii="Symbol" w:hAnsi="Symbol"/>
      </w:rPr>
    </w:lvl>
    <w:lvl w:ilvl="3" w:tplc="A81A9014">
      <w:start w:val="1"/>
      <w:numFmt w:val="bullet"/>
      <w:lvlText w:val=""/>
      <w:lvlJc w:val="left"/>
      <w:pPr>
        <w:ind w:left="1080" w:hanging="360"/>
      </w:pPr>
      <w:rPr>
        <w:rFonts w:ascii="Symbol" w:hAnsi="Symbol"/>
      </w:rPr>
    </w:lvl>
    <w:lvl w:ilvl="4" w:tplc="C1E4F89E">
      <w:start w:val="1"/>
      <w:numFmt w:val="bullet"/>
      <w:lvlText w:val=""/>
      <w:lvlJc w:val="left"/>
      <w:pPr>
        <w:ind w:left="1080" w:hanging="360"/>
      </w:pPr>
      <w:rPr>
        <w:rFonts w:ascii="Symbol" w:hAnsi="Symbol"/>
      </w:rPr>
    </w:lvl>
    <w:lvl w:ilvl="5" w:tplc="73BA0340">
      <w:start w:val="1"/>
      <w:numFmt w:val="bullet"/>
      <w:lvlText w:val=""/>
      <w:lvlJc w:val="left"/>
      <w:pPr>
        <w:ind w:left="1080" w:hanging="360"/>
      </w:pPr>
      <w:rPr>
        <w:rFonts w:ascii="Symbol" w:hAnsi="Symbol"/>
      </w:rPr>
    </w:lvl>
    <w:lvl w:ilvl="6" w:tplc="F01C1594">
      <w:start w:val="1"/>
      <w:numFmt w:val="bullet"/>
      <w:lvlText w:val=""/>
      <w:lvlJc w:val="left"/>
      <w:pPr>
        <w:ind w:left="1080" w:hanging="360"/>
      </w:pPr>
      <w:rPr>
        <w:rFonts w:ascii="Symbol" w:hAnsi="Symbol"/>
      </w:rPr>
    </w:lvl>
    <w:lvl w:ilvl="7" w:tplc="551EC51A">
      <w:start w:val="1"/>
      <w:numFmt w:val="bullet"/>
      <w:lvlText w:val=""/>
      <w:lvlJc w:val="left"/>
      <w:pPr>
        <w:ind w:left="1080" w:hanging="360"/>
      </w:pPr>
      <w:rPr>
        <w:rFonts w:ascii="Symbol" w:hAnsi="Symbol"/>
      </w:rPr>
    </w:lvl>
    <w:lvl w:ilvl="8" w:tplc="165C5082">
      <w:start w:val="1"/>
      <w:numFmt w:val="bullet"/>
      <w:lvlText w:val=""/>
      <w:lvlJc w:val="left"/>
      <w:pPr>
        <w:ind w:left="1080" w:hanging="360"/>
      </w:pPr>
      <w:rPr>
        <w:rFonts w:ascii="Symbol" w:hAnsi="Symbol"/>
      </w:rPr>
    </w:lvl>
  </w:abstractNum>
  <w:abstractNum w:abstractNumId="3" w15:restartNumberingAfterBreak="0">
    <w:nsid w:val="43E43F5C"/>
    <w:multiLevelType w:val="hybridMultilevel"/>
    <w:tmpl w:val="C0EA4A78"/>
    <w:lvl w:ilvl="0" w:tplc="60E81B28">
      <w:start w:val="1"/>
      <w:numFmt w:val="bullet"/>
      <w:lvlText w:val=""/>
      <w:lvlJc w:val="left"/>
      <w:pPr>
        <w:ind w:left="1080" w:hanging="360"/>
      </w:pPr>
      <w:rPr>
        <w:rFonts w:ascii="Symbol" w:hAnsi="Symbol"/>
      </w:rPr>
    </w:lvl>
    <w:lvl w:ilvl="1" w:tplc="184678AC">
      <w:start w:val="1"/>
      <w:numFmt w:val="bullet"/>
      <w:lvlText w:val=""/>
      <w:lvlJc w:val="left"/>
      <w:pPr>
        <w:ind w:left="1080" w:hanging="360"/>
      </w:pPr>
      <w:rPr>
        <w:rFonts w:ascii="Symbol" w:hAnsi="Symbol"/>
      </w:rPr>
    </w:lvl>
    <w:lvl w:ilvl="2" w:tplc="E9EEFDE8">
      <w:start w:val="1"/>
      <w:numFmt w:val="bullet"/>
      <w:lvlText w:val=""/>
      <w:lvlJc w:val="left"/>
      <w:pPr>
        <w:ind w:left="1080" w:hanging="360"/>
      </w:pPr>
      <w:rPr>
        <w:rFonts w:ascii="Symbol" w:hAnsi="Symbol"/>
      </w:rPr>
    </w:lvl>
    <w:lvl w:ilvl="3" w:tplc="6A3ABD64">
      <w:start w:val="1"/>
      <w:numFmt w:val="bullet"/>
      <w:lvlText w:val=""/>
      <w:lvlJc w:val="left"/>
      <w:pPr>
        <w:ind w:left="1080" w:hanging="360"/>
      </w:pPr>
      <w:rPr>
        <w:rFonts w:ascii="Symbol" w:hAnsi="Symbol"/>
      </w:rPr>
    </w:lvl>
    <w:lvl w:ilvl="4" w:tplc="3E5831BE">
      <w:start w:val="1"/>
      <w:numFmt w:val="bullet"/>
      <w:lvlText w:val=""/>
      <w:lvlJc w:val="left"/>
      <w:pPr>
        <w:ind w:left="1080" w:hanging="360"/>
      </w:pPr>
      <w:rPr>
        <w:rFonts w:ascii="Symbol" w:hAnsi="Symbol"/>
      </w:rPr>
    </w:lvl>
    <w:lvl w:ilvl="5" w:tplc="A9ACE114">
      <w:start w:val="1"/>
      <w:numFmt w:val="bullet"/>
      <w:lvlText w:val=""/>
      <w:lvlJc w:val="left"/>
      <w:pPr>
        <w:ind w:left="1080" w:hanging="360"/>
      </w:pPr>
      <w:rPr>
        <w:rFonts w:ascii="Symbol" w:hAnsi="Symbol"/>
      </w:rPr>
    </w:lvl>
    <w:lvl w:ilvl="6" w:tplc="5768B924">
      <w:start w:val="1"/>
      <w:numFmt w:val="bullet"/>
      <w:lvlText w:val=""/>
      <w:lvlJc w:val="left"/>
      <w:pPr>
        <w:ind w:left="1080" w:hanging="360"/>
      </w:pPr>
      <w:rPr>
        <w:rFonts w:ascii="Symbol" w:hAnsi="Symbol"/>
      </w:rPr>
    </w:lvl>
    <w:lvl w:ilvl="7" w:tplc="36FA619A">
      <w:start w:val="1"/>
      <w:numFmt w:val="bullet"/>
      <w:lvlText w:val=""/>
      <w:lvlJc w:val="left"/>
      <w:pPr>
        <w:ind w:left="1080" w:hanging="360"/>
      </w:pPr>
      <w:rPr>
        <w:rFonts w:ascii="Symbol" w:hAnsi="Symbol"/>
      </w:rPr>
    </w:lvl>
    <w:lvl w:ilvl="8" w:tplc="D9FE62EA">
      <w:start w:val="1"/>
      <w:numFmt w:val="bullet"/>
      <w:lvlText w:val=""/>
      <w:lvlJc w:val="left"/>
      <w:pPr>
        <w:ind w:left="1080" w:hanging="360"/>
      </w:pPr>
      <w:rPr>
        <w:rFonts w:ascii="Symbol" w:hAnsi="Symbol"/>
      </w:rPr>
    </w:lvl>
  </w:abstractNum>
  <w:abstractNum w:abstractNumId="4" w15:restartNumberingAfterBreak="0">
    <w:nsid w:val="65ED000E"/>
    <w:multiLevelType w:val="multilevel"/>
    <w:tmpl w:val="712E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8756C"/>
    <w:multiLevelType w:val="hybridMultilevel"/>
    <w:tmpl w:val="1B76E106"/>
    <w:lvl w:ilvl="0" w:tplc="4628E3BA">
      <w:start w:val="1"/>
      <w:numFmt w:val="bullet"/>
      <w:lvlText w:val=""/>
      <w:lvlJc w:val="left"/>
      <w:pPr>
        <w:ind w:left="1080" w:hanging="360"/>
      </w:pPr>
      <w:rPr>
        <w:rFonts w:ascii="Symbol" w:hAnsi="Symbol"/>
      </w:rPr>
    </w:lvl>
    <w:lvl w:ilvl="1" w:tplc="17045182">
      <w:start w:val="1"/>
      <w:numFmt w:val="bullet"/>
      <w:lvlText w:val=""/>
      <w:lvlJc w:val="left"/>
      <w:pPr>
        <w:ind w:left="1080" w:hanging="360"/>
      </w:pPr>
      <w:rPr>
        <w:rFonts w:ascii="Symbol" w:hAnsi="Symbol"/>
      </w:rPr>
    </w:lvl>
    <w:lvl w:ilvl="2" w:tplc="3FDC3AE6">
      <w:start w:val="1"/>
      <w:numFmt w:val="bullet"/>
      <w:lvlText w:val=""/>
      <w:lvlJc w:val="left"/>
      <w:pPr>
        <w:ind w:left="1080" w:hanging="360"/>
      </w:pPr>
      <w:rPr>
        <w:rFonts w:ascii="Symbol" w:hAnsi="Symbol"/>
      </w:rPr>
    </w:lvl>
    <w:lvl w:ilvl="3" w:tplc="FEDCC8E0">
      <w:start w:val="1"/>
      <w:numFmt w:val="bullet"/>
      <w:lvlText w:val=""/>
      <w:lvlJc w:val="left"/>
      <w:pPr>
        <w:ind w:left="1080" w:hanging="360"/>
      </w:pPr>
      <w:rPr>
        <w:rFonts w:ascii="Symbol" w:hAnsi="Symbol"/>
      </w:rPr>
    </w:lvl>
    <w:lvl w:ilvl="4" w:tplc="D16E0882">
      <w:start w:val="1"/>
      <w:numFmt w:val="bullet"/>
      <w:lvlText w:val=""/>
      <w:lvlJc w:val="left"/>
      <w:pPr>
        <w:ind w:left="1080" w:hanging="360"/>
      </w:pPr>
      <w:rPr>
        <w:rFonts w:ascii="Symbol" w:hAnsi="Symbol"/>
      </w:rPr>
    </w:lvl>
    <w:lvl w:ilvl="5" w:tplc="A98C11CA">
      <w:start w:val="1"/>
      <w:numFmt w:val="bullet"/>
      <w:lvlText w:val=""/>
      <w:lvlJc w:val="left"/>
      <w:pPr>
        <w:ind w:left="1080" w:hanging="360"/>
      </w:pPr>
      <w:rPr>
        <w:rFonts w:ascii="Symbol" w:hAnsi="Symbol"/>
      </w:rPr>
    </w:lvl>
    <w:lvl w:ilvl="6" w:tplc="EE5C0688">
      <w:start w:val="1"/>
      <w:numFmt w:val="bullet"/>
      <w:lvlText w:val=""/>
      <w:lvlJc w:val="left"/>
      <w:pPr>
        <w:ind w:left="1080" w:hanging="360"/>
      </w:pPr>
      <w:rPr>
        <w:rFonts w:ascii="Symbol" w:hAnsi="Symbol"/>
      </w:rPr>
    </w:lvl>
    <w:lvl w:ilvl="7" w:tplc="C93ECEE8">
      <w:start w:val="1"/>
      <w:numFmt w:val="bullet"/>
      <w:lvlText w:val=""/>
      <w:lvlJc w:val="left"/>
      <w:pPr>
        <w:ind w:left="1080" w:hanging="360"/>
      </w:pPr>
      <w:rPr>
        <w:rFonts w:ascii="Symbol" w:hAnsi="Symbol"/>
      </w:rPr>
    </w:lvl>
    <w:lvl w:ilvl="8" w:tplc="3EBE5C2C">
      <w:start w:val="1"/>
      <w:numFmt w:val="bullet"/>
      <w:lvlText w:val=""/>
      <w:lvlJc w:val="left"/>
      <w:pPr>
        <w:ind w:left="1080" w:hanging="360"/>
      </w:pPr>
      <w:rPr>
        <w:rFonts w:ascii="Symbol" w:hAnsi="Symbol"/>
      </w:rPr>
    </w:lvl>
  </w:abstractNum>
  <w:abstractNum w:abstractNumId="6" w15:restartNumberingAfterBreak="0">
    <w:nsid w:val="770D073E"/>
    <w:multiLevelType w:val="hybridMultilevel"/>
    <w:tmpl w:val="EB9A09C6"/>
    <w:lvl w:ilvl="0" w:tplc="519EAF0A">
      <w:start w:val="1"/>
      <w:numFmt w:val="bullet"/>
      <w:lvlText w:val=""/>
      <w:lvlJc w:val="left"/>
      <w:pPr>
        <w:ind w:left="1080" w:hanging="360"/>
      </w:pPr>
      <w:rPr>
        <w:rFonts w:ascii="Symbol" w:hAnsi="Symbol"/>
      </w:rPr>
    </w:lvl>
    <w:lvl w:ilvl="1" w:tplc="9C04CF8E">
      <w:start w:val="1"/>
      <w:numFmt w:val="bullet"/>
      <w:lvlText w:val=""/>
      <w:lvlJc w:val="left"/>
      <w:pPr>
        <w:ind w:left="1080" w:hanging="360"/>
      </w:pPr>
      <w:rPr>
        <w:rFonts w:ascii="Symbol" w:hAnsi="Symbol"/>
      </w:rPr>
    </w:lvl>
    <w:lvl w:ilvl="2" w:tplc="1942675E">
      <w:start w:val="1"/>
      <w:numFmt w:val="bullet"/>
      <w:lvlText w:val=""/>
      <w:lvlJc w:val="left"/>
      <w:pPr>
        <w:ind w:left="1080" w:hanging="360"/>
      </w:pPr>
      <w:rPr>
        <w:rFonts w:ascii="Symbol" w:hAnsi="Symbol"/>
      </w:rPr>
    </w:lvl>
    <w:lvl w:ilvl="3" w:tplc="22987FBC">
      <w:start w:val="1"/>
      <w:numFmt w:val="bullet"/>
      <w:lvlText w:val=""/>
      <w:lvlJc w:val="left"/>
      <w:pPr>
        <w:ind w:left="1080" w:hanging="360"/>
      </w:pPr>
      <w:rPr>
        <w:rFonts w:ascii="Symbol" w:hAnsi="Symbol"/>
      </w:rPr>
    </w:lvl>
    <w:lvl w:ilvl="4" w:tplc="C114CAEC">
      <w:start w:val="1"/>
      <w:numFmt w:val="bullet"/>
      <w:lvlText w:val=""/>
      <w:lvlJc w:val="left"/>
      <w:pPr>
        <w:ind w:left="1080" w:hanging="360"/>
      </w:pPr>
      <w:rPr>
        <w:rFonts w:ascii="Symbol" w:hAnsi="Symbol"/>
      </w:rPr>
    </w:lvl>
    <w:lvl w:ilvl="5" w:tplc="444A3206">
      <w:start w:val="1"/>
      <w:numFmt w:val="bullet"/>
      <w:lvlText w:val=""/>
      <w:lvlJc w:val="left"/>
      <w:pPr>
        <w:ind w:left="1080" w:hanging="360"/>
      </w:pPr>
      <w:rPr>
        <w:rFonts w:ascii="Symbol" w:hAnsi="Symbol"/>
      </w:rPr>
    </w:lvl>
    <w:lvl w:ilvl="6" w:tplc="84C649D2">
      <w:start w:val="1"/>
      <w:numFmt w:val="bullet"/>
      <w:lvlText w:val=""/>
      <w:lvlJc w:val="left"/>
      <w:pPr>
        <w:ind w:left="1080" w:hanging="360"/>
      </w:pPr>
      <w:rPr>
        <w:rFonts w:ascii="Symbol" w:hAnsi="Symbol"/>
      </w:rPr>
    </w:lvl>
    <w:lvl w:ilvl="7" w:tplc="94EE1CC6">
      <w:start w:val="1"/>
      <w:numFmt w:val="bullet"/>
      <w:lvlText w:val=""/>
      <w:lvlJc w:val="left"/>
      <w:pPr>
        <w:ind w:left="1080" w:hanging="360"/>
      </w:pPr>
      <w:rPr>
        <w:rFonts w:ascii="Symbol" w:hAnsi="Symbol"/>
      </w:rPr>
    </w:lvl>
    <w:lvl w:ilvl="8" w:tplc="62F6E232">
      <w:start w:val="1"/>
      <w:numFmt w:val="bullet"/>
      <w:lvlText w:val=""/>
      <w:lvlJc w:val="left"/>
      <w:pPr>
        <w:ind w:left="1080" w:hanging="360"/>
      </w:pPr>
      <w:rPr>
        <w:rFonts w:ascii="Symbol" w:hAnsi="Symbol"/>
      </w:rPr>
    </w:lvl>
  </w:abstractNum>
  <w:abstractNum w:abstractNumId="7" w15:restartNumberingAfterBreak="0">
    <w:nsid w:val="7EA84269"/>
    <w:multiLevelType w:val="hybridMultilevel"/>
    <w:tmpl w:val="FCAABA5E"/>
    <w:lvl w:ilvl="0" w:tplc="229C234A">
      <w:start w:val="1"/>
      <w:numFmt w:val="bullet"/>
      <w:lvlText w:val=""/>
      <w:lvlJc w:val="left"/>
      <w:pPr>
        <w:ind w:left="1080" w:hanging="360"/>
      </w:pPr>
      <w:rPr>
        <w:rFonts w:ascii="Symbol" w:hAnsi="Symbol"/>
      </w:rPr>
    </w:lvl>
    <w:lvl w:ilvl="1" w:tplc="2BAE1336">
      <w:start w:val="1"/>
      <w:numFmt w:val="bullet"/>
      <w:lvlText w:val=""/>
      <w:lvlJc w:val="left"/>
      <w:pPr>
        <w:ind w:left="1080" w:hanging="360"/>
      </w:pPr>
      <w:rPr>
        <w:rFonts w:ascii="Symbol" w:hAnsi="Symbol"/>
      </w:rPr>
    </w:lvl>
    <w:lvl w:ilvl="2" w:tplc="3D961AA8">
      <w:start w:val="1"/>
      <w:numFmt w:val="bullet"/>
      <w:lvlText w:val=""/>
      <w:lvlJc w:val="left"/>
      <w:pPr>
        <w:ind w:left="1080" w:hanging="360"/>
      </w:pPr>
      <w:rPr>
        <w:rFonts w:ascii="Symbol" w:hAnsi="Symbol"/>
      </w:rPr>
    </w:lvl>
    <w:lvl w:ilvl="3" w:tplc="E0383F72">
      <w:start w:val="1"/>
      <w:numFmt w:val="bullet"/>
      <w:lvlText w:val=""/>
      <w:lvlJc w:val="left"/>
      <w:pPr>
        <w:ind w:left="1080" w:hanging="360"/>
      </w:pPr>
      <w:rPr>
        <w:rFonts w:ascii="Symbol" w:hAnsi="Symbol"/>
      </w:rPr>
    </w:lvl>
    <w:lvl w:ilvl="4" w:tplc="5E543952">
      <w:start w:val="1"/>
      <w:numFmt w:val="bullet"/>
      <w:lvlText w:val=""/>
      <w:lvlJc w:val="left"/>
      <w:pPr>
        <w:ind w:left="1080" w:hanging="360"/>
      </w:pPr>
      <w:rPr>
        <w:rFonts w:ascii="Symbol" w:hAnsi="Symbol"/>
      </w:rPr>
    </w:lvl>
    <w:lvl w:ilvl="5" w:tplc="55F4E03C">
      <w:start w:val="1"/>
      <w:numFmt w:val="bullet"/>
      <w:lvlText w:val=""/>
      <w:lvlJc w:val="left"/>
      <w:pPr>
        <w:ind w:left="1080" w:hanging="360"/>
      </w:pPr>
      <w:rPr>
        <w:rFonts w:ascii="Symbol" w:hAnsi="Symbol"/>
      </w:rPr>
    </w:lvl>
    <w:lvl w:ilvl="6" w:tplc="EE667DB2">
      <w:start w:val="1"/>
      <w:numFmt w:val="bullet"/>
      <w:lvlText w:val=""/>
      <w:lvlJc w:val="left"/>
      <w:pPr>
        <w:ind w:left="1080" w:hanging="360"/>
      </w:pPr>
      <w:rPr>
        <w:rFonts w:ascii="Symbol" w:hAnsi="Symbol"/>
      </w:rPr>
    </w:lvl>
    <w:lvl w:ilvl="7" w:tplc="7AB4C1B4">
      <w:start w:val="1"/>
      <w:numFmt w:val="bullet"/>
      <w:lvlText w:val=""/>
      <w:lvlJc w:val="left"/>
      <w:pPr>
        <w:ind w:left="1080" w:hanging="360"/>
      </w:pPr>
      <w:rPr>
        <w:rFonts w:ascii="Symbol" w:hAnsi="Symbol"/>
      </w:rPr>
    </w:lvl>
    <w:lvl w:ilvl="8" w:tplc="B70241D0">
      <w:start w:val="1"/>
      <w:numFmt w:val="bullet"/>
      <w:lvlText w:val=""/>
      <w:lvlJc w:val="left"/>
      <w:pPr>
        <w:ind w:left="1080" w:hanging="360"/>
      </w:pPr>
      <w:rPr>
        <w:rFonts w:ascii="Symbol" w:hAnsi="Symbol"/>
      </w:rPr>
    </w:lvl>
  </w:abstractNum>
  <w:num w:numId="1" w16cid:durableId="1713731153">
    <w:abstractNumId w:val="4"/>
  </w:num>
  <w:num w:numId="2" w16cid:durableId="173501802">
    <w:abstractNumId w:val="1"/>
  </w:num>
  <w:num w:numId="3" w16cid:durableId="31268569">
    <w:abstractNumId w:val="2"/>
  </w:num>
  <w:num w:numId="4" w16cid:durableId="383524140">
    <w:abstractNumId w:val="7"/>
  </w:num>
  <w:num w:numId="5" w16cid:durableId="53817382">
    <w:abstractNumId w:val="3"/>
  </w:num>
  <w:num w:numId="6" w16cid:durableId="311060478">
    <w:abstractNumId w:val="6"/>
  </w:num>
  <w:num w:numId="7" w16cid:durableId="1259215408">
    <w:abstractNumId w:val="5"/>
  </w:num>
  <w:num w:numId="8" w16cid:durableId="4790034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F3F"/>
    <w:rsid w:val="00035DCA"/>
    <w:rsid w:val="0003633B"/>
    <w:rsid w:val="000444B8"/>
    <w:rsid w:val="000477E5"/>
    <w:rsid w:val="00051EBA"/>
    <w:rsid w:val="0006280C"/>
    <w:rsid w:val="0007651C"/>
    <w:rsid w:val="0019458D"/>
    <w:rsid w:val="0019691E"/>
    <w:rsid w:val="001D6512"/>
    <w:rsid w:val="00201FFD"/>
    <w:rsid w:val="00276587"/>
    <w:rsid w:val="00341AA0"/>
    <w:rsid w:val="00345F88"/>
    <w:rsid w:val="00386505"/>
    <w:rsid w:val="003C0128"/>
    <w:rsid w:val="003C3DDE"/>
    <w:rsid w:val="003C76C4"/>
    <w:rsid w:val="00402094"/>
    <w:rsid w:val="00422247"/>
    <w:rsid w:val="00424F6B"/>
    <w:rsid w:val="00426FEE"/>
    <w:rsid w:val="00427C1F"/>
    <w:rsid w:val="00434E92"/>
    <w:rsid w:val="004C10B3"/>
    <w:rsid w:val="00533CA1"/>
    <w:rsid w:val="005555C2"/>
    <w:rsid w:val="00555A3A"/>
    <w:rsid w:val="00571E0F"/>
    <w:rsid w:val="00591326"/>
    <w:rsid w:val="005B36D2"/>
    <w:rsid w:val="005C3BB8"/>
    <w:rsid w:val="005E4D60"/>
    <w:rsid w:val="005F0413"/>
    <w:rsid w:val="005F7998"/>
    <w:rsid w:val="0061325D"/>
    <w:rsid w:val="00622B2A"/>
    <w:rsid w:val="006436CD"/>
    <w:rsid w:val="006E0814"/>
    <w:rsid w:val="006E7D11"/>
    <w:rsid w:val="00715D83"/>
    <w:rsid w:val="00730DFB"/>
    <w:rsid w:val="00755B1E"/>
    <w:rsid w:val="00764312"/>
    <w:rsid w:val="00775F3F"/>
    <w:rsid w:val="00812CF0"/>
    <w:rsid w:val="00853880"/>
    <w:rsid w:val="0088105A"/>
    <w:rsid w:val="008973B4"/>
    <w:rsid w:val="008B5F42"/>
    <w:rsid w:val="008E25F3"/>
    <w:rsid w:val="008E5F9A"/>
    <w:rsid w:val="008F6D20"/>
    <w:rsid w:val="00937BC2"/>
    <w:rsid w:val="00971C11"/>
    <w:rsid w:val="00A02A34"/>
    <w:rsid w:val="00A113F3"/>
    <w:rsid w:val="00A72831"/>
    <w:rsid w:val="00AB7357"/>
    <w:rsid w:val="00AC04A3"/>
    <w:rsid w:val="00B01370"/>
    <w:rsid w:val="00B50807"/>
    <w:rsid w:val="00B91B7C"/>
    <w:rsid w:val="00BC173D"/>
    <w:rsid w:val="00C038F2"/>
    <w:rsid w:val="00C4597F"/>
    <w:rsid w:val="00D335EB"/>
    <w:rsid w:val="00D84712"/>
    <w:rsid w:val="00D92497"/>
    <w:rsid w:val="00E0056A"/>
    <w:rsid w:val="00E33E9E"/>
    <w:rsid w:val="00EA11F6"/>
    <w:rsid w:val="00EA3D02"/>
    <w:rsid w:val="00EB7994"/>
    <w:rsid w:val="00F7359C"/>
    <w:rsid w:val="00F844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E7673"/>
  <w15:chartTrackingRefBased/>
  <w15:docId w15:val="{71A67A30-5CD6-410C-9D0B-77AC2C5E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7D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5F3F"/>
    <w:rPr>
      <w:b/>
      <w:bCs/>
    </w:rPr>
  </w:style>
  <w:style w:type="character" w:customStyle="1" w:styleId="Heading1Char">
    <w:name w:val="Heading 1 Char"/>
    <w:basedOn w:val="DefaultParagraphFont"/>
    <w:link w:val="Heading1"/>
    <w:uiPriority w:val="9"/>
    <w:rsid w:val="006E7D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7D1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30DFB"/>
    <w:pPr>
      <w:spacing w:after="0" w:line="240" w:lineRule="auto"/>
    </w:pPr>
  </w:style>
  <w:style w:type="character" w:styleId="Hyperlink">
    <w:name w:val="Hyperlink"/>
    <w:basedOn w:val="DefaultParagraphFont"/>
    <w:uiPriority w:val="99"/>
    <w:unhideWhenUsed/>
    <w:rsid w:val="003C0128"/>
    <w:rPr>
      <w:color w:val="0563C1" w:themeColor="hyperlink"/>
      <w:u w:val="single"/>
    </w:rPr>
  </w:style>
  <w:style w:type="paragraph" w:styleId="NormalWeb">
    <w:name w:val="Normal (Web)"/>
    <w:basedOn w:val="Normal"/>
    <w:uiPriority w:val="99"/>
    <w:unhideWhenUsed/>
    <w:rsid w:val="003C012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FollowedHyperlink">
    <w:name w:val="FollowedHyperlink"/>
    <w:basedOn w:val="DefaultParagraphFont"/>
    <w:uiPriority w:val="99"/>
    <w:semiHidden/>
    <w:unhideWhenUsed/>
    <w:rsid w:val="003C0128"/>
    <w:rPr>
      <w:color w:val="954F72" w:themeColor="followedHyperlink"/>
      <w:u w:val="single"/>
    </w:rPr>
  </w:style>
  <w:style w:type="character" w:styleId="CommentReference">
    <w:name w:val="annotation reference"/>
    <w:basedOn w:val="DefaultParagraphFont"/>
    <w:uiPriority w:val="99"/>
    <w:semiHidden/>
    <w:unhideWhenUsed/>
    <w:rsid w:val="00D92497"/>
    <w:rPr>
      <w:sz w:val="16"/>
      <w:szCs w:val="16"/>
    </w:rPr>
  </w:style>
  <w:style w:type="paragraph" w:styleId="CommentText">
    <w:name w:val="annotation text"/>
    <w:basedOn w:val="Normal"/>
    <w:link w:val="CommentTextChar"/>
    <w:uiPriority w:val="99"/>
    <w:unhideWhenUsed/>
    <w:rsid w:val="00D92497"/>
    <w:pPr>
      <w:spacing w:line="240" w:lineRule="auto"/>
    </w:pPr>
    <w:rPr>
      <w:sz w:val="20"/>
      <w:szCs w:val="20"/>
    </w:rPr>
  </w:style>
  <w:style w:type="character" w:customStyle="1" w:styleId="CommentTextChar">
    <w:name w:val="Comment Text Char"/>
    <w:basedOn w:val="DefaultParagraphFont"/>
    <w:link w:val="CommentText"/>
    <w:uiPriority w:val="99"/>
    <w:rsid w:val="00D92497"/>
    <w:rPr>
      <w:sz w:val="20"/>
      <w:szCs w:val="20"/>
    </w:rPr>
  </w:style>
  <w:style w:type="paragraph" w:styleId="CommentSubject">
    <w:name w:val="annotation subject"/>
    <w:basedOn w:val="CommentText"/>
    <w:next w:val="CommentText"/>
    <w:link w:val="CommentSubjectChar"/>
    <w:uiPriority w:val="99"/>
    <w:semiHidden/>
    <w:unhideWhenUsed/>
    <w:rsid w:val="00D92497"/>
    <w:rPr>
      <w:b/>
      <w:bCs/>
    </w:rPr>
  </w:style>
  <w:style w:type="character" w:customStyle="1" w:styleId="CommentSubjectChar">
    <w:name w:val="Comment Subject Char"/>
    <w:basedOn w:val="CommentTextChar"/>
    <w:link w:val="CommentSubject"/>
    <w:uiPriority w:val="99"/>
    <w:semiHidden/>
    <w:rsid w:val="00D92497"/>
    <w:rPr>
      <w:b/>
      <w:bCs/>
      <w:sz w:val="20"/>
      <w:szCs w:val="20"/>
    </w:rPr>
  </w:style>
  <w:style w:type="character" w:styleId="UnresolvedMention">
    <w:name w:val="Unresolved Mention"/>
    <w:basedOn w:val="DefaultParagraphFont"/>
    <w:uiPriority w:val="99"/>
    <w:semiHidden/>
    <w:unhideWhenUsed/>
    <w:rsid w:val="0042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2756">
      <w:bodyDiv w:val="1"/>
      <w:marLeft w:val="0"/>
      <w:marRight w:val="0"/>
      <w:marTop w:val="0"/>
      <w:marBottom w:val="0"/>
      <w:divBdr>
        <w:top w:val="none" w:sz="0" w:space="0" w:color="auto"/>
        <w:left w:val="none" w:sz="0" w:space="0" w:color="auto"/>
        <w:bottom w:val="none" w:sz="0" w:space="0" w:color="auto"/>
        <w:right w:val="none" w:sz="0" w:space="0" w:color="auto"/>
      </w:divBdr>
    </w:div>
    <w:div w:id="395858921">
      <w:bodyDiv w:val="1"/>
      <w:marLeft w:val="0"/>
      <w:marRight w:val="0"/>
      <w:marTop w:val="0"/>
      <w:marBottom w:val="0"/>
      <w:divBdr>
        <w:top w:val="none" w:sz="0" w:space="0" w:color="auto"/>
        <w:left w:val="none" w:sz="0" w:space="0" w:color="auto"/>
        <w:bottom w:val="none" w:sz="0" w:space="0" w:color="auto"/>
        <w:right w:val="none" w:sz="0" w:space="0" w:color="auto"/>
      </w:divBdr>
      <w:divsChild>
        <w:div w:id="1692604141">
          <w:marLeft w:val="-720"/>
          <w:marRight w:val="0"/>
          <w:marTop w:val="0"/>
          <w:marBottom w:val="0"/>
          <w:divBdr>
            <w:top w:val="none" w:sz="0" w:space="0" w:color="auto"/>
            <w:left w:val="none" w:sz="0" w:space="0" w:color="auto"/>
            <w:bottom w:val="none" w:sz="0" w:space="0" w:color="auto"/>
            <w:right w:val="none" w:sz="0" w:space="0" w:color="auto"/>
          </w:divBdr>
        </w:div>
      </w:divsChild>
    </w:div>
    <w:div w:id="490873026">
      <w:bodyDiv w:val="1"/>
      <w:marLeft w:val="0"/>
      <w:marRight w:val="0"/>
      <w:marTop w:val="0"/>
      <w:marBottom w:val="0"/>
      <w:divBdr>
        <w:top w:val="none" w:sz="0" w:space="0" w:color="auto"/>
        <w:left w:val="none" w:sz="0" w:space="0" w:color="auto"/>
        <w:bottom w:val="none" w:sz="0" w:space="0" w:color="auto"/>
        <w:right w:val="none" w:sz="0" w:space="0" w:color="auto"/>
      </w:divBdr>
      <w:divsChild>
        <w:div w:id="489685129">
          <w:marLeft w:val="-720"/>
          <w:marRight w:val="0"/>
          <w:marTop w:val="0"/>
          <w:marBottom w:val="0"/>
          <w:divBdr>
            <w:top w:val="none" w:sz="0" w:space="0" w:color="auto"/>
            <w:left w:val="none" w:sz="0" w:space="0" w:color="auto"/>
            <w:bottom w:val="none" w:sz="0" w:space="0" w:color="auto"/>
            <w:right w:val="none" w:sz="0" w:space="0" w:color="auto"/>
          </w:divBdr>
        </w:div>
      </w:divsChild>
    </w:div>
    <w:div w:id="1251543618">
      <w:bodyDiv w:val="1"/>
      <w:marLeft w:val="0"/>
      <w:marRight w:val="0"/>
      <w:marTop w:val="0"/>
      <w:marBottom w:val="0"/>
      <w:divBdr>
        <w:top w:val="none" w:sz="0" w:space="0" w:color="auto"/>
        <w:left w:val="none" w:sz="0" w:space="0" w:color="auto"/>
        <w:bottom w:val="none" w:sz="0" w:space="0" w:color="auto"/>
        <w:right w:val="none" w:sz="0" w:space="0" w:color="auto"/>
      </w:divBdr>
    </w:div>
    <w:div w:id="1378622510">
      <w:bodyDiv w:val="1"/>
      <w:marLeft w:val="0"/>
      <w:marRight w:val="0"/>
      <w:marTop w:val="0"/>
      <w:marBottom w:val="0"/>
      <w:divBdr>
        <w:top w:val="none" w:sz="0" w:space="0" w:color="auto"/>
        <w:left w:val="none" w:sz="0" w:space="0" w:color="auto"/>
        <w:bottom w:val="none" w:sz="0" w:space="0" w:color="auto"/>
        <w:right w:val="none" w:sz="0" w:space="0" w:color="auto"/>
      </w:divBdr>
      <w:divsChild>
        <w:div w:id="1134298908">
          <w:marLeft w:val="-720"/>
          <w:marRight w:val="0"/>
          <w:marTop w:val="0"/>
          <w:marBottom w:val="0"/>
          <w:divBdr>
            <w:top w:val="none" w:sz="0" w:space="0" w:color="auto"/>
            <w:left w:val="none" w:sz="0" w:space="0" w:color="auto"/>
            <w:bottom w:val="none" w:sz="0" w:space="0" w:color="auto"/>
            <w:right w:val="none" w:sz="0" w:space="0" w:color="auto"/>
          </w:divBdr>
        </w:div>
      </w:divsChild>
    </w:div>
    <w:div w:id="1480462277">
      <w:bodyDiv w:val="1"/>
      <w:marLeft w:val="0"/>
      <w:marRight w:val="0"/>
      <w:marTop w:val="0"/>
      <w:marBottom w:val="0"/>
      <w:divBdr>
        <w:top w:val="none" w:sz="0" w:space="0" w:color="auto"/>
        <w:left w:val="none" w:sz="0" w:space="0" w:color="auto"/>
        <w:bottom w:val="none" w:sz="0" w:space="0" w:color="auto"/>
        <w:right w:val="none" w:sz="0" w:space="0" w:color="auto"/>
      </w:divBdr>
      <w:divsChild>
        <w:div w:id="1963538912">
          <w:marLeft w:val="-720"/>
          <w:marRight w:val="0"/>
          <w:marTop w:val="0"/>
          <w:marBottom w:val="0"/>
          <w:divBdr>
            <w:top w:val="none" w:sz="0" w:space="0" w:color="auto"/>
            <w:left w:val="none" w:sz="0" w:space="0" w:color="auto"/>
            <w:bottom w:val="none" w:sz="0" w:space="0" w:color="auto"/>
            <w:right w:val="none" w:sz="0" w:space="0" w:color="auto"/>
          </w:divBdr>
        </w:div>
      </w:divsChild>
    </w:div>
    <w:div w:id="1679846561">
      <w:bodyDiv w:val="1"/>
      <w:marLeft w:val="0"/>
      <w:marRight w:val="0"/>
      <w:marTop w:val="0"/>
      <w:marBottom w:val="0"/>
      <w:divBdr>
        <w:top w:val="none" w:sz="0" w:space="0" w:color="auto"/>
        <w:left w:val="none" w:sz="0" w:space="0" w:color="auto"/>
        <w:bottom w:val="none" w:sz="0" w:space="0" w:color="auto"/>
        <w:right w:val="none" w:sz="0" w:space="0" w:color="auto"/>
      </w:divBdr>
      <w:divsChild>
        <w:div w:id="921526181">
          <w:marLeft w:val="-720"/>
          <w:marRight w:val="0"/>
          <w:marTop w:val="0"/>
          <w:marBottom w:val="0"/>
          <w:divBdr>
            <w:top w:val="none" w:sz="0" w:space="0" w:color="auto"/>
            <w:left w:val="none" w:sz="0" w:space="0" w:color="auto"/>
            <w:bottom w:val="none" w:sz="0" w:space="0" w:color="auto"/>
            <w:right w:val="none" w:sz="0" w:space="0" w:color="auto"/>
          </w:divBdr>
        </w:div>
      </w:divsChild>
    </w:div>
    <w:div w:id="18472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177/08850666231156589" TargetMode="External"/><Relationship Id="rId18" Type="http://schemas.openxmlformats.org/officeDocument/2006/relationships/hyperlink" Target="https://doi.org/10.1016/j.annemergmed.2013.01.010" TargetMode="External"/><Relationship Id="rId26" Type="http://schemas.openxmlformats.org/officeDocument/2006/relationships/hyperlink" Target="https://doi.org/10.3390/life13101979.%20Accessed%2022%20Jan.%202024" TargetMode="External"/><Relationship Id="rId3" Type="http://schemas.openxmlformats.org/officeDocument/2006/relationships/customXml" Target="../customXml/item3.xml"/><Relationship Id="rId21" Type="http://schemas.openxmlformats.org/officeDocument/2006/relationships/hyperlink" Target="https://doi.org/10.1016/j.ultrasmedbio.2023.05.011" TargetMode="External"/><Relationship Id="rId7" Type="http://schemas.openxmlformats.org/officeDocument/2006/relationships/webSettings" Target="webSettings.xml"/><Relationship Id="rId12" Type="http://schemas.openxmlformats.org/officeDocument/2006/relationships/hyperlink" Target="https://doi.org/10.1371/journal.pone.0280937.%20Accessed%202%20Apr.%202023" TargetMode="External"/><Relationship Id="rId17" Type="http://schemas.openxmlformats.org/officeDocument/2006/relationships/hyperlink" Target="https://doi.org/10.1007/s00381-016-3143-x" TargetMode="External"/><Relationship Id="rId25" Type="http://schemas.openxmlformats.org/officeDocument/2006/relationships/hyperlink" Target="http://www.ncbi.nlm.nih.gov/books/NBK459120/" TargetMode="External"/><Relationship Id="rId2" Type="http://schemas.openxmlformats.org/officeDocument/2006/relationships/customXml" Target="../customXml/item2.xml"/><Relationship Id="rId16" Type="http://schemas.openxmlformats.org/officeDocument/2006/relationships/hyperlink" Target="http://www.ncbi.nlm.nih.gov/books/NBK482119/" TargetMode="External"/><Relationship Id="rId20" Type="http://schemas.openxmlformats.org/officeDocument/2006/relationships/hyperlink" Target="https://doi.org/10.1002/jmrs.369" TargetMode="External"/><Relationship Id="rId29" Type="http://schemas.openxmlformats.org/officeDocument/2006/relationships/hyperlink" Target="http://www.researchgate.net/publication/344379869_Validity_and_Reliability_in_Quantitative_Resear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hyperlink" Target="http://www.ncbi.nlm.nih.gov/books/NBK538295/"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1136/jnnp.73.suppl_1.i23" TargetMode="External"/><Relationship Id="rId23" Type="http://schemas.openxmlformats.org/officeDocument/2006/relationships/hyperlink" Target="http://www.ncbi.nlm.nih.gov/books/NBK554479/" TargetMode="External"/><Relationship Id="rId28" Type="http://schemas.openxmlformats.org/officeDocument/2006/relationships/hyperlink" Target="https://doi.org/10.3390/sym11091066" TargetMode="External"/><Relationship Id="rId10" Type="http://schemas.microsoft.com/office/2016/09/relationships/commentsIds" Target="commentsIds.xml"/><Relationship Id="rId19" Type="http://schemas.openxmlformats.org/officeDocument/2006/relationships/hyperlink" Target="https://doi.org/10.7196/samj.8158" TargetMode="External"/><Relationship Id="rId31" Type="http://schemas.microsoft.com/office/2011/relationships/people" Target="people.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doi.org/10.1212/cpj.0000000000000115" TargetMode="External"/><Relationship Id="rId22" Type="http://schemas.openxmlformats.org/officeDocument/2006/relationships/hyperlink" Target="https://doi.org/10.1109/ius52206.2021.9593827" TargetMode="External"/><Relationship Id="rId27" Type="http://schemas.openxmlformats.org/officeDocument/2006/relationships/hyperlink" Target="https://doi.org/10.1016/j.jmu.2015.11.00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212070-2543-4DA9-AA6A-80AE825E11E7}">
  <ds:schemaRefs>
    <ds:schemaRef ds:uri="http://schemas.microsoft.com/office/2006/documentManagement/types"/>
    <ds:schemaRef ds:uri="http://purl.org/dc/elements/1.1/"/>
    <ds:schemaRef ds:uri="http://schemas.microsoft.com/office/2006/metadata/properties"/>
    <ds:schemaRef ds:uri="http://purl.org/dc/terms/"/>
    <ds:schemaRef ds:uri="http://schemas.microsoft.com/office/infopath/2007/PartnerControls"/>
    <ds:schemaRef ds:uri="84e45b98-9724-46df-936f-ec42a4cf951b"/>
    <ds:schemaRef ds:uri="http://schemas.openxmlformats.org/package/2006/metadata/core-properties"/>
    <ds:schemaRef ds:uri="6d0ea381-1626-4603-a356-2e0ae14a7169"/>
    <ds:schemaRef ds:uri="http://www.w3.org/XML/1998/namespace"/>
    <ds:schemaRef ds:uri="http://purl.org/dc/dcmitype/"/>
  </ds:schemaRefs>
</ds:datastoreItem>
</file>

<file path=customXml/itemProps2.xml><?xml version="1.0" encoding="utf-8"?>
<ds:datastoreItem xmlns:ds="http://schemas.openxmlformats.org/officeDocument/2006/customXml" ds:itemID="{FD627D7A-5337-4D73-90B8-4D28D055CE3A}">
  <ds:schemaRefs>
    <ds:schemaRef ds:uri="http://schemas.microsoft.com/sharepoint/v3/contenttype/forms"/>
  </ds:schemaRefs>
</ds:datastoreItem>
</file>

<file path=customXml/itemProps3.xml><?xml version="1.0" encoding="utf-8"?>
<ds:datastoreItem xmlns:ds="http://schemas.openxmlformats.org/officeDocument/2006/customXml" ds:itemID="{F93F3BD7-FFA3-45B6-9052-98D1DC2E3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2332</Words>
  <Characters>16106</Characters>
  <Application>Microsoft Office Word</Application>
  <DocSecurity>4</DocSecurity>
  <Lines>268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Parker</dc:creator>
  <cp:keywords/>
  <dc:description/>
  <cp:lastModifiedBy>Craig Parker</cp:lastModifiedBy>
  <cp:revision>2</cp:revision>
  <dcterms:created xsi:type="dcterms:W3CDTF">2024-01-23T19:54:00Z</dcterms:created>
  <dcterms:modified xsi:type="dcterms:W3CDTF">2024-01-23T19:54:00Z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1e7ca8f5-5a7a-4b5a-8abf-b95b2e53945f</vt:lpwstr>
  </property>
  <property fmtid="{D5CDD505-2E9C-101B-9397-08002B2CF9AE}" pid="3" name="ContentTypeId">
    <vt:lpwstr>0x0101006CDDA926EB07344AB32891125AAEC5BC</vt:lpwstr>
  </property>
</Properties>
</file>