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Debitis consequatur ,</w:t>
      </w:r>
      <w:r>
        <w:t>identificado con DNI N°</w:t>
      </w:r>
      <w:r w:rsidR="00750486">
        <w:t xml:space="preserve"> Facere minim ea iust</w:t>
      </w:r>
      <w:r>
        <w:t xml:space="preserve">, con domicilio en </w:t>
      </w:r>
      <w:r w:rsidR="00750486">
        <w:t>Quia minima dolores</w:t>
      </w:r>
      <w:r>
        <w:t xml:space="preserve">, Distrito </w:t>
      </w:r>
      <w:r w:rsidR="00A56C8F">
        <w:t xml:space="preserve"> Velit quae dolor qu</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Commodo et ex esse</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