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7472"/>
      </w:tblGrid>
      <w:tr w:rsidR="00354468" w:rsidRPr="0048121B" w14:paraId="3886E18B" w14:textId="77777777" w:rsidTr="00A90693">
        <w:tc>
          <w:tcPr>
            <w:tcW w:w="3256" w:type="dxa"/>
            <w:shd w:val="clear" w:color="auto" w:fill="B8CCE4"/>
          </w:tcPr>
          <w:p w14:paraId="547D3EED" w14:textId="77777777" w:rsidR="00354468" w:rsidRPr="0048121B" w:rsidRDefault="00354468" w:rsidP="0023584C">
            <w:pPr>
              <w:spacing w:line="360" w:lineRule="auto"/>
              <w:jc w:val="both"/>
              <w:rPr>
                <w:rFonts w:asciiTheme="minorHAnsi" w:hAnsiTheme="minorHAnsi" w:cstheme="minorHAnsi"/>
                <w:b/>
                <w:bCs/>
                <w:sz w:val="24"/>
                <w:szCs w:val="24"/>
              </w:rPr>
            </w:pPr>
            <w:r w:rsidRPr="0048121B">
              <w:rPr>
                <w:rFonts w:asciiTheme="minorHAnsi" w:hAnsiTheme="minorHAnsi" w:cstheme="minorHAnsi"/>
                <w:b/>
                <w:bCs/>
                <w:sz w:val="24"/>
                <w:szCs w:val="24"/>
              </w:rPr>
              <w:t xml:space="preserve">Reference source </w:t>
            </w:r>
          </w:p>
        </w:tc>
        <w:tc>
          <w:tcPr>
            <w:tcW w:w="7472" w:type="dxa"/>
          </w:tcPr>
          <w:p w14:paraId="63E3E2F6" w14:textId="77777777" w:rsidR="00354468" w:rsidRPr="0048121B" w:rsidRDefault="00354468" w:rsidP="00354468">
            <w:pPr>
              <w:spacing w:line="360" w:lineRule="auto"/>
              <w:jc w:val="both"/>
              <w:rPr>
                <w:rFonts w:asciiTheme="minorHAnsi" w:eastAsia="MS Mincho" w:hAnsiTheme="minorHAnsi" w:cstheme="minorHAnsi"/>
                <w:b/>
                <w:bCs/>
                <w:sz w:val="24"/>
                <w:szCs w:val="24"/>
              </w:rPr>
            </w:pPr>
            <w:r w:rsidRPr="0048121B">
              <w:rPr>
                <w:rFonts w:asciiTheme="minorHAnsi" w:eastAsia="MS Mincho" w:hAnsiTheme="minorHAnsi" w:cstheme="minorHAnsi"/>
                <w:b/>
                <w:bCs/>
                <w:sz w:val="24"/>
                <w:szCs w:val="24"/>
              </w:rPr>
              <w:t xml:space="preserve">BRC Global Standard for Packaging and Packaging Materials </w:t>
            </w:r>
          </w:p>
        </w:tc>
      </w:tr>
      <w:tr w:rsidR="00E827CC" w:rsidRPr="0048121B" w14:paraId="7DEC05D6" w14:textId="77777777" w:rsidTr="00A90693">
        <w:tc>
          <w:tcPr>
            <w:tcW w:w="3256" w:type="dxa"/>
            <w:shd w:val="clear" w:color="auto" w:fill="B8CCE4"/>
          </w:tcPr>
          <w:p w14:paraId="298753BC" w14:textId="77777777" w:rsidR="00E827CC" w:rsidRPr="0048121B" w:rsidRDefault="00E827CC" w:rsidP="0023584C">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Manufacturer:</w:t>
            </w:r>
          </w:p>
        </w:tc>
        <w:tc>
          <w:tcPr>
            <w:tcW w:w="7472" w:type="dxa"/>
          </w:tcPr>
          <w:p w14:paraId="47A41CA7" w14:textId="77777777" w:rsidR="00E827CC" w:rsidRPr="0048121B" w:rsidRDefault="004732D1" w:rsidP="0023584C">
            <w:pPr>
              <w:spacing w:line="360" w:lineRule="auto"/>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GUJARAT PRINT PACK PUBLICATION PRIVATE LIMITED</w:t>
            </w:r>
          </w:p>
        </w:tc>
      </w:tr>
      <w:tr w:rsidR="00E827CC" w:rsidRPr="0048121B" w14:paraId="773007F6" w14:textId="77777777" w:rsidTr="00A90693">
        <w:tc>
          <w:tcPr>
            <w:tcW w:w="3256" w:type="dxa"/>
            <w:shd w:val="clear" w:color="auto" w:fill="B8CCE4"/>
          </w:tcPr>
          <w:p w14:paraId="62A8D468" w14:textId="77777777" w:rsidR="00E827CC" w:rsidRPr="0048121B" w:rsidRDefault="00E827CC" w:rsidP="0023584C">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Address:</w:t>
            </w:r>
          </w:p>
        </w:tc>
        <w:tc>
          <w:tcPr>
            <w:tcW w:w="7472" w:type="dxa"/>
          </w:tcPr>
          <w:p w14:paraId="01E988C1" w14:textId="77777777" w:rsidR="00E827CC" w:rsidRPr="0048121B" w:rsidRDefault="00E925B9" w:rsidP="0023584C">
            <w:pPr>
              <w:spacing w:line="360" w:lineRule="auto"/>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308,309, G.I.D.C. Estate, At Dediyasan, Mehsana – 384002, Gujarat, India</w:t>
            </w:r>
          </w:p>
        </w:tc>
      </w:tr>
      <w:tr w:rsidR="00917608" w:rsidRPr="0048121B" w14:paraId="078D7342" w14:textId="77777777" w:rsidTr="00442DB1">
        <w:tc>
          <w:tcPr>
            <w:tcW w:w="3256" w:type="dxa"/>
            <w:shd w:val="clear" w:color="auto" w:fill="B8CCE4"/>
          </w:tcPr>
          <w:p w14:paraId="08AE5CE3" w14:textId="77777777" w:rsidR="00917608" w:rsidRPr="0048121B" w:rsidRDefault="00917608" w:rsidP="00917608">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Product:</w:t>
            </w:r>
          </w:p>
        </w:tc>
        <w:tc>
          <w:tcPr>
            <w:tcW w:w="7472" w:type="dxa"/>
          </w:tcPr>
          <w:p w14:paraId="242E25E4"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Flexo Printed &amp; Unlaminated Flexible Packaging materials in roll form &amp; pouch form</w:t>
            </w:r>
          </w:p>
          <w:p w14:paraId="197062DD"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Flexo Printed &amp; Solvent base laminated Flexible Packaging materials in roll form &amp; pouch form</w:t>
            </w:r>
          </w:p>
        </w:tc>
      </w:tr>
      <w:tr w:rsidR="00917608" w:rsidRPr="0048121B" w14:paraId="0B6ABDB7" w14:textId="77777777" w:rsidTr="00DE0066">
        <w:tc>
          <w:tcPr>
            <w:tcW w:w="3256" w:type="dxa"/>
            <w:shd w:val="clear" w:color="auto" w:fill="B8CCE4"/>
          </w:tcPr>
          <w:p w14:paraId="588B5C94" w14:textId="77777777" w:rsidR="00917608" w:rsidRPr="0048121B" w:rsidRDefault="00917608" w:rsidP="00917608">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Raw materials used</w:t>
            </w:r>
          </w:p>
        </w:tc>
        <w:tc>
          <w:tcPr>
            <w:tcW w:w="7472" w:type="dxa"/>
          </w:tcPr>
          <w:p w14:paraId="756B7D0B"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Films – BOPP, METALIZED FILMS, PEARLISED BOPP, MATT FINISH FILMS, POLYSTER FILMS</w:t>
            </w:r>
          </w:p>
          <w:p w14:paraId="37A902B0"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 xml:space="preserve">Aluminium Foils </w:t>
            </w:r>
          </w:p>
          <w:p w14:paraId="69D8DECB"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 xml:space="preserve">Ink </w:t>
            </w:r>
          </w:p>
          <w:p w14:paraId="3FE80F2D"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 xml:space="preserve">Solvents – Ethyl acetate </w:t>
            </w:r>
          </w:p>
          <w:p w14:paraId="449B0DBC" w14:textId="77777777" w:rsidR="00917608" w:rsidRPr="0048121B" w:rsidRDefault="00917608" w:rsidP="00917608">
            <w:pPr>
              <w:numPr>
                <w:ilvl w:val="0"/>
                <w:numId w:val="14"/>
              </w:numPr>
              <w:spacing w:line="360" w:lineRule="auto"/>
              <w:ind w:left="292" w:hanging="292"/>
              <w:jc w:val="both"/>
              <w:rPr>
                <w:rFonts w:asciiTheme="minorHAnsi" w:hAnsiTheme="minorHAnsi" w:cstheme="minorHAnsi"/>
                <w:sz w:val="24"/>
                <w:szCs w:val="24"/>
              </w:rPr>
            </w:pPr>
            <w:r w:rsidRPr="0048121B">
              <w:rPr>
                <w:rFonts w:asciiTheme="minorHAnsi" w:hAnsiTheme="minorHAnsi" w:cstheme="minorHAnsi"/>
                <w:sz w:val="24"/>
                <w:szCs w:val="24"/>
              </w:rPr>
              <w:t>Adhesive &amp; Hardener</w:t>
            </w:r>
          </w:p>
        </w:tc>
      </w:tr>
      <w:tr w:rsidR="00057636" w:rsidRPr="0048121B" w14:paraId="63C55B6E" w14:textId="77777777" w:rsidTr="00A90693">
        <w:tc>
          <w:tcPr>
            <w:tcW w:w="3256" w:type="dxa"/>
            <w:shd w:val="clear" w:color="auto" w:fill="B8CCE4"/>
          </w:tcPr>
          <w:p w14:paraId="18FCD5D9"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Manufacturing process</w:t>
            </w:r>
          </w:p>
        </w:tc>
        <w:tc>
          <w:tcPr>
            <w:tcW w:w="7472" w:type="dxa"/>
          </w:tcPr>
          <w:p w14:paraId="36A49A6F"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 xml:space="preserve">Printing (Flexo), </w:t>
            </w:r>
            <w:r w:rsidR="00917608" w:rsidRPr="0048121B">
              <w:rPr>
                <w:rFonts w:asciiTheme="minorHAnsi" w:hAnsiTheme="minorHAnsi" w:cstheme="minorHAnsi"/>
                <w:sz w:val="24"/>
                <w:szCs w:val="24"/>
              </w:rPr>
              <w:t>Lamination - solvent based), Slitting &amp; Pouching</w:t>
            </w:r>
          </w:p>
        </w:tc>
      </w:tr>
      <w:tr w:rsidR="00057636" w:rsidRPr="0048121B" w14:paraId="1330DFBB" w14:textId="77777777" w:rsidTr="00A90693">
        <w:tc>
          <w:tcPr>
            <w:tcW w:w="3256" w:type="dxa"/>
            <w:shd w:val="clear" w:color="auto" w:fill="B8CCE4"/>
          </w:tcPr>
          <w:p w14:paraId="25517343"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 xml:space="preserve">Subcontracted / Outsource manufacturing </w:t>
            </w:r>
          </w:p>
        </w:tc>
        <w:tc>
          <w:tcPr>
            <w:tcW w:w="7472" w:type="dxa"/>
          </w:tcPr>
          <w:p w14:paraId="40BFA52F"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Nil</w:t>
            </w:r>
          </w:p>
        </w:tc>
      </w:tr>
      <w:tr w:rsidR="00057636" w:rsidRPr="0048121B" w14:paraId="552B43BB" w14:textId="77777777" w:rsidTr="00A90693">
        <w:tc>
          <w:tcPr>
            <w:tcW w:w="3256" w:type="dxa"/>
            <w:shd w:val="clear" w:color="auto" w:fill="B8CCE4"/>
          </w:tcPr>
          <w:p w14:paraId="5503D2BD" w14:textId="77777777" w:rsidR="00057636" w:rsidRPr="0048121B" w:rsidRDefault="00057636"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Function or known uses:</w:t>
            </w:r>
          </w:p>
        </w:tc>
        <w:tc>
          <w:tcPr>
            <w:tcW w:w="7472" w:type="dxa"/>
          </w:tcPr>
          <w:p w14:paraId="0EB87348" w14:textId="77777777" w:rsidR="00917608" w:rsidRPr="0048121B" w:rsidRDefault="00917608" w:rsidP="00057636">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Flexible packaging materials in roll forms as well as Pouch forms are being used by as primary packing / product contact materials for FMCG, Pharma, Food industries, Cosmetic, Chemicals etc.</w:t>
            </w:r>
          </w:p>
        </w:tc>
      </w:tr>
      <w:tr w:rsidR="0048121B" w:rsidRPr="0048121B" w14:paraId="3634661D" w14:textId="77777777" w:rsidTr="000B3DDA">
        <w:trPr>
          <w:trHeight w:val="879"/>
        </w:trPr>
        <w:tc>
          <w:tcPr>
            <w:tcW w:w="3256" w:type="dxa"/>
            <w:shd w:val="clear" w:color="auto" w:fill="B8CCE4"/>
          </w:tcPr>
          <w:p w14:paraId="77D24E12" w14:textId="77777777" w:rsidR="0048121B" w:rsidRPr="0048121B" w:rsidRDefault="0048121B" w:rsidP="0048121B">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Specification for use:</w:t>
            </w:r>
          </w:p>
          <w:p w14:paraId="5A0A1361" w14:textId="77777777" w:rsidR="0048121B" w:rsidRPr="0048121B" w:rsidRDefault="0048121B" w:rsidP="0048121B">
            <w:pPr>
              <w:spacing w:line="360" w:lineRule="auto"/>
              <w:rPr>
                <w:rFonts w:asciiTheme="minorHAnsi" w:hAnsiTheme="minorHAnsi" w:cstheme="minorHAnsi"/>
                <w:sz w:val="24"/>
                <w:szCs w:val="24"/>
              </w:rPr>
            </w:pPr>
          </w:p>
        </w:tc>
        <w:tc>
          <w:tcPr>
            <w:tcW w:w="7472" w:type="dxa"/>
          </w:tcPr>
          <w:p w14:paraId="4F966068" w14:textId="77777777" w:rsidR="0048121B" w:rsidRPr="0048121B" w:rsidRDefault="0048121B" w:rsidP="0048121B">
            <w:pPr>
              <w:numPr>
                <w:ilvl w:val="0"/>
                <w:numId w:val="13"/>
              </w:numPr>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Flexible packaging laminates can be used up to maximum 12 months from date of manufacturing if storage condition doesn’t exceed 50 degrees centigrade.</w:t>
            </w:r>
          </w:p>
          <w:p w14:paraId="56FD4C66" w14:textId="77777777" w:rsidR="0048121B" w:rsidRPr="0048121B" w:rsidRDefault="0048121B" w:rsidP="0048121B">
            <w:pPr>
              <w:numPr>
                <w:ilvl w:val="0"/>
                <w:numId w:val="13"/>
              </w:numPr>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Suitability of storage condition for packed products to be determined by packers.</w:t>
            </w:r>
          </w:p>
          <w:p w14:paraId="4E68BDFE" w14:textId="77777777" w:rsidR="0048121B" w:rsidRPr="0048121B" w:rsidRDefault="0048121B" w:rsidP="0048121B">
            <w:pPr>
              <w:numPr>
                <w:ilvl w:val="0"/>
                <w:numId w:val="13"/>
              </w:numPr>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Finish products (Rolls &amp; Pouches) shall not be used for further processing or packaging of the products by the customer, if found with any of the below mentioned conditions.</w:t>
            </w:r>
          </w:p>
          <w:p w14:paraId="234DAA6B" w14:textId="77777777" w:rsidR="0048121B" w:rsidRPr="0048121B" w:rsidRDefault="0048121B" w:rsidP="0048121B">
            <w:pPr>
              <w:widowControl/>
              <w:numPr>
                <w:ilvl w:val="0"/>
                <w:numId w:val="12"/>
              </w:numPr>
              <w:suppressAutoHyphens w:val="0"/>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Chemical contamination in the product as well as product packaging such as traces of any chemicals, oil or objectionable materials</w:t>
            </w:r>
          </w:p>
          <w:p w14:paraId="758F88FC" w14:textId="77777777" w:rsidR="0048121B" w:rsidRPr="0048121B" w:rsidRDefault="0048121B" w:rsidP="0048121B">
            <w:pPr>
              <w:widowControl/>
              <w:numPr>
                <w:ilvl w:val="0"/>
                <w:numId w:val="12"/>
              </w:numPr>
              <w:suppressAutoHyphens w:val="0"/>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Physical contamination in the products such as any non-product foreign matter found in the products</w:t>
            </w:r>
          </w:p>
          <w:p w14:paraId="1E871BA4" w14:textId="77777777" w:rsidR="0048121B" w:rsidRDefault="0048121B" w:rsidP="0048121B">
            <w:pPr>
              <w:widowControl/>
              <w:numPr>
                <w:ilvl w:val="0"/>
                <w:numId w:val="12"/>
              </w:numPr>
              <w:suppressAutoHyphens w:val="0"/>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Product packaging are damaged</w:t>
            </w:r>
          </w:p>
          <w:p w14:paraId="403C323A" w14:textId="77777777" w:rsidR="001E18BD" w:rsidRPr="001E18BD" w:rsidRDefault="001E18BD" w:rsidP="001E18BD">
            <w:pPr>
              <w:tabs>
                <w:tab w:val="left" w:pos="1219"/>
              </w:tabs>
              <w:rPr>
                <w:rFonts w:asciiTheme="minorHAnsi" w:hAnsiTheme="minorHAnsi" w:cstheme="minorHAnsi"/>
                <w:sz w:val="24"/>
                <w:szCs w:val="24"/>
              </w:rPr>
            </w:pPr>
            <w:r>
              <w:rPr>
                <w:rFonts w:asciiTheme="minorHAnsi" w:hAnsiTheme="minorHAnsi" w:cstheme="minorHAnsi"/>
                <w:sz w:val="24"/>
                <w:szCs w:val="24"/>
              </w:rPr>
              <w:lastRenderedPageBreak/>
              <w:tab/>
            </w:r>
          </w:p>
          <w:p w14:paraId="605FB821" w14:textId="77777777" w:rsidR="0048121B" w:rsidRPr="0048121B" w:rsidRDefault="0048121B" w:rsidP="0048121B">
            <w:pPr>
              <w:widowControl/>
              <w:numPr>
                <w:ilvl w:val="0"/>
                <w:numId w:val="12"/>
              </w:numPr>
              <w:suppressAutoHyphens w:val="0"/>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Products are damaged during transportation</w:t>
            </w:r>
          </w:p>
          <w:p w14:paraId="5327BAC1" w14:textId="77777777" w:rsidR="0048121B" w:rsidRPr="0048121B" w:rsidRDefault="0048121B" w:rsidP="0048121B">
            <w:pPr>
              <w:numPr>
                <w:ilvl w:val="0"/>
                <w:numId w:val="13"/>
              </w:numPr>
              <w:spacing w:line="360" w:lineRule="auto"/>
              <w:ind w:left="292" w:hanging="283"/>
              <w:jc w:val="both"/>
              <w:rPr>
                <w:rFonts w:asciiTheme="minorHAnsi" w:hAnsiTheme="minorHAnsi" w:cstheme="minorHAnsi"/>
                <w:sz w:val="24"/>
                <w:szCs w:val="24"/>
              </w:rPr>
            </w:pPr>
            <w:r w:rsidRPr="0048121B">
              <w:rPr>
                <w:rFonts w:asciiTheme="minorHAnsi" w:hAnsiTheme="minorHAnsi" w:cstheme="minorHAnsi"/>
                <w:sz w:val="24"/>
                <w:szCs w:val="24"/>
              </w:rPr>
              <w:t>Discard top layer &amp; bottom layer of the films roll for approx. 5 meters, depending upon the visual quality of the rolls</w:t>
            </w:r>
          </w:p>
        </w:tc>
      </w:tr>
      <w:tr w:rsidR="0048121B" w:rsidRPr="0048121B" w14:paraId="2DB249A4" w14:textId="77777777" w:rsidTr="00A90693">
        <w:tc>
          <w:tcPr>
            <w:tcW w:w="3256" w:type="dxa"/>
            <w:shd w:val="clear" w:color="auto" w:fill="B8CCE4"/>
          </w:tcPr>
          <w:p w14:paraId="133E44DF" w14:textId="77777777" w:rsidR="0048121B" w:rsidRPr="0048121B" w:rsidRDefault="0048121B" w:rsidP="0048121B">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lastRenderedPageBreak/>
              <w:t>Migration details:</w:t>
            </w:r>
          </w:p>
        </w:tc>
        <w:tc>
          <w:tcPr>
            <w:tcW w:w="7472" w:type="dxa"/>
          </w:tcPr>
          <w:p w14:paraId="56E4ECC9" w14:textId="77777777" w:rsidR="0048121B" w:rsidRPr="0048121B" w:rsidRDefault="0048121B" w:rsidP="0048121B">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Commission Regulation (EC) No. 10/2011 of 14 January 2011 with amendments (EC) No. 2023/1442 dated 11</w:t>
            </w:r>
            <w:r w:rsidRPr="0048121B">
              <w:rPr>
                <w:rFonts w:asciiTheme="minorHAnsi" w:hAnsiTheme="minorHAnsi" w:cstheme="minorHAnsi"/>
                <w:sz w:val="24"/>
                <w:szCs w:val="24"/>
                <w:vertAlign w:val="superscript"/>
              </w:rPr>
              <w:t>th</w:t>
            </w:r>
            <w:r w:rsidRPr="0048121B">
              <w:rPr>
                <w:rFonts w:asciiTheme="minorHAnsi" w:hAnsiTheme="minorHAnsi" w:cstheme="minorHAnsi"/>
                <w:sz w:val="24"/>
                <w:szCs w:val="24"/>
              </w:rPr>
              <w:t xml:space="preserve"> July 2023, on plastic materials and articles intended to come into contact with food.</w:t>
            </w:r>
          </w:p>
          <w:p w14:paraId="275CC9B1" w14:textId="77777777" w:rsidR="0048121B" w:rsidRPr="0048121B" w:rsidRDefault="0048121B" w:rsidP="0048121B">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Complied with Overall migration to all simulants &amp; Specific migration to all heavy metals as specified in FSSAI regulation 2020 (earlier 2018) amended till date</w:t>
            </w:r>
          </w:p>
        </w:tc>
      </w:tr>
      <w:tr w:rsidR="0048121B" w:rsidRPr="0048121B" w14:paraId="6BF25AE3" w14:textId="77777777" w:rsidTr="00A90693">
        <w:trPr>
          <w:trHeight w:val="222"/>
        </w:trPr>
        <w:tc>
          <w:tcPr>
            <w:tcW w:w="3256" w:type="dxa"/>
            <w:shd w:val="clear" w:color="auto" w:fill="B8CCE4"/>
          </w:tcPr>
          <w:p w14:paraId="2BBFF737" w14:textId="77777777" w:rsidR="0048121B" w:rsidRPr="0048121B" w:rsidRDefault="0048121B" w:rsidP="0048121B">
            <w:pPr>
              <w:spacing w:line="360" w:lineRule="auto"/>
              <w:rPr>
                <w:rFonts w:asciiTheme="minorHAnsi" w:hAnsiTheme="minorHAnsi" w:cstheme="minorHAnsi"/>
                <w:sz w:val="24"/>
                <w:szCs w:val="24"/>
              </w:rPr>
            </w:pPr>
            <w:r w:rsidRPr="0048121B">
              <w:rPr>
                <w:rFonts w:asciiTheme="minorHAnsi" w:hAnsiTheme="minorHAnsi" w:cstheme="minorHAnsi"/>
                <w:sz w:val="24"/>
                <w:szCs w:val="24"/>
              </w:rPr>
              <w:t>Post-consumer recycling instructions/specification:</w:t>
            </w:r>
          </w:p>
        </w:tc>
        <w:tc>
          <w:tcPr>
            <w:tcW w:w="7472" w:type="dxa"/>
          </w:tcPr>
          <w:p w14:paraId="7E7BBC43" w14:textId="77777777" w:rsidR="0048121B" w:rsidRPr="0048121B" w:rsidRDefault="0048121B" w:rsidP="0048121B">
            <w:pPr>
              <w:spacing w:line="360" w:lineRule="auto"/>
              <w:rPr>
                <w:rFonts w:asciiTheme="minorHAnsi" w:hAnsiTheme="minorHAnsi" w:cstheme="minorHAnsi"/>
                <w:sz w:val="24"/>
                <w:szCs w:val="24"/>
              </w:rPr>
            </w:pPr>
            <w:r w:rsidRPr="0048121B">
              <w:rPr>
                <w:rFonts w:asciiTheme="minorHAnsi" w:hAnsiTheme="minorHAnsi" w:cstheme="minorHAnsi"/>
                <w:sz w:val="24"/>
                <w:szCs w:val="24"/>
              </w:rPr>
              <w:t>No PCWR waste used for the manufacturing of packaging materials in the process. Packaging materials can be recycled subject to layer &amp; substrate combination</w:t>
            </w:r>
          </w:p>
        </w:tc>
      </w:tr>
    </w:tbl>
    <w:p w14:paraId="4B959CBE" w14:textId="77777777" w:rsidR="0048121B" w:rsidRPr="0048121B" w:rsidRDefault="0048121B" w:rsidP="0048121B">
      <w:pPr>
        <w:numPr>
          <w:ilvl w:val="0"/>
          <w:numId w:val="10"/>
        </w:numPr>
        <w:spacing w:before="100" w:beforeAutospacing="1" w:after="100" w:afterAutospacing="1" w:line="480" w:lineRule="auto"/>
        <w:ind w:left="446" w:hanging="446"/>
        <w:jc w:val="both"/>
        <w:rPr>
          <w:rFonts w:asciiTheme="minorHAnsi" w:hAnsiTheme="minorHAnsi" w:cstheme="minorHAnsi"/>
          <w:sz w:val="24"/>
          <w:szCs w:val="24"/>
        </w:rPr>
      </w:pPr>
      <w:r w:rsidRPr="0048121B">
        <w:rPr>
          <w:rFonts w:asciiTheme="minorHAnsi" w:hAnsiTheme="minorHAnsi" w:cstheme="minorHAnsi"/>
          <w:sz w:val="24"/>
          <w:szCs w:val="24"/>
        </w:rPr>
        <w:t xml:space="preserve">Regulation (EC) No. 1935/2004 of 27 October 2004 on materials and articles intended to come into contact with food. </w:t>
      </w:r>
    </w:p>
    <w:p w14:paraId="45AAFC9D"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Regulation (EC) No. 10/2011 of 14 January 2011 with amendments (EC) No. 2023/1442 dated 11</w:t>
      </w:r>
      <w:r w:rsidRPr="0048121B">
        <w:rPr>
          <w:rFonts w:asciiTheme="minorHAnsi" w:hAnsiTheme="minorHAnsi" w:cstheme="minorHAnsi"/>
          <w:sz w:val="24"/>
          <w:szCs w:val="24"/>
          <w:vertAlign w:val="superscript"/>
        </w:rPr>
        <w:t>th</w:t>
      </w:r>
      <w:r w:rsidRPr="0048121B">
        <w:rPr>
          <w:rFonts w:asciiTheme="minorHAnsi" w:hAnsiTheme="minorHAnsi" w:cstheme="minorHAnsi"/>
          <w:sz w:val="24"/>
          <w:szCs w:val="24"/>
        </w:rPr>
        <w:t xml:space="preserve"> July 2023, on plastic materials and articles intended to come into contact with food</w:t>
      </w:r>
    </w:p>
    <w:p w14:paraId="4BA9F9D6"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Directive 2002/72/EC of 6 August 2002 with amendments (EC) No. 975/2009, 2008/39/EC, 2007/19/EC, 2005/79/EC, 2004/19/EC and 2004/1/EC relating to plastic materials and articles intended to come into contact with foodstuffs</w:t>
      </w:r>
    </w:p>
    <w:p w14:paraId="52E268AC"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Regulation (EC) No. 282/2008 of 27 March 2008 on recycled plastic materials and articles intended to come into contact with foods</w:t>
      </w:r>
    </w:p>
    <w:p w14:paraId="52D677D5"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Regulation (EC) No. 2023/2006 of 22 December 2006 on good manufacturing practice for materials and articles intended to come into contact with food</w:t>
      </w:r>
    </w:p>
    <w:p w14:paraId="08C00F0F"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Council Directive 94/62/EC of 20 December 1994 with amendments 2005/20/EC and 2004/12/EC on packaging and packaging waste</w:t>
      </w:r>
    </w:p>
    <w:p w14:paraId="4B0E5C69"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Compliance of packaging materials to the requirements of EU Directives no. 2018/851 and 2018/852 </w:t>
      </w:r>
      <w:r w:rsidRPr="0048121B">
        <w:rPr>
          <w:rFonts w:asciiTheme="minorHAnsi" w:hAnsiTheme="minorHAnsi" w:cstheme="minorHAnsi"/>
          <w:sz w:val="24"/>
          <w:szCs w:val="24"/>
        </w:rPr>
        <w:lastRenderedPageBreak/>
        <w:t>and in particular to the obligations of identification and classification of packaging according to the provisions of Decision 97/129 / EC</w:t>
      </w:r>
    </w:p>
    <w:p w14:paraId="00FBF733"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FSSAI regulation for packaging materials 2018 &amp; amended as 2020</w:t>
      </w:r>
    </w:p>
    <w:p w14:paraId="5D4704D7" w14:textId="77777777" w:rsidR="0048121B" w:rsidRPr="0048121B" w:rsidRDefault="0048121B" w:rsidP="0048121B">
      <w:pPr>
        <w:numPr>
          <w:ilvl w:val="0"/>
          <w:numId w:val="10"/>
        </w:numPr>
        <w:spacing w:line="36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Please refer below for Intended Food Contact packaging: ‐</w:t>
      </w:r>
    </w:p>
    <w:p w14:paraId="0891977C" w14:textId="77777777" w:rsidR="0048121B" w:rsidRPr="0048121B" w:rsidRDefault="0048121B" w:rsidP="0048121B">
      <w:pPr>
        <w:numPr>
          <w:ilvl w:val="0"/>
          <w:numId w:val="10"/>
        </w:numPr>
        <w:spacing w:line="36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Type of Food (e.g., infant product, culinary product and confectionery), foreseen shelf life and storage conditions.</w:t>
      </w:r>
    </w:p>
    <w:p w14:paraId="546D13C9" w14:textId="77777777" w:rsidR="0048121B" w:rsidRPr="0048121B" w:rsidRDefault="0048121B" w:rsidP="0048121B">
      <w:pPr>
        <w:numPr>
          <w:ilvl w:val="0"/>
          <w:numId w:val="10"/>
        </w:numPr>
        <w:spacing w:line="36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Description of the suitability for food contact i.e., suitable for all types of food or only one /several of the following categories</w:t>
      </w:r>
    </w:p>
    <w:p w14:paraId="779CF882"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Dry Food</w:t>
      </w:r>
    </w:p>
    <w:p w14:paraId="5BF6820B"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Dry and non‐fatty food</w:t>
      </w:r>
    </w:p>
    <w:p w14:paraId="1AE7D2B7"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Wet &amp; aqueous food</w:t>
      </w:r>
    </w:p>
    <w:p w14:paraId="4A8B6D7A"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Fatty food</w:t>
      </w:r>
    </w:p>
    <w:p w14:paraId="61F3C798"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Specific Food (e.g., acid, alcoholic)</w:t>
      </w:r>
    </w:p>
    <w:p w14:paraId="603D1019" w14:textId="77777777" w:rsidR="0048121B" w:rsidRPr="0048121B" w:rsidRDefault="0048121B" w:rsidP="0048121B">
      <w:pPr>
        <w:numPr>
          <w:ilvl w:val="0"/>
          <w:numId w:val="15"/>
        </w:num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Food to be reheated in packaging (time and max. temperature in °C)</w:t>
      </w:r>
    </w:p>
    <w:p w14:paraId="219F6EEB"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Commission Regulation (EC) No. 282/2008 of 27 March 2008 on recycled plastic materials and articles intended to come into contact with foods</w:t>
      </w:r>
    </w:p>
    <w:p w14:paraId="7C6EED0F" w14:textId="77777777" w:rsidR="0048121B" w:rsidRPr="0048121B" w:rsidRDefault="0048121B" w:rsidP="0048121B">
      <w:pPr>
        <w:spacing w:line="480" w:lineRule="auto"/>
        <w:ind w:left="450"/>
        <w:jc w:val="both"/>
        <w:rPr>
          <w:rFonts w:asciiTheme="minorHAnsi" w:hAnsiTheme="minorHAnsi" w:cstheme="minorHAnsi"/>
          <w:b/>
          <w:bCs/>
          <w:sz w:val="24"/>
          <w:szCs w:val="24"/>
        </w:rPr>
      </w:pPr>
      <w:r w:rsidRPr="0048121B">
        <w:rPr>
          <w:rFonts w:asciiTheme="minorHAnsi" w:hAnsiTheme="minorHAnsi" w:cstheme="minorHAnsi"/>
          <w:b/>
          <w:bCs/>
          <w:sz w:val="24"/>
          <w:szCs w:val="24"/>
        </w:rPr>
        <w:t>REACH</w:t>
      </w:r>
    </w:p>
    <w:p w14:paraId="4689416C"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Under the REACH regulation 1907/2006/EC, all the products of OSWAL [FIBC Bags] are manufactured items and so exempt from REACH registration</w:t>
      </w:r>
    </w:p>
    <w:p w14:paraId="1A9FB882"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b/>
          <w:bCs/>
          <w:sz w:val="24"/>
          <w:szCs w:val="24"/>
        </w:rPr>
        <w:t xml:space="preserve">GPPPL </w:t>
      </w:r>
      <w:r w:rsidRPr="0048121B">
        <w:rPr>
          <w:rFonts w:asciiTheme="minorHAnsi" w:hAnsiTheme="minorHAnsi" w:cstheme="minorHAnsi"/>
          <w:sz w:val="24"/>
          <w:szCs w:val="24"/>
        </w:rPr>
        <w:t xml:space="preserve">have taken all the necessary steps to ensure that the chemical components from which </w:t>
      </w:r>
      <w:r w:rsidRPr="0048121B">
        <w:rPr>
          <w:rFonts w:asciiTheme="minorHAnsi" w:hAnsiTheme="minorHAnsi" w:cstheme="minorHAnsi"/>
          <w:b/>
          <w:bCs/>
          <w:sz w:val="24"/>
          <w:szCs w:val="24"/>
        </w:rPr>
        <w:t xml:space="preserve">GPPPL </w:t>
      </w:r>
      <w:r w:rsidRPr="0048121B">
        <w:rPr>
          <w:rFonts w:asciiTheme="minorHAnsi" w:hAnsiTheme="minorHAnsi" w:cstheme="minorHAnsi"/>
          <w:sz w:val="24"/>
          <w:szCs w:val="24"/>
        </w:rPr>
        <w:t xml:space="preserve">products are obtained fulfil the obligation of the REACH registration, with specific requests of declarations from </w:t>
      </w:r>
      <w:r w:rsidRPr="0048121B">
        <w:rPr>
          <w:rFonts w:asciiTheme="minorHAnsi" w:hAnsiTheme="minorHAnsi" w:cstheme="minorHAnsi"/>
          <w:b/>
          <w:bCs/>
          <w:sz w:val="24"/>
          <w:szCs w:val="24"/>
        </w:rPr>
        <w:t>GPPPL</w:t>
      </w:r>
      <w:r w:rsidRPr="0048121B">
        <w:rPr>
          <w:rFonts w:asciiTheme="minorHAnsi" w:hAnsiTheme="minorHAnsi" w:cstheme="minorHAnsi"/>
          <w:sz w:val="24"/>
          <w:szCs w:val="24"/>
        </w:rPr>
        <w:t>’s Raw material suppliers</w:t>
      </w:r>
    </w:p>
    <w:p w14:paraId="7C7618C2"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Raw material suppliers to </w:t>
      </w:r>
      <w:r w:rsidRPr="0048121B">
        <w:rPr>
          <w:rFonts w:asciiTheme="minorHAnsi" w:hAnsiTheme="minorHAnsi" w:cstheme="minorHAnsi"/>
          <w:b/>
          <w:bCs/>
          <w:sz w:val="24"/>
          <w:szCs w:val="24"/>
        </w:rPr>
        <w:t>GPPPL</w:t>
      </w:r>
      <w:r w:rsidRPr="0048121B">
        <w:rPr>
          <w:rFonts w:asciiTheme="minorHAnsi" w:hAnsiTheme="minorHAnsi" w:cstheme="minorHAnsi"/>
          <w:sz w:val="24"/>
          <w:szCs w:val="24"/>
        </w:rPr>
        <w:t xml:space="preserve"> are</w:t>
      </w:r>
    </w:p>
    <w:p w14:paraId="59A0B9E5" w14:textId="77777777" w:rsidR="0048121B" w:rsidRPr="0048121B" w:rsidRDefault="0048121B" w:rsidP="0048121B">
      <w:pPr>
        <w:numPr>
          <w:ilvl w:val="0"/>
          <w:numId w:val="16"/>
        </w:numPr>
        <w:spacing w:line="480" w:lineRule="auto"/>
        <w:jc w:val="both"/>
        <w:rPr>
          <w:rFonts w:asciiTheme="minorHAnsi" w:hAnsiTheme="minorHAnsi" w:cstheme="minorHAnsi"/>
          <w:sz w:val="24"/>
          <w:szCs w:val="24"/>
        </w:rPr>
      </w:pPr>
      <w:r w:rsidRPr="0048121B">
        <w:rPr>
          <w:rFonts w:asciiTheme="minorHAnsi" w:hAnsiTheme="minorHAnsi" w:cstheme="minorHAnsi"/>
          <w:sz w:val="24"/>
          <w:szCs w:val="24"/>
        </w:rPr>
        <w:t xml:space="preserve">Producers of </w:t>
      </w:r>
      <w:r>
        <w:rPr>
          <w:rFonts w:asciiTheme="minorHAnsi" w:hAnsiTheme="minorHAnsi" w:cstheme="minorHAnsi"/>
          <w:sz w:val="24"/>
          <w:szCs w:val="24"/>
        </w:rPr>
        <w:t>Films / Foils</w:t>
      </w:r>
    </w:p>
    <w:p w14:paraId="060863EE" w14:textId="77777777" w:rsidR="0048121B" w:rsidRPr="0048121B" w:rsidRDefault="0048121B" w:rsidP="0048121B">
      <w:pPr>
        <w:numPr>
          <w:ilvl w:val="0"/>
          <w:numId w:val="16"/>
        </w:numPr>
        <w:spacing w:line="480" w:lineRule="auto"/>
        <w:jc w:val="both"/>
        <w:rPr>
          <w:rFonts w:asciiTheme="minorHAnsi" w:hAnsiTheme="minorHAnsi" w:cstheme="minorHAnsi"/>
          <w:sz w:val="24"/>
          <w:szCs w:val="24"/>
        </w:rPr>
      </w:pPr>
      <w:r w:rsidRPr="0048121B">
        <w:rPr>
          <w:rFonts w:asciiTheme="minorHAnsi" w:hAnsiTheme="minorHAnsi" w:cstheme="minorHAnsi"/>
          <w:sz w:val="24"/>
          <w:szCs w:val="24"/>
        </w:rPr>
        <w:t>Producers of Additives</w:t>
      </w:r>
    </w:p>
    <w:p w14:paraId="0AEE5DDB" w14:textId="77777777" w:rsidR="0048121B" w:rsidRPr="0048121B" w:rsidRDefault="0048121B" w:rsidP="0048121B">
      <w:pPr>
        <w:numPr>
          <w:ilvl w:val="0"/>
          <w:numId w:val="16"/>
        </w:numPr>
        <w:spacing w:line="480" w:lineRule="auto"/>
        <w:jc w:val="both"/>
        <w:rPr>
          <w:rFonts w:asciiTheme="minorHAnsi" w:hAnsiTheme="minorHAnsi" w:cstheme="minorHAnsi"/>
          <w:sz w:val="24"/>
          <w:szCs w:val="24"/>
        </w:rPr>
      </w:pPr>
      <w:r w:rsidRPr="0048121B">
        <w:rPr>
          <w:rFonts w:asciiTheme="minorHAnsi" w:hAnsiTheme="minorHAnsi" w:cstheme="minorHAnsi"/>
          <w:sz w:val="24"/>
          <w:szCs w:val="24"/>
        </w:rPr>
        <w:t>Producers of Glue / Adhesives</w:t>
      </w:r>
    </w:p>
    <w:p w14:paraId="75935D77" w14:textId="77777777" w:rsidR="0048121B" w:rsidRDefault="0048121B" w:rsidP="0048121B">
      <w:pPr>
        <w:numPr>
          <w:ilvl w:val="0"/>
          <w:numId w:val="16"/>
        </w:numPr>
        <w:spacing w:line="480" w:lineRule="auto"/>
        <w:jc w:val="both"/>
        <w:rPr>
          <w:rFonts w:asciiTheme="minorHAnsi" w:hAnsiTheme="minorHAnsi" w:cstheme="minorHAnsi"/>
          <w:sz w:val="24"/>
          <w:szCs w:val="24"/>
        </w:rPr>
      </w:pPr>
      <w:r w:rsidRPr="0048121B">
        <w:rPr>
          <w:rFonts w:asciiTheme="minorHAnsi" w:hAnsiTheme="minorHAnsi" w:cstheme="minorHAnsi"/>
          <w:sz w:val="24"/>
          <w:szCs w:val="24"/>
        </w:rPr>
        <w:lastRenderedPageBreak/>
        <w:t>Producers of Ink</w:t>
      </w:r>
    </w:p>
    <w:p w14:paraId="3175A64D" w14:textId="77777777" w:rsidR="0048121B" w:rsidRPr="0048121B" w:rsidRDefault="0048121B" w:rsidP="0048121B">
      <w:pPr>
        <w:numPr>
          <w:ilvl w:val="0"/>
          <w:numId w:val="16"/>
        </w:numPr>
        <w:spacing w:line="480" w:lineRule="auto"/>
        <w:jc w:val="both"/>
        <w:rPr>
          <w:rFonts w:asciiTheme="minorHAnsi" w:hAnsiTheme="minorHAnsi" w:cstheme="minorHAnsi"/>
          <w:sz w:val="24"/>
          <w:szCs w:val="24"/>
        </w:rPr>
      </w:pPr>
      <w:r>
        <w:rPr>
          <w:rFonts w:asciiTheme="minorHAnsi" w:hAnsiTheme="minorHAnsi" w:cstheme="minorHAnsi"/>
          <w:sz w:val="24"/>
          <w:szCs w:val="24"/>
        </w:rPr>
        <w:t xml:space="preserve">Producers of Solvents </w:t>
      </w:r>
    </w:p>
    <w:p w14:paraId="0979AC6C"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Nevertheless, the obligation of registration of the individual chemical substances used by the raw material suppliers to </w:t>
      </w:r>
      <w:r w:rsidRPr="0048121B">
        <w:rPr>
          <w:rFonts w:asciiTheme="minorHAnsi" w:hAnsiTheme="minorHAnsi" w:cstheme="minorHAnsi"/>
          <w:b/>
          <w:bCs/>
          <w:sz w:val="24"/>
          <w:szCs w:val="24"/>
        </w:rPr>
        <w:t>GPPPL</w:t>
      </w:r>
      <w:r w:rsidRPr="0048121B">
        <w:rPr>
          <w:rFonts w:asciiTheme="minorHAnsi" w:hAnsiTheme="minorHAnsi" w:cstheme="minorHAnsi"/>
          <w:sz w:val="24"/>
          <w:szCs w:val="24"/>
        </w:rPr>
        <w:t xml:space="preserve">  goes down in the supply chain to the obliged parties that supply the raw materials</w:t>
      </w:r>
    </w:p>
    <w:p w14:paraId="1BD8538C"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We declare that all raw materials used in the manufacturing of products with </w:t>
      </w:r>
      <w:r w:rsidRPr="0048121B">
        <w:rPr>
          <w:rFonts w:asciiTheme="minorHAnsi" w:eastAsia="MS Mincho" w:hAnsiTheme="minorHAnsi" w:cstheme="minorHAnsi"/>
          <w:bCs/>
          <w:sz w:val="24"/>
          <w:szCs w:val="24"/>
        </w:rPr>
        <w:t>BOPP, METALIZED BOPP, PEARLISED BOPP, MATT BOPP, PET, METPET, CPP, ALUMINIUM FOIL</w:t>
      </w:r>
      <w:r w:rsidRPr="0048121B">
        <w:rPr>
          <w:rFonts w:asciiTheme="minorHAnsi" w:hAnsiTheme="minorHAnsi" w:cstheme="minorHAnsi"/>
          <w:sz w:val="24"/>
          <w:szCs w:val="24"/>
        </w:rPr>
        <w:t xml:space="preserve"> do not have a concentration of lead, cadmium, Hexavalent chromium and mercury that exceeds 100 PPM, and conform to Council Directive 94/62/EC with amendments 2005/20/EC and 2004/12/EC</w:t>
      </w:r>
    </w:p>
    <w:p w14:paraId="5509F10F"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Substances such as 4-methylbenzophenone, benzophenone, hydroxybenzophenone and bisphenol A are not added or used in the manufacturing of products with </w:t>
      </w:r>
      <w:r w:rsidRPr="0048121B">
        <w:rPr>
          <w:rFonts w:asciiTheme="minorHAnsi" w:eastAsia="MS Mincho" w:hAnsiTheme="minorHAnsi" w:cstheme="minorHAnsi"/>
          <w:bCs/>
          <w:sz w:val="24"/>
          <w:szCs w:val="24"/>
        </w:rPr>
        <w:t>BOPP, METALIZED BOPP, PEARLISED BOPP, MATT BOPP, PET, METPET, CPP, ALUMINIUM FOIL</w:t>
      </w:r>
      <w:r w:rsidRPr="0048121B">
        <w:rPr>
          <w:rFonts w:asciiTheme="minorHAnsi" w:hAnsiTheme="minorHAnsi" w:cstheme="minorHAnsi"/>
          <w:sz w:val="24"/>
          <w:szCs w:val="24"/>
        </w:rPr>
        <w:t xml:space="preserve"> and are therefore not expected to be present in our products</w:t>
      </w:r>
    </w:p>
    <w:p w14:paraId="7971A60F" w14:textId="77777777" w:rsidR="0048121B" w:rsidRPr="0048121B" w:rsidRDefault="0048121B" w:rsidP="0048121B">
      <w:pPr>
        <w:numPr>
          <w:ilvl w:val="0"/>
          <w:numId w:val="10"/>
        </w:numPr>
        <w:spacing w:line="480" w:lineRule="auto"/>
        <w:ind w:left="450" w:hanging="450"/>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Inks used are suitable for Indirect Food Contact where there is a barrier between the ink and the product. They confirm to the requirement of Heavy Metal Content of CONEG and EN 71 part 3. The inks do not contain any material that is in the negative list of CEPE. The inks do not contain any animal fat</w:t>
      </w:r>
    </w:p>
    <w:p w14:paraId="17FC96F2" w14:textId="77777777" w:rsidR="0048121B" w:rsidRPr="0048121B" w:rsidRDefault="0048121B" w:rsidP="0048121B">
      <w:pPr>
        <w:numPr>
          <w:ilvl w:val="0"/>
          <w:numId w:val="10"/>
        </w:numPr>
        <w:spacing w:line="480" w:lineRule="auto"/>
        <w:ind w:left="450" w:hanging="450"/>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Adhesive &amp; Hardeners used in Lamination processes are suitable for Indirect Food contact</w:t>
      </w:r>
    </w:p>
    <w:p w14:paraId="50378161" w14:textId="77777777" w:rsidR="0048121B" w:rsidRPr="0048121B" w:rsidRDefault="0048121B" w:rsidP="0048121B">
      <w:pPr>
        <w:numPr>
          <w:ilvl w:val="0"/>
          <w:numId w:val="10"/>
        </w:numPr>
        <w:spacing w:line="480" w:lineRule="auto"/>
        <w:ind w:left="450" w:hanging="450"/>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BOPP, METALIZED BOPP, PEARLISED BOPP, MATT BOPP, PET, METPET, CPP films are Food Grade material. It meets various stipulations laid down by directive 2008/39/EC &amp; 2007/19/EC. It also confirms to FDA title 21CFR section 177.1640</w:t>
      </w:r>
    </w:p>
    <w:p w14:paraId="7C6B3A4E"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eastAsia="MS Mincho" w:hAnsiTheme="minorHAnsi" w:cstheme="minorHAnsi"/>
          <w:bCs/>
          <w:sz w:val="24"/>
          <w:szCs w:val="24"/>
        </w:rPr>
        <w:t>Products manufactured from BOPP, METALIZED BOPP, PEARLISED BOPP, MATT BOPP, PET, METPET, CPP, ALUMINIUM FOIL must be kept in its original packaging in a cool or ambient temperate and dry place. Avoid direct exposure to sunlight and UV light. Shelf life is 1 year from the date of manufacturing provided</w:t>
      </w:r>
      <w:r w:rsidRPr="0048121B">
        <w:rPr>
          <w:rFonts w:asciiTheme="minorHAnsi" w:hAnsiTheme="minorHAnsi" w:cstheme="minorHAnsi"/>
          <w:sz w:val="24"/>
          <w:szCs w:val="24"/>
        </w:rPr>
        <w:t xml:space="preserve"> the material is stored under the described conditions. </w:t>
      </w:r>
      <w:r w:rsidRPr="0048121B">
        <w:rPr>
          <w:rFonts w:asciiTheme="minorHAnsi" w:hAnsiTheme="minorHAnsi" w:cstheme="minorHAnsi"/>
          <w:b/>
          <w:bCs/>
          <w:sz w:val="24"/>
          <w:szCs w:val="24"/>
        </w:rPr>
        <w:t xml:space="preserve">GPPPL </w:t>
      </w:r>
      <w:r w:rsidRPr="0048121B">
        <w:rPr>
          <w:rFonts w:asciiTheme="minorHAnsi" w:hAnsiTheme="minorHAnsi" w:cstheme="minorHAnsi"/>
          <w:sz w:val="24"/>
          <w:szCs w:val="24"/>
        </w:rPr>
        <w:t xml:space="preserve">is not aware of the limits of shelf </w:t>
      </w:r>
      <w:r w:rsidRPr="0048121B">
        <w:rPr>
          <w:rFonts w:asciiTheme="minorHAnsi" w:hAnsiTheme="minorHAnsi" w:cstheme="minorHAnsi"/>
          <w:sz w:val="24"/>
          <w:szCs w:val="24"/>
        </w:rPr>
        <w:lastRenderedPageBreak/>
        <w:t>life</w:t>
      </w:r>
    </w:p>
    <w:p w14:paraId="38A8BAE5" w14:textId="77777777" w:rsidR="0048121B" w:rsidRPr="0048121B" w:rsidRDefault="0048121B" w:rsidP="0048121B">
      <w:pPr>
        <w:numPr>
          <w:ilvl w:val="0"/>
          <w:numId w:val="10"/>
        </w:numPr>
        <w:spacing w:line="480" w:lineRule="auto"/>
        <w:ind w:left="450" w:hanging="450"/>
        <w:jc w:val="both"/>
        <w:rPr>
          <w:rFonts w:asciiTheme="minorHAnsi" w:eastAsia="MS Mincho" w:hAnsiTheme="minorHAnsi" w:cstheme="minorHAnsi"/>
          <w:bCs/>
          <w:sz w:val="24"/>
          <w:szCs w:val="24"/>
        </w:rPr>
      </w:pPr>
      <w:r w:rsidRPr="0048121B">
        <w:rPr>
          <w:rFonts w:asciiTheme="minorHAnsi" w:eastAsia="MS Mincho" w:hAnsiTheme="minorHAnsi" w:cstheme="minorHAnsi"/>
          <w:bCs/>
          <w:sz w:val="24"/>
          <w:szCs w:val="24"/>
        </w:rPr>
        <w:t xml:space="preserve">We hereby declare that; the flexible packaging materials being supplied doesn’t contain any hazard having no preventive control </w:t>
      </w:r>
    </w:p>
    <w:p w14:paraId="3C16C712" w14:textId="5F9143F2" w:rsidR="0048121B" w:rsidRPr="00A46373" w:rsidRDefault="00A46373" w:rsidP="0048121B">
      <w:pPr>
        <w:numPr>
          <w:ilvl w:val="0"/>
          <w:numId w:val="10"/>
        </w:numPr>
        <w:spacing w:line="480" w:lineRule="auto"/>
        <w:ind w:left="450" w:hanging="450"/>
        <w:jc w:val="both"/>
        <w:rPr>
          <w:rFonts w:asciiTheme="minorHAnsi" w:eastAsia="MS Mincho" w:hAnsiTheme="minorHAnsi" w:cstheme="minorHAnsi"/>
          <w:bCs/>
          <w:sz w:val="24"/>
          <w:szCs w:val="24"/>
        </w:rPr>
      </w:pPr>
      <w:r w:rsidRPr="00A46373">
        <w:rPr>
          <w:rFonts w:asciiTheme="minorHAnsi" w:eastAsia="MS Mincho" w:hAnsiTheme="minorHAnsi" w:cstheme="minorHAnsi"/>
          <w:bCs/>
          <w:sz w:val="24"/>
          <w:szCs w:val="24"/>
        </w:rPr>
        <w:t>This Declaration is valid for two years from the date of Publication, unless there is a change to the materials used, processing technologies or applicable legislation</w:t>
      </w:r>
      <w:r w:rsidR="0048121B" w:rsidRPr="00A46373">
        <w:rPr>
          <w:rFonts w:asciiTheme="minorHAnsi" w:eastAsia="MS Mincho" w:hAnsiTheme="minorHAnsi" w:cstheme="minorHAnsi"/>
          <w:bCs/>
          <w:sz w:val="24"/>
          <w:szCs w:val="24"/>
        </w:rPr>
        <w:t>.</w:t>
      </w:r>
    </w:p>
    <w:p w14:paraId="50DFDC3F"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Whilst this Declaration is made using all due diligence, it is the responsibility of the downstream users of these articles to ensure compliance with all relevant legislation in their own applications and technologies</w:t>
      </w:r>
    </w:p>
    <w:p w14:paraId="37114D81" w14:textId="77777777" w:rsidR="0048121B" w:rsidRPr="0048121B" w:rsidRDefault="0048121B" w:rsidP="0048121B">
      <w:pPr>
        <w:numPr>
          <w:ilvl w:val="0"/>
          <w:numId w:val="10"/>
        </w:numPr>
        <w:spacing w:line="480" w:lineRule="auto"/>
        <w:ind w:left="450" w:hanging="450"/>
        <w:jc w:val="both"/>
        <w:rPr>
          <w:rFonts w:asciiTheme="minorHAnsi" w:hAnsiTheme="minorHAnsi" w:cstheme="minorHAnsi"/>
          <w:sz w:val="24"/>
          <w:szCs w:val="24"/>
        </w:rPr>
      </w:pPr>
      <w:r w:rsidRPr="0048121B">
        <w:rPr>
          <w:rFonts w:asciiTheme="minorHAnsi" w:hAnsiTheme="minorHAnsi" w:cstheme="minorHAnsi"/>
          <w:sz w:val="24"/>
          <w:szCs w:val="24"/>
        </w:rPr>
        <w:t xml:space="preserve">This Declaration of Compliance is applicable to current and future supplies of Products manufactured from </w:t>
      </w:r>
      <w:r w:rsidRPr="0048121B">
        <w:rPr>
          <w:rFonts w:asciiTheme="minorHAnsi" w:eastAsia="MS Mincho" w:hAnsiTheme="minorHAnsi" w:cstheme="minorHAnsi"/>
          <w:bCs/>
          <w:sz w:val="24"/>
          <w:szCs w:val="24"/>
        </w:rPr>
        <w:t>BOPP, METALIZED BOPP, PEARLISED BOPP, MATT BOPP, PET, METPET, CPP, ALUMINIUM FOIL</w:t>
      </w:r>
      <w:r w:rsidRPr="0048121B">
        <w:rPr>
          <w:rFonts w:asciiTheme="minorHAnsi" w:hAnsiTheme="minorHAnsi" w:cstheme="minorHAnsi"/>
          <w:sz w:val="24"/>
          <w:szCs w:val="24"/>
        </w:rPr>
        <w:t xml:space="preserve"> and are updated only by (1) Legislative changes (2) Creation of new scientific data that affects the use of the material &amp; (3) Modified composition of the material or the article that has significance for the application</w:t>
      </w:r>
    </w:p>
    <w:p w14:paraId="2DD727EE" w14:textId="77777777" w:rsidR="008E2870" w:rsidRPr="0048121B" w:rsidRDefault="008E2870" w:rsidP="00A46373">
      <w:pPr>
        <w:spacing w:line="360" w:lineRule="auto"/>
        <w:ind w:left="450"/>
        <w:jc w:val="both"/>
        <w:rPr>
          <w:rFonts w:asciiTheme="minorHAnsi" w:hAnsiTheme="minorHAnsi" w:cstheme="minorHAnsi"/>
          <w:sz w:val="24"/>
          <w:szCs w:val="24"/>
        </w:rPr>
      </w:pPr>
    </w:p>
    <w:p w14:paraId="322395AD" w14:textId="77777777" w:rsidR="00836EF8" w:rsidRPr="0048121B" w:rsidRDefault="00836EF8" w:rsidP="00E827CC">
      <w:pPr>
        <w:spacing w:line="360" w:lineRule="auto"/>
        <w:jc w:val="both"/>
        <w:rPr>
          <w:rFonts w:asciiTheme="minorHAnsi" w:hAnsiTheme="minorHAnsi" w:cstheme="minorHAnsi"/>
          <w:sz w:val="24"/>
          <w:szCs w:val="24"/>
        </w:rPr>
      </w:pPr>
    </w:p>
    <w:p w14:paraId="1A31DAE0" w14:textId="77777777" w:rsidR="00836EF8" w:rsidRPr="0048121B" w:rsidRDefault="00836EF8" w:rsidP="008E2870">
      <w:pPr>
        <w:spacing w:line="360" w:lineRule="auto"/>
        <w:ind w:firstLine="450"/>
        <w:jc w:val="both"/>
        <w:rPr>
          <w:rFonts w:asciiTheme="minorHAnsi" w:hAnsiTheme="minorHAnsi" w:cstheme="minorHAnsi"/>
          <w:sz w:val="24"/>
          <w:szCs w:val="24"/>
        </w:rPr>
      </w:pPr>
      <w:r w:rsidRPr="0048121B">
        <w:rPr>
          <w:rFonts w:asciiTheme="minorHAnsi" w:hAnsiTheme="minorHAnsi" w:cstheme="minorHAnsi"/>
          <w:sz w:val="24"/>
          <w:szCs w:val="24"/>
        </w:rPr>
        <w:t xml:space="preserve">Signed </w:t>
      </w:r>
    </w:p>
    <w:p w14:paraId="05A692BA" w14:textId="77777777" w:rsidR="008E2870" w:rsidRPr="0048121B" w:rsidRDefault="008E2870" w:rsidP="008E2870">
      <w:pPr>
        <w:spacing w:line="360" w:lineRule="auto"/>
        <w:ind w:firstLine="450"/>
        <w:jc w:val="both"/>
        <w:rPr>
          <w:rFonts w:asciiTheme="minorHAnsi" w:hAnsiTheme="minorHAnsi" w:cstheme="minorHAnsi"/>
          <w:sz w:val="24"/>
          <w:szCs w:val="24"/>
        </w:rPr>
      </w:pPr>
    </w:p>
    <w:p w14:paraId="6257AAC2" w14:textId="77777777" w:rsidR="00836EF8" w:rsidRPr="0048121B" w:rsidRDefault="008E2870" w:rsidP="00E827CC">
      <w:pPr>
        <w:spacing w:line="360" w:lineRule="auto"/>
        <w:jc w:val="both"/>
        <w:rPr>
          <w:rFonts w:asciiTheme="minorHAnsi" w:hAnsiTheme="minorHAnsi" w:cstheme="minorHAnsi"/>
          <w:sz w:val="24"/>
          <w:szCs w:val="24"/>
        </w:rPr>
      </w:pPr>
      <w:r w:rsidRPr="0048121B">
        <w:rPr>
          <w:rFonts w:asciiTheme="minorHAnsi" w:hAnsiTheme="minorHAnsi" w:cstheme="minorHAnsi"/>
          <w:sz w:val="24"/>
          <w:szCs w:val="24"/>
        </w:rPr>
        <w:t xml:space="preserve">        ________________________</w:t>
      </w:r>
    </w:p>
    <w:p w14:paraId="583EAF5D" w14:textId="77777777" w:rsidR="00836EF8" w:rsidRPr="0048121B" w:rsidRDefault="00E925B9" w:rsidP="008E2870">
      <w:pPr>
        <w:spacing w:line="360" w:lineRule="auto"/>
        <w:ind w:firstLine="450"/>
        <w:jc w:val="both"/>
        <w:rPr>
          <w:rFonts w:asciiTheme="minorHAnsi" w:hAnsiTheme="minorHAnsi" w:cstheme="minorHAnsi"/>
          <w:sz w:val="24"/>
          <w:szCs w:val="24"/>
        </w:rPr>
      </w:pPr>
      <w:r w:rsidRPr="0048121B">
        <w:rPr>
          <w:rFonts w:asciiTheme="minorHAnsi" w:hAnsiTheme="minorHAnsi" w:cstheme="minorHAnsi"/>
          <w:sz w:val="24"/>
          <w:szCs w:val="24"/>
        </w:rPr>
        <w:t>Shail Patel</w:t>
      </w:r>
    </w:p>
    <w:p w14:paraId="77DA6949" w14:textId="77777777" w:rsidR="00601382" w:rsidRPr="0048121B" w:rsidRDefault="00836EF8" w:rsidP="0023584C">
      <w:pPr>
        <w:spacing w:line="360" w:lineRule="auto"/>
        <w:ind w:firstLine="450"/>
        <w:jc w:val="both"/>
        <w:rPr>
          <w:rFonts w:asciiTheme="minorHAnsi" w:hAnsiTheme="minorHAnsi" w:cstheme="minorHAnsi"/>
          <w:b/>
          <w:sz w:val="24"/>
          <w:szCs w:val="24"/>
        </w:rPr>
      </w:pPr>
      <w:r w:rsidRPr="0048121B">
        <w:rPr>
          <w:rFonts w:asciiTheme="minorHAnsi" w:hAnsiTheme="minorHAnsi" w:cstheme="minorHAnsi"/>
          <w:sz w:val="24"/>
          <w:szCs w:val="24"/>
        </w:rPr>
        <w:t>(</w:t>
      </w:r>
      <w:r w:rsidR="00E925B9" w:rsidRPr="0048121B">
        <w:rPr>
          <w:rFonts w:asciiTheme="minorHAnsi" w:hAnsiTheme="minorHAnsi" w:cstheme="minorHAnsi"/>
          <w:sz w:val="24"/>
          <w:szCs w:val="24"/>
        </w:rPr>
        <w:t>CEO</w:t>
      </w:r>
      <w:r w:rsidRPr="0048121B">
        <w:rPr>
          <w:rFonts w:asciiTheme="minorHAnsi" w:hAnsiTheme="minorHAnsi" w:cstheme="minorHAnsi"/>
          <w:sz w:val="24"/>
          <w:szCs w:val="24"/>
        </w:rPr>
        <w:t>)</w:t>
      </w:r>
      <w:r w:rsidR="0023584C" w:rsidRPr="0048121B">
        <w:rPr>
          <w:rFonts w:asciiTheme="minorHAnsi" w:hAnsiTheme="minorHAnsi" w:cstheme="minorHAnsi"/>
          <w:b/>
          <w:sz w:val="24"/>
          <w:szCs w:val="24"/>
        </w:rPr>
        <w:t xml:space="preserve"> </w:t>
      </w:r>
    </w:p>
    <w:p w14:paraId="110601F2" w14:textId="77777777" w:rsidR="001D3155" w:rsidRPr="0048121B" w:rsidRDefault="00E2633B" w:rsidP="0023584C">
      <w:pPr>
        <w:spacing w:line="360" w:lineRule="auto"/>
        <w:ind w:firstLine="450"/>
        <w:jc w:val="both"/>
        <w:rPr>
          <w:rFonts w:asciiTheme="minorHAnsi" w:hAnsiTheme="minorHAnsi" w:cstheme="minorHAnsi"/>
          <w:b/>
          <w:sz w:val="24"/>
          <w:szCs w:val="24"/>
        </w:rPr>
      </w:pPr>
      <w:r>
        <w:rPr>
          <w:rFonts w:asciiTheme="minorHAnsi" w:hAnsiTheme="minorHAnsi" w:cstheme="minorHAnsi"/>
          <w:sz w:val="24"/>
          <w:szCs w:val="24"/>
        </w:rPr>
        <w:t>24 FEB 2025</w:t>
      </w:r>
    </w:p>
    <w:p w14:paraId="2E854E19"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4B11DCDD"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0752E494"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1217B086"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31DBC558"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572E9171" w14:textId="77777777" w:rsidR="00833E69" w:rsidRPr="0048121B" w:rsidRDefault="00833E69" w:rsidP="0023584C">
      <w:pPr>
        <w:spacing w:line="360" w:lineRule="auto"/>
        <w:ind w:firstLine="450"/>
        <w:jc w:val="both"/>
        <w:rPr>
          <w:rFonts w:asciiTheme="minorHAnsi" w:hAnsiTheme="minorHAnsi" w:cstheme="minorHAnsi"/>
          <w:sz w:val="24"/>
          <w:szCs w:val="24"/>
        </w:rPr>
      </w:pPr>
    </w:p>
    <w:p w14:paraId="308E790A" w14:textId="77777777" w:rsidR="00833E69" w:rsidRPr="0048121B" w:rsidRDefault="00833E69" w:rsidP="0023584C">
      <w:pPr>
        <w:spacing w:line="360" w:lineRule="auto"/>
        <w:ind w:firstLine="450"/>
        <w:jc w:val="both"/>
        <w:rPr>
          <w:rFonts w:asciiTheme="minorHAnsi" w:hAnsiTheme="minorHAnsi" w:cstheme="minorHAnsi"/>
          <w:sz w:val="24"/>
          <w:szCs w:val="24"/>
        </w:rPr>
      </w:pPr>
    </w:p>
    <w:sectPr w:rsidR="00833E69" w:rsidRPr="0048121B" w:rsidSect="0048121B">
      <w:headerReference w:type="even" r:id="rId7"/>
      <w:headerReference w:type="default" r:id="rId8"/>
      <w:footerReference w:type="even" r:id="rId9"/>
      <w:footerReference w:type="default" r:id="rId10"/>
      <w:headerReference w:type="first" r:id="rId11"/>
      <w:footerReference w:type="first" r:id="rId12"/>
      <w:pgSz w:w="11906" w:h="16838"/>
      <w:pgMar w:top="778" w:right="720" w:bottom="778" w:left="720" w:header="720" w:footer="20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08367" w14:textId="77777777" w:rsidR="00E601D0" w:rsidRDefault="00E601D0">
      <w:r>
        <w:separator/>
      </w:r>
    </w:p>
  </w:endnote>
  <w:endnote w:type="continuationSeparator" w:id="0">
    <w:p w14:paraId="50376CB9" w14:textId="77777777" w:rsidR="00E601D0" w:rsidRDefault="00E60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0"/>
    <w:family w:val="auto"/>
    <w:pitch w:val="default"/>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5964" w14:textId="77777777" w:rsidR="00A46373" w:rsidRDefault="00A463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3B6D6" w14:textId="77777777" w:rsidR="00336147" w:rsidRPr="0048121B" w:rsidRDefault="003B1B8A" w:rsidP="00E925B9">
    <w:pPr>
      <w:jc w:val="center"/>
      <w:rPr>
        <w:rFonts w:ascii="Century Gothic" w:hAnsi="Century Gothic"/>
        <w:b/>
        <w:bCs/>
      </w:rPr>
    </w:pPr>
    <w:r w:rsidRPr="0048121B">
      <w:rPr>
        <w:rFonts w:ascii="Century Gothic" w:hAnsi="Century Gothic"/>
        <w:b/>
        <w:bCs/>
      </w:rPr>
      <w:t>F/QC-</w:t>
    </w:r>
    <w:r w:rsidR="001E18BD">
      <w:rPr>
        <w:rFonts w:ascii="Century Gothic" w:hAnsi="Century Gothic"/>
        <w:b/>
        <w:bCs/>
      </w:rPr>
      <w:t>38</w:t>
    </w:r>
    <w:r w:rsidRPr="0048121B">
      <w:rPr>
        <w:rFonts w:ascii="Century Gothic" w:hAnsi="Century Gothic"/>
        <w:b/>
        <w:bCs/>
      </w:rPr>
      <w:t xml:space="preserve"> (Rev – 00 / </w:t>
    </w:r>
    <w:r w:rsidR="001E18BD">
      <w:rPr>
        <w:rFonts w:ascii="Century Gothic" w:hAnsi="Century Gothic"/>
        <w:b/>
        <w:bCs/>
      </w:rPr>
      <w:t>24.02.2025</w:t>
    </w:r>
    <w:r w:rsidRPr="0048121B">
      <w:rPr>
        <w:rFonts w:ascii="Century Gothic" w:hAnsi="Century Gothic"/>
        <w:b/>
        <w:bCs/>
      </w:rPr>
      <w:t>)</w:t>
    </w:r>
  </w:p>
  <w:p w14:paraId="4A5A2BE6" w14:textId="77777777" w:rsidR="00655878" w:rsidRDefault="00655878">
    <w:pPr>
      <w:pageBreakBefore/>
      <w:spacing w:line="100" w:lineRule="atLeast"/>
      <w:rPr>
        <w:rFonts w:ascii="Calibri" w:hAnsi="Calibri"/>
        <w:color w:val="000000"/>
        <w:lang w:val="en-US"/>
      </w:rPr>
    </w:pPr>
  </w:p>
  <w:p w14:paraId="0052EFA6" w14:textId="77777777" w:rsidR="00601382" w:rsidRDefault="00601382">
    <w:pPr>
      <w:pageBreakBefore/>
      <w:spacing w:line="100" w:lineRule="atLea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255A0" w14:textId="77777777" w:rsidR="00A46373" w:rsidRDefault="00A463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C125" w14:textId="77777777" w:rsidR="00E601D0" w:rsidRDefault="00E601D0">
      <w:r>
        <w:separator/>
      </w:r>
    </w:p>
  </w:footnote>
  <w:footnote w:type="continuationSeparator" w:id="0">
    <w:p w14:paraId="57FDC143" w14:textId="77777777" w:rsidR="00E601D0" w:rsidRDefault="00E601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F9FB" w14:textId="77777777" w:rsidR="00FB10B3" w:rsidRDefault="00FB10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DD22B" w14:textId="77777777" w:rsidR="0023584C" w:rsidRDefault="00053767" w:rsidP="0023584C">
    <w:pPr>
      <w:pStyle w:val="Header"/>
      <w:jc w:val="center"/>
      <w:rPr>
        <w:rFonts w:ascii="Calibri" w:hAnsi="Calibri" w:cs="Calibri"/>
        <w:b/>
        <w:sz w:val="28"/>
        <w:szCs w:val="28"/>
      </w:rPr>
    </w:pPr>
    <w:r>
      <w:rPr>
        <w:rFonts w:ascii="Calibri" w:hAnsi="Calibri" w:cs="Calibri"/>
        <w:b/>
        <w:sz w:val="28"/>
        <w:szCs w:val="28"/>
      </w:rPr>
      <w:t xml:space="preserve">STATEMENT OF COMPLIANCE – </w:t>
    </w:r>
    <w:r w:rsidR="00E2633B">
      <w:rPr>
        <w:rFonts w:ascii="Calibri" w:hAnsi="Calibri" w:cs="Calibri"/>
        <w:b/>
        <w:sz w:val="28"/>
        <w:szCs w:val="28"/>
      </w:rPr>
      <w:t>FLEXIBLE PACKAGING (ROLLS &amp; POUCHES)</w:t>
    </w:r>
  </w:p>
  <w:p w14:paraId="0CC4AC2B" w14:textId="77777777" w:rsidR="0023584C" w:rsidRPr="0023584C" w:rsidRDefault="0023584C" w:rsidP="0023584C">
    <w:pPr>
      <w:pStyle w:val="Header"/>
      <w:jc w:val="center"/>
      <w:rPr>
        <w:rFonts w:ascii="Calibri" w:hAnsi="Calibri" w:cs="Calibri"/>
        <w:b/>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BA45" w14:textId="77777777" w:rsidR="00FB10B3" w:rsidRDefault="00FB10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8A6E5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D369A2"/>
    <w:multiLevelType w:val="hybridMultilevel"/>
    <w:tmpl w:val="A8961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3058DD"/>
    <w:multiLevelType w:val="hybridMultilevel"/>
    <w:tmpl w:val="ADE80E78"/>
    <w:lvl w:ilvl="0" w:tplc="5FA002D4">
      <w:numFmt w:val="bullet"/>
      <w:lvlText w:val="⇨"/>
      <w:lvlJc w:val="left"/>
      <w:pPr>
        <w:ind w:left="720" w:hanging="360"/>
      </w:pPr>
      <w:rPr>
        <w:rFonts w:ascii="Lucida Sans Unicode" w:eastAsia="Lucida Sans Unicode" w:hAnsi="Lucida Sans Unicode" w:cs="Lucida Sans Unicode" w:hint="default"/>
        <w:w w:val="93"/>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6670D6"/>
    <w:multiLevelType w:val="hybridMultilevel"/>
    <w:tmpl w:val="171003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A151F6"/>
    <w:multiLevelType w:val="hybridMultilevel"/>
    <w:tmpl w:val="248452B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64E5EF0"/>
    <w:multiLevelType w:val="hybridMultilevel"/>
    <w:tmpl w:val="CC4E667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095A38"/>
    <w:multiLevelType w:val="hybridMultilevel"/>
    <w:tmpl w:val="A66AB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FD09A3"/>
    <w:multiLevelType w:val="hybridMultilevel"/>
    <w:tmpl w:val="FD9292C2"/>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5C3777F8"/>
    <w:multiLevelType w:val="hybridMultilevel"/>
    <w:tmpl w:val="85E29F04"/>
    <w:lvl w:ilvl="0" w:tplc="5FA002D4">
      <w:numFmt w:val="bullet"/>
      <w:lvlText w:val="⇨"/>
      <w:lvlJc w:val="left"/>
      <w:pPr>
        <w:ind w:left="1170" w:hanging="360"/>
      </w:pPr>
      <w:rPr>
        <w:rFonts w:ascii="Lucida Sans Unicode" w:eastAsia="Lucida Sans Unicode" w:hAnsi="Lucida Sans Unicode" w:cs="Lucida Sans Unicode" w:hint="default"/>
        <w:w w:val="93"/>
        <w:sz w:val="24"/>
        <w:szCs w:val="24"/>
        <w:lang w:val="en-US" w:eastAsia="en-US" w:bidi="ar-SA"/>
      </w:rPr>
    </w:lvl>
    <w:lvl w:ilvl="1" w:tplc="08090003" w:tentative="1">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13" w15:restartNumberingAfterBreak="0">
    <w:nsid w:val="5CBB338A"/>
    <w:multiLevelType w:val="hybridMultilevel"/>
    <w:tmpl w:val="CC3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EB0C37"/>
    <w:multiLevelType w:val="hybridMultilevel"/>
    <w:tmpl w:val="93B291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73907608">
    <w:abstractNumId w:val="0"/>
  </w:num>
  <w:num w:numId="2" w16cid:durableId="1410273598">
    <w:abstractNumId w:val="1"/>
  </w:num>
  <w:num w:numId="3" w16cid:durableId="163908834">
    <w:abstractNumId w:val="2"/>
  </w:num>
  <w:num w:numId="4" w16cid:durableId="1266305304">
    <w:abstractNumId w:val="3"/>
  </w:num>
  <w:num w:numId="5" w16cid:durableId="279381817">
    <w:abstractNumId w:val="8"/>
  </w:num>
  <w:num w:numId="6" w16cid:durableId="362826660">
    <w:abstractNumId w:val="0"/>
  </w:num>
  <w:num w:numId="7" w16cid:durableId="1691762147">
    <w:abstractNumId w:val="14"/>
  </w:num>
  <w:num w:numId="8" w16cid:durableId="1856337943">
    <w:abstractNumId w:val="5"/>
  </w:num>
  <w:num w:numId="9" w16cid:durableId="2056267524">
    <w:abstractNumId w:val="4"/>
  </w:num>
  <w:num w:numId="10" w16cid:durableId="2007246769">
    <w:abstractNumId w:val="13"/>
  </w:num>
  <w:num w:numId="11" w16cid:durableId="1502621805">
    <w:abstractNumId w:val="10"/>
  </w:num>
  <w:num w:numId="12" w16cid:durableId="1913732356">
    <w:abstractNumId w:val="11"/>
  </w:num>
  <w:num w:numId="13" w16cid:durableId="785806313">
    <w:abstractNumId w:val="9"/>
  </w:num>
  <w:num w:numId="14" w16cid:durableId="1438870420">
    <w:abstractNumId w:val="7"/>
  </w:num>
  <w:num w:numId="15" w16cid:durableId="893540727">
    <w:abstractNumId w:val="6"/>
  </w:num>
  <w:num w:numId="16" w16cid:durableId="18277004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embedSystemFont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8E"/>
    <w:rsid w:val="0002389E"/>
    <w:rsid w:val="000303A0"/>
    <w:rsid w:val="00033E31"/>
    <w:rsid w:val="00053767"/>
    <w:rsid w:val="00057636"/>
    <w:rsid w:val="0006748E"/>
    <w:rsid w:val="00097D52"/>
    <w:rsid w:val="00097DDF"/>
    <w:rsid w:val="000A1B8B"/>
    <w:rsid w:val="000B3DDA"/>
    <w:rsid w:val="000D5DBF"/>
    <w:rsid w:val="00106224"/>
    <w:rsid w:val="001123A2"/>
    <w:rsid w:val="0013619A"/>
    <w:rsid w:val="001710C7"/>
    <w:rsid w:val="001D3155"/>
    <w:rsid w:val="001E18BD"/>
    <w:rsid w:val="001E6A2C"/>
    <w:rsid w:val="00210626"/>
    <w:rsid w:val="00230150"/>
    <w:rsid w:val="0023584C"/>
    <w:rsid w:val="0024795C"/>
    <w:rsid w:val="00253DED"/>
    <w:rsid w:val="0026391D"/>
    <w:rsid w:val="00267B99"/>
    <w:rsid w:val="0027523C"/>
    <w:rsid w:val="00293B97"/>
    <w:rsid w:val="002B5BCA"/>
    <w:rsid w:val="002D0F33"/>
    <w:rsid w:val="002E18E3"/>
    <w:rsid w:val="002E65BE"/>
    <w:rsid w:val="002F7BB2"/>
    <w:rsid w:val="0030492F"/>
    <w:rsid w:val="003075FA"/>
    <w:rsid w:val="00325ED3"/>
    <w:rsid w:val="00326A2A"/>
    <w:rsid w:val="00336147"/>
    <w:rsid w:val="00354468"/>
    <w:rsid w:val="00354D6E"/>
    <w:rsid w:val="00355493"/>
    <w:rsid w:val="003B1B8A"/>
    <w:rsid w:val="003E2532"/>
    <w:rsid w:val="003F6D52"/>
    <w:rsid w:val="00403F3F"/>
    <w:rsid w:val="004127DF"/>
    <w:rsid w:val="00414ACB"/>
    <w:rsid w:val="00435DC5"/>
    <w:rsid w:val="00452E4E"/>
    <w:rsid w:val="00464C23"/>
    <w:rsid w:val="004732D1"/>
    <w:rsid w:val="0048121B"/>
    <w:rsid w:val="004A44E1"/>
    <w:rsid w:val="004E2CA8"/>
    <w:rsid w:val="0050716C"/>
    <w:rsid w:val="005375AE"/>
    <w:rsid w:val="0054117B"/>
    <w:rsid w:val="005D34BB"/>
    <w:rsid w:val="005D7BBB"/>
    <w:rsid w:val="005F4ECE"/>
    <w:rsid w:val="00601382"/>
    <w:rsid w:val="006074AA"/>
    <w:rsid w:val="00613637"/>
    <w:rsid w:val="00655878"/>
    <w:rsid w:val="006A5594"/>
    <w:rsid w:val="006C65E3"/>
    <w:rsid w:val="00743708"/>
    <w:rsid w:val="00787CE0"/>
    <w:rsid w:val="007D17B9"/>
    <w:rsid w:val="007D4948"/>
    <w:rsid w:val="007D567E"/>
    <w:rsid w:val="00833E69"/>
    <w:rsid w:val="00836EF8"/>
    <w:rsid w:val="008A41E6"/>
    <w:rsid w:val="008C7466"/>
    <w:rsid w:val="008E2870"/>
    <w:rsid w:val="008E30E4"/>
    <w:rsid w:val="00917608"/>
    <w:rsid w:val="009307FD"/>
    <w:rsid w:val="0094167E"/>
    <w:rsid w:val="00952149"/>
    <w:rsid w:val="00961290"/>
    <w:rsid w:val="00962EAD"/>
    <w:rsid w:val="009669DE"/>
    <w:rsid w:val="009A7822"/>
    <w:rsid w:val="009B68C8"/>
    <w:rsid w:val="009D316B"/>
    <w:rsid w:val="00A15898"/>
    <w:rsid w:val="00A46373"/>
    <w:rsid w:val="00A504B6"/>
    <w:rsid w:val="00A5073D"/>
    <w:rsid w:val="00A52A92"/>
    <w:rsid w:val="00A550E9"/>
    <w:rsid w:val="00A8729B"/>
    <w:rsid w:val="00A90693"/>
    <w:rsid w:val="00AA00A2"/>
    <w:rsid w:val="00AA4988"/>
    <w:rsid w:val="00AB1A8B"/>
    <w:rsid w:val="00AE0685"/>
    <w:rsid w:val="00B1074D"/>
    <w:rsid w:val="00B168F4"/>
    <w:rsid w:val="00B40383"/>
    <w:rsid w:val="00B92BDA"/>
    <w:rsid w:val="00BB20FD"/>
    <w:rsid w:val="00BB5450"/>
    <w:rsid w:val="00C94A45"/>
    <w:rsid w:val="00CC5FED"/>
    <w:rsid w:val="00CC75C1"/>
    <w:rsid w:val="00D02BC1"/>
    <w:rsid w:val="00D139AF"/>
    <w:rsid w:val="00D33EC0"/>
    <w:rsid w:val="00D40AD1"/>
    <w:rsid w:val="00D56C3D"/>
    <w:rsid w:val="00DD33AC"/>
    <w:rsid w:val="00DD75B5"/>
    <w:rsid w:val="00DF0144"/>
    <w:rsid w:val="00E14E47"/>
    <w:rsid w:val="00E17098"/>
    <w:rsid w:val="00E2633B"/>
    <w:rsid w:val="00E601D0"/>
    <w:rsid w:val="00E614DC"/>
    <w:rsid w:val="00E702ED"/>
    <w:rsid w:val="00E827CC"/>
    <w:rsid w:val="00E87C01"/>
    <w:rsid w:val="00E925B9"/>
    <w:rsid w:val="00EB0EEA"/>
    <w:rsid w:val="00F45228"/>
    <w:rsid w:val="00F54023"/>
    <w:rsid w:val="00F63F8E"/>
    <w:rsid w:val="00F776DB"/>
    <w:rsid w:val="00FB10B3"/>
    <w:rsid w:val="00FC1E59"/>
    <w:rsid w:val="00FD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666E682"/>
  <w15:chartTrackingRefBased/>
  <w15:docId w15:val="{A04A3545-4D7A-4F1B-9754-F0A0D4173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lang w:val="en-GB" w:eastAsia="en-GB"/>
    </w:rPr>
  </w:style>
  <w:style w:type="paragraph" w:styleId="Heading1">
    <w:name w:val="heading 1"/>
    <w:basedOn w:val="Heading"/>
    <w:next w:val="BodyText"/>
    <w:qFormat/>
    <w:pPr>
      <w:numPr>
        <w:numId w:val="1"/>
      </w:numPr>
      <w:outlineLvl w:val="0"/>
    </w:pPr>
  </w:style>
  <w:style w:type="paragraph" w:styleId="Heading2">
    <w:name w:val="heading 2"/>
    <w:basedOn w:val="Heading"/>
    <w:next w:val="BodyText"/>
    <w:qFormat/>
    <w:pPr>
      <w:numPr>
        <w:ilvl w:val="1"/>
        <w:numId w:val="1"/>
      </w:numPr>
      <w:outlineLvl w:val="1"/>
    </w:pPr>
  </w:style>
  <w:style w:type="paragraph" w:styleId="Heading3">
    <w:name w:val="heading 3"/>
    <w:basedOn w:val="Heading"/>
    <w:next w:val="BodyText"/>
    <w:qFormat/>
    <w:pPr>
      <w:numPr>
        <w:ilvl w:val="2"/>
        <w:numId w:val="1"/>
      </w:num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8Num2z1">
    <w:name w:val="WW8Num2z1"/>
    <w:rPr>
      <w:b w:val="0"/>
    </w:rPr>
  </w:style>
  <w:style w:type="character" w:customStyle="1" w:styleId="WW8Num3z0">
    <w:name w:val="WW8Num3z0"/>
    <w:rPr>
      <w:b/>
    </w:rPr>
  </w:style>
  <w:style w:type="character" w:customStyle="1" w:styleId="WW8Num3z1">
    <w:name w:val="WW8Num3z1"/>
    <w:rPr>
      <w:b w:val="0"/>
    </w:rPr>
  </w:style>
  <w:style w:type="character" w:customStyle="1" w:styleId="WW8Num4z0">
    <w:name w:val="WW8Num4z0"/>
    <w:rPr>
      <w:rFonts w:ascii="Wingdings" w:hAnsi="Wingdings" w:cs="OpenSymbol"/>
    </w:rPr>
  </w:style>
  <w:style w:type="character" w:customStyle="1" w:styleId="WW8Num5z0">
    <w:name w:val="WW8Num5z0"/>
    <w:rPr>
      <w:rFonts w:ascii="Symbol" w:hAnsi="Symbol" w:cs="OpenSymbol"/>
    </w:rPr>
  </w:style>
  <w:style w:type="character" w:customStyle="1" w:styleId="WW8Num5z1">
    <w:name w:val="WW8Num5z1"/>
    <w:rPr>
      <w:rFonts w:ascii="OpenSymbol" w:hAnsi="OpenSymbol" w:cs="OpenSymbol"/>
    </w:rPr>
  </w:style>
  <w:style w:type="character" w:customStyle="1" w:styleId="WW8Num5z4">
    <w:name w:val="WW8Num5z4"/>
    <w:rPr>
      <w:rFonts w:ascii="Wingdings" w:hAnsi="Wingdings" w:cs="OpenSymbol"/>
    </w:rPr>
  </w:style>
  <w:style w:type="character" w:customStyle="1" w:styleId="WW8Num7z0">
    <w:name w:val="WW8Num7z0"/>
    <w:rPr>
      <w:b/>
    </w:rPr>
  </w:style>
  <w:style w:type="character" w:customStyle="1" w:styleId="WW8Num7z1">
    <w:name w:val="WW8Num7z1"/>
    <w:rPr>
      <w:b w:val="0"/>
    </w:rPr>
  </w:style>
  <w:style w:type="character" w:styleId="PageNumber">
    <w:name w:val="page number"/>
    <w:basedOn w:val="DefaultParagraphFont"/>
  </w:style>
  <w:style w:type="character" w:customStyle="1" w:styleId="Bullets">
    <w:name w:val="Bullets"/>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style>
  <w:style w:type="paragraph" w:customStyle="1" w:styleId="Index">
    <w:name w:val="Index"/>
    <w:basedOn w:val="Normal"/>
    <w:pPr>
      <w:suppressLineNumbers/>
    </w:pPr>
    <w:rPr>
      <w:rFonts w:cs="Mangal"/>
    </w:rPr>
  </w:style>
  <w:style w:type="paragraph" w:styleId="Header">
    <w:name w:val="header"/>
    <w:basedOn w:val="Normal"/>
    <w:pPr>
      <w:suppressLineNumbers/>
      <w:tabs>
        <w:tab w:val="center" w:pos="4986"/>
        <w:tab w:val="right" w:pos="9972"/>
      </w:tabs>
    </w:pPr>
  </w:style>
  <w:style w:type="paragraph" w:styleId="Footer">
    <w:name w:val="footer"/>
    <w:basedOn w:val="Normal"/>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PlainText">
    <w:name w:val="WW-Plain Text"/>
    <w:basedOn w:val="Normal"/>
  </w:style>
  <w:style w:type="paragraph" w:customStyle="1" w:styleId="WW-BodyText2">
    <w:name w:val="WW-Body Text 2"/>
    <w:basedOn w:val="Normal"/>
    <w:pPr>
      <w:jc w:val="both"/>
    </w:pPr>
  </w:style>
  <w:style w:type="paragraph" w:styleId="PlainText">
    <w:name w:val="Plain Text"/>
    <w:basedOn w:val="Normal"/>
  </w:style>
  <w:style w:type="paragraph" w:customStyle="1" w:styleId="WW-BodyTextIndent2">
    <w:name w:val="WW-Body Text Indent 2"/>
    <w:basedOn w:val="Normal"/>
    <w:pPr>
      <w:spacing w:line="360" w:lineRule="auto"/>
      <w:ind w:left="720" w:firstLine="1"/>
    </w:pPr>
  </w:style>
  <w:style w:type="paragraph" w:styleId="BodyText2">
    <w:name w:val="Body Text 2"/>
    <w:basedOn w:val="Normal"/>
    <w:pPr>
      <w:jc w:val="both"/>
    </w:pPr>
  </w:style>
  <w:style w:type="paragraph" w:styleId="Subtitle">
    <w:name w:val="Subtitle"/>
    <w:basedOn w:val="Normal"/>
    <w:next w:val="BodyText"/>
    <w:qFormat/>
    <w:pPr>
      <w:jc w:val="center"/>
    </w:pPr>
  </w:style>
  <w:style w:type="paragraph" w:styleId="Title">
    <w:name w:val="Title"/>
    <w:basedOn w:val="Normal"/>
    <w:next w:val="Subtitle"/>
    <w:qFormat/>
    <w:pPr>
      <w:jc w:val="center"/>
    </w:pPr>
  </w:style>
  <w:style w:type="table" w:styleId="TableGrid">
    <w:name w:val="Table Grid"/>
    <w:basedOn w:val="TableNormal"/>
    <w:rsid w:val="005D7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54468"/>
    <w:pPr>
      <w:autoSpaceDE w:val="0"/>
      <w:autoSpaceDN w:val="0"/>
      <w:adjustRightInd w:val="0"/>
    </w:pPr>
    <w:rPr>
      <w:rFonts w:ascii="Arial" w:hAnsi="Arial" w:cs="Arial"/>
      <w:color w:val="000000"/>
      <w:sz w:val="24"/>
      <w:szCs w:val="24"/>
      <w:lang w:val="en-IN" w:eastAsia="en-IN"/>
    </w:rPr>
  </w:style>
  <w:style w:type="paragraph" w:customStyle="1" w:styleId="TableParagraph">
    <w:name w:val="Table Paragraph"/>
    <w:basedOn w:val="Normal"/>
    <w:uiPriority w:val="1"/>
    <w:qFormat/>
    <w:rsid w:val="0048121B"/>
    <w:pPr>
      <w:suppressAutoHyphens w:val="0"/>
      <w:autoSpaceDE w:val="0"/>
      <w:autoSpaceDN w:val="0"/>
      <w:ind w:left="107"/>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1145</Words>
  <Characters>6529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shashank</cp:lastModifiedBy>
  <cp:revision>27</cp:revision>
  <cp:lastPrinted>2020-03-15T04:15:00Z</cp:lastPrinted>
  <dcterms:created xsi:type="dcterms:W3CDTF">2022-01-09T13:14:00Z</dcterms:created>
  <dcterms:modified xsi:type="dcterms:W3CDTF">2025-11-19T19:22:00Z</dcterms:modified>
</cp:coreProperties>
</file>