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(1925)/Редакция 23.01.1935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B24CC4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B24CC4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B24CC4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B24CC4">
        <w:rPr>
          <w:rFonts w:ascii="LiberationSerif" w:eastAsia="Times New Roman" w:hAnsi="LiberationSerif" w:cs="Times New Roman"/>
          <w:sz w:val="22"/>
          <w:szCs w:val="22"/>
          <w:lang w:eastAsia="ru-RU"/>
        </w:rPr>
        <w:t>̆ библиотеки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 Конституция РСФСР (1925)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ans" w:eastAsia="Times New Roman" w:hAnsi="LiberationSans" w:cs="Times New Roman"/>
          <w:sz w:val="22"/>
          <w:szCs w:val="22"/>
          <w:lang w:eastAsia="ru-RU"/>
        </w:rPr>
        <w:t>Опубл</w:t>
      </w:r>
      <w:proofErr w:type="spellEnd"/>
      <w:r w:rsidRPr="00B24CC4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.: 1925—1927. Источник: Известия ЦИК СССР и ВЦИК, 26.05.1925, </w:t>
      </w:r>
      <w:proofErr w:type="spellStart"/>
      <w:r w:rsidRPr="00B24CC4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B24CC4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118; Собрание узаконений и распоряжений Рабоче-крестьянского Правительства РСФСР, 1925, </w:t>
      </w:r>
      <w:proofErr w:type="spellStart"/>
      <w:r w:rsidRPr="00B24CC4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B24CC4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30, ст. 218. •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Документ приводится в редакциях следующих нормативных актов: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ans" w:eastAsia="Times New Roman" w:hAnsi="LiberationSans" w:cs="Times New Roman"/>
          <w:lang w:eastAsia="ru-RU"/>
        </w:rPr>
        <w:t xml:space="preserve">Постановления ВЦИК от 18 ноября 1926 года «Об изменении Конституции РСФСР и Общего Положения о Народных Комиссариатах РСФСР»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ans" w:eastAsia="Times New Roman" w:hAnsi="LiberationSans" w:cs="Times New Roman"/>
          <w:lang w:eastAsia="ru-RU"/>
        </w:rPr>
        <w:t xml:space="preserve">Постановления XIII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 Съезда Советов Рабочих, Крестьянских, Казачьих и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Красноармейских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 Депутатов от 15 апреля 1927 г. «Об изменении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статеи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37, 38 и 47 Конституции (Основного Закона)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Российскои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Социалистическои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Федеративнои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Советскои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Республики»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ans" w:eastAsia="Times New Roman" w:hAnsi="LiberationSans" w:cs="Times New Roman"/>
          <w:lang w:eastAsia="ru-RU"/>
        </w:rPr>
        <w:t xml:space="preserve">Постановления XIV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 Съезда Советов Рабочих, Крестьянских, Казачьих и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Красноармейских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 Депутатов от 18 мая 1929 г. «Об изменении и дополнении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ст.ст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. 1, 4, 12, 13, 15, 16, 17, 20, 21, 22, 25, 27, 29, 32, 35, 36, 38, 43, 44, 45, 49, 50, 51, 52, 54, 57, 58, 59, 61, 62, 64, 65, 66, 67, 69, 84 и 89 Конституции (Основного закона) РСФСР»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ans" w:eastAsia="Times New Roman" w:hAnsi="LiberationSans" w:cs="Times New Roman"/>
          <w:lang w:eastAsia="ru-RU"/>
        </w:rPr>
        <w:t xml:space="preserve">Постановления XV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 Съезда Советов от 4 марта 1931 года «Об изменении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статеи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20, 37, 38, 47, 49, 50, 51, 52, 57, 64 и 67 Конституции (Основного закона) РСФСР»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ans" w:eastAsia="Times New Roman" w:hAnsi="LiberationSans" w:cs="Times New Roman"/>
          <w:lang w:eastAsia="ru-RU"/>
        </w:rPr>
        <w:t xml:space="preserve">Постановления XVI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 Съезда Советов от 23 января 1935 года «Об изменении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статеи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32, 37, 38, 40, 41, 47, 76 и 80 Конституции (Основного закона)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Российскои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Социалистическои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Федеративнои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lang w:eastAsia="ru-RU"/>
        </w:rPr>
        <w:t>Советскои</w:t>
      </w:r>
      <w:proofErr w:type="spellEnd"/>
      <w:r w:rsidRPr="00B24CC4">
        <w:rPr>
          <w:rFonts w:ascii="LiberationSans" w:eastAsia="Times New Roman" w:hAnsi="LiberationSans" w:cs="Times New Roman"/>
          <w:lang w:eastAsia="ru-RU"/>
        </w:rPr>
        <w:t xml:space="preserve">̆ Республики» </w:t>
      </w:r>
    </w:p>
    <w:p w:rsidR="00B24CC4" w:rsidRPr="00B24CC4" w:rsidRDefault="00B24CC4" w:rsidP="00B24CC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B24CC4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"/var/folders/wf/6c8yhc710wl8hn5r_63k0pc00000gn/T/com.microsoft.Word/WebArchiveCopyPasteTempFiles/page1image8625280" \* MERGEFORMATINET </w:instrText>
      </w:r>
      <w:r w:rsidRPr="00B24CC4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B24CC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404" name="Рисунок 404" descr="page1image862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page1image86252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CC4">
        <w:rPr>
          <w:rFonts w:ascii="Times New Roman" w:eastAsia="Times New Roman" w:hAnsi="Times New Roman" w:cs="Times New Roman"/>
          <w:lang w:eastAsia="ru-RU"/>
        </w:rPr>
        <w:fldChar w:fldCharType="end"/>
      </w:r>
      <w:r w:rsidRPr="00B24CC4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Конституция (</w:t>
      </w:r>
      <w:proofErr w:type="spellStart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Основнои</w:t>
      </w:r>
      <w:proofErr w:type="spellEnd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закон) </w:t>
      </w:r>
      <w:proofErr w:type="spellStart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Российскои</w:t>
      </w:r>
      <w:proofErr w:type="spellEnd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Социалистическои</w:t>
      </w:r>
      <w:proofErr w:type="spellEnd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Федеративнои</w:t>
      </w:r>
      <w:proofErr w:type="spellEnd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Советскои</w:t>
      </w:r>
      <w:proofErr w:type="spellEnd"/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̆ Республики</w:t>
      </w:r>
      <w:r w:rsidRPr="00B24CC4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br/>
      </w:r>
      <w:r w:rsidRPr="00B24CC4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постановлением XII </w:t>
      </w:r>
      <w:proofErr w:type="spellStart"/>
      <w:r w:rsidRPr="00B24CC4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Всероссийского</w:t>
      </w:r>
      <w:proofErr w:type="spellEnd"/>
      <w:r w:rsidRPr="00B24CC4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Съезда Советов от 11 мая 1925 года (с изменениями и дополнениями) </w:t>
      </w:r>
    </w:p>
    <w:bookmarkEnd w:id="0"/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ПЕРВЫЙ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Общие положения</w:t>
      </w:r>
      <w:r w:rsidRPr="00B24CC4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первая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1. </w:t>
      </w:r>
      <w:r w:rsidRPr="00B24CC4">
        <w:rPr>
          <w:rFonts w:ascii="LiberationSerif" w:eastAsia="Times New Roman" w:hAnsi="LiberationSerif" w:cs="Times New Roman"/>
          <w:lang w:eastAsia="ru-RU"/>
        </w:rPr>
        <w:t>Настоящая</w:t>
      </w:r>
      <w:r w:rsidRPr="00B24CC4">
        <w:rPr>
          <w:rFonts w:ascii="LiberationSerif" w:eastAsia="Times New Roman" w:hAnsi="LiberationSerif" w:cs="Times New Roman"/>
          <w:lang w:eastAsia="ru-RU"/>
        </w:rPr>
        <w:br/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исходит из основных положений декларации прав трудящегося и эксплуатируемого народа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B24CC4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декларации прав народов России от </w:t>
      </w:r>
      <w:r w:rsidRPr="00B24CC4">
        <w:rPr>
          <w:rFonts w:ascii="Caladea" w:eastAsia="Times New Roman" w:hAnsi="Caladea" w:cs="Times New Roman"/>
          <w:lang w:eastAsia="ru-RU"/>
        </w:rPr>
        <w:t xml:space="preserve">2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ноября </w:t>
      </w:r>
      <w:r w:rsidRPr="00B24CC4">
        <w:rPr>
          <w:rFonts w:ascii="Caladea" w:eastAsia="Times New Roman" w:hAnsi="Caladea" w:cs="Times New Roman"/>
          <w:lang w:eastAsia="ru-RU"/>
        </w:rPr>
        <w:t xml:space="preserve">1917 </w:t>
      </w:r>
      <w:r w:rsidRPr="00B24CC4">
        <w:rPr>
          <w:rFonts w:ascii="LiberationSerif" w:eastAsia="Times New Roman" w:hAnsi="LiberationSerif" w:cs="Times New Roman"/>
          <w:lang w:eastAsia="ru-RU"/>
        </w:rPr>
        <w:t>г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 основных начал Конституции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Основного </w:t>
      </w:r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>закона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B24CC4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 имеет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гарантировать диктатуру пролетариата в целях подавления буржуазии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уничтожения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эксплоатации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человека человеком и осуществления коммунизма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при котором не будет ни деления на классы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2.</w:t>
      </w:r>
      <w:r w:rsidRPr="00B24CC4">
        <w:rPr>
          <w:rFonts w:ascii="LiberationSerif" w:eastAsia="Times New Roman" w:hAnsi="LiberationSerif" w:cs="Times New Roman"/>
          <w:lang w:eastAsia="ru-RU"/>
        </w:rPr>
        <w:t>Российская Республика есть социалистическое государство рабочих и крестьян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строющееся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на основе федерации национальных советских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Вся власть в пределах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принадлежит советам рабочих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крестьянских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казачьих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красноармейских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депутатов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3.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Носителем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Верховнои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Власти 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Республике является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Согласно воле народов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принявших решение на 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об образовании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входя в состав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передает Союзу полномочия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отнесенные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соответствии со ст</w:t>
      </w:r>
      <w:r w:rsidRPr="00B24CC4">
        <w:rPr>
          <w:rFonts w:ascii="Caladea" w:eastAsia="Times New Roman" w:hAnsi="Caladea" w:cs="Times New Roman"/>
          <w:lang w:eastAsia="ru-RU"/>
        </w:rPr>
        <w:t xml:space="preserve">. 1 </w:t>
      </w:r>
      <w:r w:rsidRPr="00B24CC4">
        <w:rPr>
          <w:rFonts w:ascii="LiberationSerif" w:eastAsia="Times New Roman" w:hAnsi="LiberationSerif" w:cs="Times New Roman"/>
          <w:lang w:eastAsia="ru-RU"/>
        </w:rPr>
        <w:t>Конституции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к ведению органов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свободы совести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церковь отделяется от государства и школа от церкви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свобода религиозных исповеданий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Конституция </w:t>
      </w:r>
      <w:r w:rsidRPr="00B24CC4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закон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5.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свободы выражения своих мнений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уничтожает зависимость печати от капитала и предоставляет в руки рабочего класса и крестьянства все технические и материальные средства к изданию газет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брошюр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книг и всяких других произведений печати и обеспечивает их свободное распространение по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стране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6.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свободы собраний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признавая право граждан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свободно устраивать собрания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митинги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шествия и т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>п</w:t>
      </w:r>
      <w:r w:rsidRPr="00B24CC4">
        <w:rPr>
          <w:rFonts w:ascii="Caladea" w:eastAsia="Times New Roman" w:hAnsi="Caladea" w:cs="Times New Roman"/>
          <w:lang w:eastAsia="ru-RU"/>
        </w:rPr>
        <w:t xml:space="preserve">.,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предоставляет в распоряжение рабочего класса и крестьянства все пригодные для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устройства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народных собраний помещения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7.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свободы союзов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сломив экономическую и политическую власть имущих классов и этим устранив все препятствия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которые до сих пор мешали в буржуазном обществе рабочим и крестьянам пользоваться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свободои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организации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действия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оказывает рабочим и крестьянам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содействие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для 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единения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и организации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lastRenderedPageBreak/>
        <w:t>8.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действительного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доступа к знанию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ставит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предоставить им полное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всестороннее и бесплатное образование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9.</w:t>
      </w:r>
      <w:r w:rsidRPr="00B24CC4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признает труд обязанностью всех граждан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10.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целях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всемернои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охраны завоеваний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Великои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Рабоче</w:t>
      </w:r>
      <w:r w:rsidRPr="00B24CC4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Революции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обязанностью всех граждан Республики защиту социалистического отечества и устанавливает всеобщую воинскую повинность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>Почетное право защищать Революцию с оружием в руках предоставляется только трудящимся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 нетрудовые элементы возлагается отправление иных воинских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обязанностеи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11.</w:t>
      </w:r>
      <w:r w:rsidRPr="00B24CC4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все права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устанавливаемые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законодательством Республики для граждан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также и всем пребывающим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гражданам других союзных советских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исходя из солидарности трудящихся всех наций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предоставляет все политические права иностранцам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проживающим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для трудовых занятий и принадлежащим к рабочему классу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равно к не пользующемуся чужим трудом крестьянству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на основе постановлений верховных органов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12.</w:t>
      </w:r>
      <w:r w:rsidRPr="00B24CC4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право убежища всем иностранцам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подвергающимся преследованиям за революционно</w:t>
      </w:r>
      <w:r w:rsidRPr="00B24CC4">
        <w:rPr>
          <w:rFonts w:ascii="Caladea" w:eastAsia="Times New Roman" w:hAnsi="Caladea" w:cs="Times New Roman"/>
          <w:lang w:eastAsia="ru-RU"/>
        </w:rPr>
        <w:t xml:space="preserve">- </w:t>
      </w:r>
      <w:r w:rsidRPr="00B24CC4">
        <w:rPr>
          <w:rFonts w:ascii="LiberationSerif" w:eastAsia="Times New Roman" w:hAnsi="LiberationSerif" w:cs="Times New Roman"/>
          <w:lang w:eastAsia="ru-RU"/>
        </w:rPr>
        <w:t>освободительную деятельность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13.</w:t>
      </w:r>
      <w:r w:rsidRPr="00B24CC4">
        <w:rPr>
          <w:rFonts w:ascii="LiberationSerif" w:eastAsia="Times New Roman" w:hAnsi="LiberationSerif" w:cs="Times New Roman"/>
          <w:lang w:eastAsia="ru-RU"/>
        </w:rPr>
        <w:t>Признавая право всех наций на самоопределение вплоть до отделения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исходя из твердо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выраженнои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воли трудящихся отдельных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населяющих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Российскую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Социалистическую Федеративную Советскую Республику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 оформлению своего государственного бытия в составе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единяется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 этими национальностями путем образования в составе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национальных автономных советских социалистических республик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Исходя из равенства прав граждан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независимо от 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являет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совершенно несовместимым с основными законами Республики какое бы то ни было угнетение национальных меньшинств или ограничение их равноправия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равно установление или допущение каких бы то ни было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прямых или косвенных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преимуществ для отдельных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признает за всеми гражданами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право и обеспечивает им полную возможность свободного пользования родным языком на съездах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суде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школе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управлении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жизни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lastRenderedPageBreak/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14. </w:t>
      </w:r>
      <w:r w:rsidRPr="00B24CC4">
        <w:rPr>
          <w:rFonts w:ascii="LiberationSerif" w:eastAsia="Times New Roman" w:hAnsi="LiberationSerif" w:cs="Times New Roman"/>
          <w:lang w:eastAsia="ru-RU"/>
        </w:rPr>
        <w:t>Руководствуясь интересами трудящихся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лишает отдельных лиц и отдельные группы прав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которыми они пользуются в ущерб интересам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революции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15.</w:t>
      </w:r>
      <w:r w:rsidRPr="00B24CC4">
        <w:rPr>
          <w:rFonts w:ascii="LiberationSerif" w:eastAsia="Times New Roman" w:hAnsi="LiberationSerif" w:cs="Times New Roman"/>
          <w:lang w:eastAsia="ru-RU"/>
        </w:rPr>
        <w:t>Вся земля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леса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недра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воды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равно фабрики и заводы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железнодорожныи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водныи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воздушныи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транспорт и средства связи являются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собственностью на основах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определяемых особыми законами Союза Советских Социалистических Республик и верховными органами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ВТОРОЙ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вторая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 и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16.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Исключительному ведению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подлежит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дополнение и изменение основных начал Конституции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и окончательное утверждение частичных дополнений и изменений Конституции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принятых сессиями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в период между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окончательное утверждение конституций автономных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дополнений и изменений этих конституций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17.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подлежат все вопросы общегосударственного значения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как</w:t>
      </w:r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>то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общее руководство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народным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утверждение решений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отдельных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о выделении их в автономные советские социалистические республики и области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установление границ автономных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утверждение конституций их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утверждение дополнений и изменений этих конституций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разрешение споров между автономными советскими социалистическими республиками и между ними и другими частями Федерации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в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изменение границ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общее административное разделение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и утверждение краевых и областных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>г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соответствии с законодательством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плана всего народного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и отдельных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отраслеи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его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д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утверждение бюджета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как части единого государственного бюджета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е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и законодательством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государственных и местных налогов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сборов и неналоговых доходов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заключение внешних и внутренних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ж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контроль над государственными доходами и расходами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з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утверждение кодексов законов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и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отмена и изменение постановлений съездов советов автономных советских социалистических республик и автономных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других местных съездов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</w:t>
      </w:r>
      <w:r w:rsidRPr="00B24CC4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закон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или постановления верховных органов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к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отмена постановлений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и автономных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других местных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или постановления верховных органов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18.</w:t>
      </w:r>
      <w:r w:rsidRPr="00B24CC4">
        <w:rPr>
          <w:rFonts w:ascii="LiberationSerif" w:eastAsia="Times New Roman" w:hAnsi="LiberationSerif" w:cs="Times New Roman"/>
          <w:lang w:eastAsia="ru-RU"/>
        </w:rPr>
        <w:t>Сверх перечисленных вопросов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подлежат и другие вопросы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19.</w:t>
      </w:r>
      <w:r w:rsidRPr="00B24CC4">
        <w:rPr>
          <w:rFonts w:ascii="LiberationSerif" w:eastAsia="Times New Roman" w:hAnsi="LiberationSerif" w:cs="Times New Roman"/>
          <w:lang w:eastAsia="ru-RU"/>
        </w:rPr>
        <w:t>В пределах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указанных в Основном Законе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 по предметам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отнесенным к компетенции Союза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имеют обязательную силу постановления верховных органов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>За этим исключением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никакие органы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кроме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его Президиума и Совета Народных Комиссаров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не имеют права издавать законодательные акты общегосударственного значения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ТРЕТИЙ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B24CC4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Об </w:t>
      </w:r>
      <w:proofErr w:type="spellStart"/>
      <w:r w:rsidRPr="00B24CC4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устройстве</w:t>
      </w:r>
      <w:proofErr w:type="spellEnd"/>
      <w:r w:rsidRPr="00B24CC4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третья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центральнои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lastRenderedPageBreak/>
        <w:t>А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езде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20.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составляется на основаниях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установленных ст</w:t>
      </w:r>
      <w:r w:rsidRPr="00B24CC4">
        <w:rPr>
          <w:rFonts w:ascii="Caladea" w:eastAsia="Times New Roman" w:hAnsi="Caladea" w:cs="Times New Roman"/>
          <w:lang w:eastAsia="ru-RU"/>
        </w:rPr>
        <w:t xml:space="preserve">. 25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B24CC4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городских советов по расчету один делегат на </w:t>
      </w:r>
      <w:r w:rsidRPr="00B24CC4">
        <w:rPr>
          <w:rFonts w:ascii="Caladea" w:eastAsia="Times New Roman" w:hAnsi="Caladea" w:cs="Times New Roman"/>
          <w:lang w:eastAsia="ru-RU"/>
        </w:rPr>
        <w:t xml:space="preserve">25.000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от республиканских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от областных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автономных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от краевых и областных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по расчету один делегат на </w:t>
      </w:r>
      <w:r w:rsidRPr="00B24CC4">
        <w:rPr>
          <w:rFonts w:ascii="Caladea" w:eastAsia="Times New Roman" w:hAnsi="Caladea" w:cs="Times New Roman"/>
          <w:lang w:eastAsia="ru-RU"/>
        </w:rPr>
        <w:t xml:space="preserve">125.000 </w:t>
      </w:r>
      <w:r w:rsidRPr="00B24CC4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Делегаты на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избираются на республиканских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 областных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автономных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 краевых и областных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».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B24CC4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>Исключено</w:t>
      </w:r>
      <w:r w:rsidRPr="00B24CC4">
        <w:rPr>
          <w:rFonts w:ascii="Caladea" w:eastAsia="Times New Roman" w:hAnsi="Caladea" w:cs="Times New Roman"/>
          <w:lang w:eastAsia="ru-RU"/>
        </w:rPr>
        <w:t xml:space="preserve">. — </w:t>
      </w:r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 xml:space="preserve">Постановление </w:t>
      </w:r>
      <w:r w:rsidRPr="00B24CC4">
        <w:rPr>
          <w:rFonts w:ascii="Caladea" w:eastAsia="Times New Roman" w:hAnsi="Caladea" w:cs="Times New Roman"/>
          <w:i/>
          <w:iCs/>
          <w:lang w:eastAsia="ru-RU"/>
        </w:rPr>
        <w:t xml:space="preserve">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lang w:eastAsia="ru-RU"/>
        </w:rPr>
        <w:t xml:space="preserve">4.03.1931.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21.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избирает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Комитет Советов в количестве членов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22.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один раз в год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23.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Чрезвычайный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как по собственному почину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так и по требованию советов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трети всего населения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Центральном Исполнительном Комитете Советов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24.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Комитет Советов в пределах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ст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ст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. 3, 17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lang w:eastAsia="ru-RU"/>
        </w:rPr>
        <w:t xml:space="preserve">18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является верховным законодательным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25.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Комитет издает кодексы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декреты и постановления в порядке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собственнои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инициативы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рассматривает и утверждает законопроекты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внесенные Советом Народных Комиссаров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26.</w:t>
      </w:r>
      <w:r w:rsidRPr="00B24CC4">
        <w:rPr>
          <w:rFonts w:ascii="LiberationSerif" w:eastAsia="Times New Roman" w:hAnsi="LiberationSerif" w:cs="Times New Roman"/>
          <w:lang w:eastAsia="ru-RU"/>
        </w:rPr>
        <w:t>Все декреты и постановления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определяющие общие нормы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экономическои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жизни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вносящие коренные изменения в существующую практику государственных органов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равно бюджет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обязательно должны восходить на рассмотрение и утверждение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27.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период между сессиями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высшим законодательным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власти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является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Президиум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28.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Комитет Советов дает общее направление деятельности Рабоче</w:t>
      </w:r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Крестьянского Правительства и всех органов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единяет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работу по законодательству и управлению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определяет круг деятельности Президиума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Совета Народных Комиссаров и наблюдает за проведением в жизнь Конституции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исполнением всех постановлений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 верховных органов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29.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Комитет созывается Президиумом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на сессии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Чрезвычайные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сессии созываются по инициативе Президиума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по предложению Совета Народных Комиссаров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 требованию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трети членов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по требованию центральных исполнительных комитетов не менее шести автономных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30.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Комитет образует Совет Народных Комиссаров для общего управления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и Народные Комиссариаты для руководства отдельными отраслями управления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31.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Комитет ответственен перед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которому представляет отчет 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деятельности и доклад по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политике и по отдельным вопросам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Совете Народных Комиссаров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32.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входят на правах его членов председатель Совета Народных Комиссаров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его заместитель и народные комиссары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B24CC4">
        <w:rPr>
          <w:rFonts w:ascii="Caladea" w:eastAsia="Times New Roman" w:hAnsi="Caladea" w:cs="Times New Roman"/>
          <w:lang w:eastAsia="ru-RU"/>
        </w:rPr>
        <w:t xml:space="preserve">. 37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входит также уполномоченные общесоюзных народных комиссариатов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назначаемые в порядке общесоюзного законодательства и имеющие право совещательного или решающего голоса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согласно постановления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или его Президиума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равно и другие лица по постановлениям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  <w:proofErr w:type="gramStart"/>
      <w:r w:rsidRPr="00B24CC4">
        <w:rPr>
          <w:rFonts w:ascii="Caladea" w:eastAsia="Times New Roman" w:hAnsi="Caladea" w:cs="Times New Roman"/>
          <w:b/>
          <w:bCs/>
          <w:lang w:eastAsia="ru-RU"/>
        </w:rPr>
        <w:t>33.</w:t>
      </w:r>
      <w:r w:rsidRPr="00B24CC4">
        <w:rPr>
          <w:rFonts w:ascii="LiberationSerif" w:eastAsia="Times New Roman" w:hAnsi="LiberationSerif" w:cs="Times New Roman"/>
          <w:lang w:eastAsia="ru-RU"/>
        </w:rPr>
        <w:t>Совету</w:t>
      </w:r>
      <w:proofErr w:type="gramEnd"/>
      <w:r w:rsidRPr="00B24CC4">
        <w:rPr>
          <w:rFonts w:ascii="LiberationSerif" w:eastAsia="Times New Roman" w:hAnsi="LiberationSerif" w:cs="Times New Roman"/>
          <w:lang w:eastAsia="ru-RU"/>
        </w:rPr>
        <w:t xml:space="preserve"> Народных Комиссаров принадлежит общее управление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34.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proofErr w:type="gramStart"/>
      <w:r w:rsidRPr="00B24CC4">
        <w:rPr>
          <w:rFonts w:ascii="LiberationSerif" w:eastAsia="Times New Roman" w:hAnsi="LiberationSerif" w:cs="Times New Roman"/>
          <w:lang w:eastAsia="ru-RU"/>
        </w:rPr>
        <w:t>в пределах</w:t>
      </w:r>
      <w:proofErr w:type="gramEnd"/>
      <w:r w:rsidRPr="00B24CC4">
        <w:rPr>
          <w:rFonts w:ascii="LiberationSerif" w:eastAsia="Times New Roman" w:hAnsi="LiberationSerif" w:cs="Times New Roman"/>
          <w:lang w:eastAsia="ru-RU"/>
        </w:rPr>
        <w:t xml:space="preserve"> предоставленных ему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прав и на основании Положения о Совете Народных Комиссаров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издаваемого в развитие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статьи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издает декреты и постановления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обязательные к исполнению на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35.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ответственен перед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36.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Всякое постановление Совета Народных Комиссаров может быть отменено или приостановлено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Народных Комиссариатах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37.</w:t>
      </w:r>
      <w:r w:rsidRPr="00B24CC4">
        <w:rPr>
          <w:rFonts w:ascii="LiberationSerif" w:eastAsia="Times New Roman" w:hAnsi="LiberationSerif" w:cs="Times New Roman"/>
          <w:lang w:eastAsia="ru-RU"/>
        </w:rPr>
        <w:t>Для непосредственного руководства отдельными отраслями государственного управления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входящими в круг ведения Совета Народных Комиссаров РСФСР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образуются следующие наркоматы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Земледелия</w:t>
      </w:r>
      <w:r w:rsidRPr="00B24CC4">
        <w:rPr>
          <w:rFonts w:ascii="Caladea" w:eastAsia="Times New Roman" w:hAnsi="Caladea" w:cs="Times New Roman"/>
          <w:lang w:eastAsia="ru-RU"/>
        </w:rPr>
        <w:t>,</w:t>
      </w:r>
      <w:r w:rsidRPr="00B24CC4">
        <w:rPr>
          <w:rFonts w:ascii="Caladea" w:eastAsia="Times New Roman" w:hAnsi="Caladea" w:cs="Times New Roman"/>
          <w:lang w:eastAsia="ru-RU"/>
        </w:rPr>
        <w:br/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Торговли</w:t>
      </w:r>
      <w:r w:rsidRPr="00B24CC4">
        <w:rPr>
          <w:rFonts w:ascii="Caladea" w:eastAsia="Times New Roman" w:hAnsi="Caladea" w:cs="Times New Roman"/>
          <w:lang w:eastAsia="ru-RU"/>
        </w:rPr>
        <w:t>,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Финансов</w:t>
      </w:r>
      <w:r w:rsidRPr="00B24CC4">
        <w:rPr>
          <w:rFonts w:ascii="Caladea" w:eastAsia="Times New Roman" w:hAnsi="Caladea" w:cs="Times New Roman"/>
          <w:lang w:eastAsia="ru-RU"/>
        </w:rPr>
        <w:t>,</w:t>
      </w:r>
      <w:r w:rsidRPr="00B24CC4">
        <w:rPr>
          <w:rFonts w:ascii="Caladea" w:eastAsia="Times New Roman" w:hAnsi="Caladea" w:cs="Times New Roman"/>
          <w:lang w:eastAsia="ru-RU"/>
        </w:rPr>
        <w:br/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LiberationSerif" w:eastAsia="Times New Roman" w:hAnsi="LiberationSerif" w:cs="Times New Roman"/>
          <w:lang w:eastAsia="ru-RU"/>
        </w:rPr>
        <w:br/>
        <w:t>Промышленности</w:t>
      </w:r>
      <w:r w:rsidRPr="00B24CC4">
        <w:rPr>
          <w:rFonts w:ascii="Caladea" w:eastAsia="Times New Roman" w:hAnsi="Caladea" w:cs="Times New Roman"/>
          <w:lang w:eastAsia="ru-RU"/>
        </w:rPr>
        <w:t>,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Коммунального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Юстиции</w:t>
      </w:r>
      <w:r w:rsidRPr="00B24CC4">
        <w:rPr>
          <w:rFonts w:ascii="Caladea" w:eastAsia="Times New Roman" w:hAnsi="Caladea" w:cs="Times New Roman"/>
          <w:lang w:eastAsia="ru-RU"/>
        </w:rPr>
        <w:t>,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B24CC4">
        <w:rPr>
          <w:rFonts w:ascii="Caladea" w:eastAsia="Times New Roman" w:hAnsi="Caladea" w:cs="Times New Roman"/>
          <w:lang w:eastAsia="ru-RU"/>
        </w:rPr>
        <w:t>,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B24CC4">
        <w:rPr>
          <w:rFonts w:ascii="Caladea" w:eastAsia="Times New Roman" w:hAnsi="Caladea" w:cs="Times New Roman"/>
          <w:lang w:eastAsia="ru-RU"/>
        </w:rPr>
        <w:t>,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Социального Обеспечения и Государственная Плановая Комиссия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18.11.1926, XIII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15.04.1927, 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38.</w:t>
      </w:r>
      <w:r w:rsidRPr="00B24CC4">
        <w:rPr>
          <w:rFonts w:ascii="LiberationSerif" w:eastAsia="Times New Roman" w:hAnsi="LiberationSerif" w:cs="Times New Roman"/>
          <w:lang w:eastAsia="ru-RU"/>
        </w:rPr>
        <w:t>Народные Комиссариаты Земледелия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Торговли и Финансов РСФСР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подчиняясь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его Президиуму и Совету Народных Комиссаров РСФСР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осуществляют 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деятельности директивы соответствующих народных комиссариатов Союза ССР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18.11.1926, XIII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15.04.1927, 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39.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Во главе отдельных Народных Комиссариатов стоят члены Совета Народных Комиссаров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Народные Комиссары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40.</w:t>
      </w:r>
      <w:r w:rsidRPr="00B24CC4">
        <w:rPr>
          <w:rFonts w:ascii="LiberationSerif" w:eastAsia="Times New Roman" w:hAnsi="LiberationSerif" w:cs="Times New Roman"/>
          <w:lang w:eastAsia="ru-RU"/>
        </w:rPr>
        <w:t>При каждом народном комиссариате образуется Совет Народного Комиссариата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созываемыи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периодически с участием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его местных организаций и предприятий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lastRenderedPageBreak/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  <w:r w:rsidRPr="00B24CC4">
        <w:rPr>
          <w:rFonts w:ascii="Caladea" w:eastAsia="Times New Roman" w:hAnsi="Caladea" w:cs="Times New Roman"/>
          <w:b/>
          <w:bCs/>
          <w:lang w:eastAsia="ru-RU"/>
        </w:rPr>
        <w:t>41.</w:t>
      </w:r>
      <w:r w:rsidRPr="00B24CC4">
        <w:rPr>
          <w:rFonts w:ascii="LiberationSerif" w:eastAsia="Times New Roman" w:hAnsi="LiberationSerif" w:cs="Times New Roman"/>
          <w:lang w:eastAsia="ru-RU"/>
        </w:rPr>
        <w:t>Народный Комиссар вправе единолично принимать решения по всем вопросам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подлежащим ведению соответствующего народного комиссариата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42.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Народные Комиссары 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работе ответственны перед Советом Народных Комиссаров и перед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43.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Распоряжения Народных Комиссариатов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могут быть отменяемы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изменяемы и приостанавливаемы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Советом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распоряжения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если они не основаны на точных предписаниях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его Президиума или Совета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могут быть отменяемы и приостанавливаемы также и одноименными Народными Комиссариатами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четвертая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Об автономных советских социалистических республиках и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областях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44.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Органы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власти в автономных советских социалистических республиках и автономных областях образуются на основе Конституции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из местных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исполнительных комитетов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областных и центральных исполнительных комитетов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Основные законы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автономных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равно дополнения и изменения этих основных законов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конституций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принимаются 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представляются на утверждение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 и вносятся на окончательное утверждение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B24CC4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Положения об автономных областях принимаются 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 утверждаются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45.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Высшими органами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власти в пределах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являются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означенных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в период между этими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избираемые ими центральные исполнительные комитеты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права которых определяются основным законом </w:t>
      </w:r>
      <w:r w:rsidRPr="00B24CC4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Постановления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могут быть отменяемы и изменяемы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</w:t>
      </w:r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>Комитетом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приостанавливаемы Президиумом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Постановления центральных исполнительных комитетов и всех центральных органов автономных советских социалистических республик могут быть отменяемы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изменяемы и приостанавливаемы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46.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и областные исполнительные комитеты автономных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избирают из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среды президиумы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которые в период между сессиями центральных или областных и исполнительных комитетов являются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или области высшим органом власти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47.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образуют свои исполнительные органы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советы народных комиссаров в составе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  <w:r w:rsidRPr="00B24CC4">
        <w:rPr>
          <w:rFonts w:ascii="LiberationSerif" w:eastAsia="Times New Roman" w:hAnsi="LiberationSerif" w:cs="Times New Roman"/>
          <w:lang w:eastAsia="ru-RU"/>
        </w:rPr>
        <w:t>председателя совета народных комиссаров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народных комиссаров юстиции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социального обеспечения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земледелия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финансов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коммунального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промышленности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торговли и председателя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плановои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комиссии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Народные комиссариаты земледелия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финансов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коммунального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промышленности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внутреннеи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торговли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находясь в подчинении Центральному Исполнительному Комитету и Совету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обязаны выполнять директивы одноименных народных комиссариатов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В зависимости от местных бытовых условий центральные исполнительные комитеты автономных советских социалистических республик имеют право сократить количество народных комиссариатов и соответственно изменить состав совета народных комиссаров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48.</w:t>
      </w:r>
      <w:r w:rsidRPr="00B24CC4">
        <w:rPr>
          <w:rFonts w:ascii="LiberationSerif" w:eastAsia="Times New Roman" w:hAnsi="LiberationSerif" w:cs="Times New Roman"/>
          <w:lang w:eastAsia="ru-RU"/>
        </w:rPr>
        <w:t>В пределах прав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предоставленных автономным советским социалистическим республикам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этих республик издают законодательные акты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имеющие обязательную силу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пятая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местнои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ездах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49.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Высшей властью в пределах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края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области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является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границах своего ведения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соответствующии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lastRenderedPageBreak/>
        <w:t>50.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  <w:r w:rsidRPr="00B24CC4">
        <w:rPr>
          <w:rFonts w:ascii="LiberationSerif" w:eastAsia="Times New Roman" w:hAnsi="LiberationSerif" w:cs="Times New Roman"/>
          <w:lang w:eastAsia="ru-RU"/>
        </w:rPr>
        <w:t>краевых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областных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принимают участие представители всех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единицы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4.03.1931)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br/>
      </w: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51. </w:t>
      </w:r>
      <w:r w:rsidRPr="00B24CC4">
        <w:rPr>
          <w:rFonts w:ascii="Caladea" w:eastAsia="Times New Roman" w:hAnsi="Caladea" w:cs="Times New Roman"/>
          <w:lang w:eastAsia="ru-RU"/>
        </w:rPr>
        <w:t xml:space="preserve">51.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составляются следующим образом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краевые и областные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по расчету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  <w:r w:rsidRPr="00B24CC4">
        <w:rPr>
          <w:rFonts w:ascii="LiberationSerif" w:eastAsia="Times New Roman" w:hAnsi="LiberationSerif" w:cs="Times New Roman"/>
          <w:lang w:eastAsia="ru-RU"/>
        </w:rPr>
        <w:t>от городских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B24CC4">
        <w:rPr>
          <w:rFonts w:ascii="Caladea" w:eastAsia="Times New Roman" w:hAnsi="Caladea" w:cs="Times New Roman"/>
          <w:lang w:eastAsia="ru-RU"/>
        </w:rPr>
        <w:t xml:space="preserve">, —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B24CC4">
        <w:rPr>
          <w:rFonts w:ascii="Caladea" w:eastAsia="Times New Roman" w:hAnsi="Caladea" w:cs="Times New Roman"/>
          <w:lang w:eastAsia="ru-RU"/>
        </w:rPr>
        <w:t xml:space="preserve">2.500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от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B24CC4">
        <w:rPr>
          <w:rFonts w:ascii="Caladea" w:eastAsia="Times New Roman" w:hAnsi="Caladea" w:cs="Times New Roman"/>
          <w:lang w:eastAsia="ru-RU"/>
        </w:rPr>
        <w:t xml:space="preserve">12.500 </w:t>
      </w:r>
      <w:r w:rsidRPr="00B24CC4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городских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 сельских советов по расчету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  <w:r w:rsidRPr="00B24CC4">
        <w:rPr>
          <w:rFonts w:ascii="LiberationSerif" w:eastAsia="Times New Roman" w:hAnsi="LiberationSerif" w:cs="Times New Roman"/>
          <w:lang w:eastAsia="ru-RU"/>
        </w:rPr>
        <w:t>от городских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B24CC4">
        <w:rPr>
          <w:rFonts w:ascii="Caladea" w:eastAsia="Times New Roman" w:hAnsi="Caladea" w:cs="Times New Roman"/>
          <w:lang w:eastAsia="ru-RU"/>
        </w:rPr>
        <w:t xml:space="preserve">, —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B24CC4">
        <w:rPr>
          <w:rFonts w:ascii="Caladea" w:eastAsia="Times New Roman" w:hAnsi="Caladea" w:cs="Times New Roman"/>
          <w:lang w:eastAsia="ru-RU"/>
        </w:rPr>
        <w:t xml:space="preserve">60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и от сельских советов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один делегат на </w:t>
      </w:r>
      <w:r w:rsidRPr="00B24CC4">
        <w:rPr>
          <w:rFonts w:ascii="Caladea" w:eastAsia="Times New Roman" w:hAnsi="Caladea" w:cs="Times New Roman"/>
          <w:lang w:eastAsia="ru-RU"/>
        </w:rPr>
        <w:t xml:space="preserve">300 </w:t>
      </w:r>
      <w:r w:rsidRPr="00B24CC4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 xml:space="preserve">Примечание </w:t>
      </w:r>
      <w:proofErr w:type="gramStart"/>
      <w:r w:rsidRPr="00B24CC4">
        <w:rPr>
          <w:rFonts w:ascii="Caladea" w:eastAsia="Times New Roman" w:hAnsi="Caladea" w:cs="Times New Roman"/>
          <w:i/>
          <w:iCs/>
          <w:lang w:eastAsia="ru-RU"/>
        </w:rPr>
        <w:t>1.</w:t>
      </w:r>
      <w:r w:rsidRPr="00B24CC4">
        <w:rPr>
          <w:rFonts w:ascii="LiberationSerif" w:eastAsia="Times New Roman" w:hAnsi="LiberationSerif" w:cs="Times New Roman"/>
          <w:lang w:eastAsia="ru-RU"/>
        </w:rPr>
        <w:t>Автономные</w:t>
      </w:r>
      <w:proofErr w:type="gram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советские социалистические республики и автономные области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входящие в состав краевых и областных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участвуют в краевых и областных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этих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путем избрания на означенные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делегатов по особым нормам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устанавливаемым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 xml:space="preserve">Примечание </w:t>
      </w:r>
      <w:r w:rsidRPr="00B24CC4">
        <w:rPr>
          <w:rFonts w:ascii="Caladea" w:eastAsia="Times New Roman" w:hAnsi="Caladea" w:cs="Times New Roman"/>
          <w:i/>
          <w:iCs/>
          <w:lang w:eastAsia="ru-RU"/>
        </w:rPr>
        <w:t>2.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исключительных случаях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 или его Президиуму предоставляется право изменять установленные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нормы представительства для отдельных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в зависимости от местных условий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52.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бывают очередные и внеочередные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Очередные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созываются один раз в год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внеочередные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созываются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 предложению вышестоящих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или их исполнительных комитетов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по почину соответствующих исполнительных комитетов или по требованию нижестоящих исполнительных комитетов и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единяющих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не менее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трети населения данного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области или края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53.</w:t>
      </w:r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езды советов избирают свои исполнительные органы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исполнительные комитеты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число членов которых для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единицы определяется постановлениями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исполнительных комитетах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lastRenderedPageBreak/>
        <w:t>54.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Исполнительные комитеты избираются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 являются в период между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высшим органом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власти на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ответственны перед избравшими 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 подчинены вышестоящим исполнительным комитетам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их президиумам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55.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Для руководства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работои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по управлению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территории и проведению в жизнь постановлений и декретов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исполнительные комитеты избирают президиумы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число членов которых определяется для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единицы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56. </w:t>
      </w:r>
      <w:r w:rsidRPr="00B24CC4">
        <w:rPr>
          <w:rFonts w:ascii="LiberationSerif" w:eastAsia="Times New Roman" w:hAnsi="LiberationSerif" w:cs="Times New Roman"/>
          <w:lang w:eastAsia="ru-RU"/>
        </w:rPr>
        <w:t>В период между заседаниями исполнительных комитетов президиумы исполнительных комитетов пользуются правами последних и ответственны перед исполнительными комитетами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57.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Для выполнения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работы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подлежащеи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ведению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 для проведения в жизнь постановлений вышестоящих исполнительных комитетов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их президиумов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исполнительные комитеты на основаниях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образуют краевые и областные исполнительные комитеты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отделы или управления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отделы или отделения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Упразднение или слияние существующих отделов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управлений и отделений исполнительных комитетов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равно образование новых отделов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управлений и отделений производится на основаниях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58. </w:t>
      </w:r>
      <w:r w:rsidRPr="00B24CC4">
        <w:rPr>
          <w:rFonts w:ascii="LiberationSerif" w:eastAsia="Times New Roman" w:hAnsi="LiberationSerif" w:cs="Times New Roman"/>
          <w:lang w:eastAsia="ru-RU"/>
        </w:rPr>
        <w:t>Отделы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управления и отделения исполнительных комитетов находятся в подчинении соответствующих исполнительных комитетов и их президиумов и обязаны выполнять все их предписания и задания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вид предписания и задания соответствующего отдела или управления вышестоящего исполнительного комитета и соответствующих Народных Комиссариатов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советах депутатов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59.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образуются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действуют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советы депутатов </w:t>
      </w:r>
      <w:r w:rsidRPr="00B24CC4">
        <w:rPr>
          <w:rFonts w:ascii="Caladea" w:eastAsia="Times New Roman" w:hAnsi="Caladea" w:cs="Times New Roman"/>
          <w:lang w:eastAsia="ru-RU"/>
        </w:rPr>
        <w:t xml:space="preserve">— </w:t>
      </w:r>
      <w:r w:rsidRPr="00B24CC4">
        <w:rPr>
          <w:rFonts w:ascii="LiberationSerif" w:eastAsia="Times New Roman" w:hAnsi="LiberationSerif" w:cs="Times New Roman"/>
          <w:lang w:eastAsia="ru-RU"/>
        </w:rPr>
        <w:t>городские и сельские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Нормы представительства для городских и сельских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равно количество депутатов этих советов устанавливаются в зависимости от количества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или населения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единяемых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соответствующим советом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 могут быть изменяемы лишь в </w:t>
      </w:r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 xml:space="preserve">исключительных случаях для отдельных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Президиумом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60.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работы советы депутатов в городах избирают из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среды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орган на основаниях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установленных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61.</w:t>
      </w:r>
      <w:r w:rsidRPr="00B24CC4">
        <w:rPr>
          <w:rFonts w:ascii="LiberationSerif" w:eastAsia="Times New Roman" w:hAnsi="LiberationSerif" w:cs="Times New Roman"/>
          <w:lang w:eastAsia="ru-RU"/>
        </w:rPr>
        <w:t>При сельском совете может быть образован президиум совета на основаниях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B24CC4">
        <w:rPr>
          <w:rFonts w:ascii="Caladea" w:eastAsia="Times New Roman" w:hAnsi="Caladea" w:cs="Times New Roman"/>
          <w:b/>
          <w:bCs/>
          <w:lang w:eastAsia="ru-RU"/>
        </w:rPr>
        <w:t>62.</w:t>
      </w:r>
      <w:r w:rsidRPr="00B24CC4">
        <w:rPr>
          <w:rFonts w:ascii="LiberationSerif" w:eastAsia="Times New Roman" w:hAnsi="LiberationSerif" w:cs="Times New Roman"/>
          <w:lang w:eastAsia="ru-RU"/>
        </w:rPr>
        <w:t>Советы депутатов созываются исполнительным органом совета как по собственному почину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так и по требованию не менее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трети членов совета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63. </w:t>
      </w:r>
      <w:r w:rsidRPr="00B24CC4">
        <w:rPr>
          <w:rFonts w:ascii="LiberationSerif" w:eastAsia="Times New Roman" w:hAnsi="LiberationSerif" w:cs="Times New Roman"/>
          <w:lang w:eastAsia="ru-RU"/>
        </w:rPr>
        <w:t>Члены советов депутатов обязаны регулярно давать отчеты своим избирателям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предметах ведения местных органов власти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64.</w:t>
      </w:r>
      <w:r w:rsidRPr="00B24CC4">
        <w:rPr>
          <w:rFonts w:ascii="LiberationSerif" w:eastAsia="Times New Roman" w:hAnsi="LiberationSerif" w:cs="Times New Roman"/>
          <w:lang w:eastAsia="ru-RU"/>
        </w:rPr>
        <w:t>Краевые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областные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исполнительные комитеты и их президиумы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советы депутатов имеют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принятие мер к поднятию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территории в культурном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хозяйственном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отношениях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проведение в жизнь постановлений соответствующих высших органов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  <w:r w:rsidRPr="00B24CC4">
        <w:rPr>
          <w:rFonts w:ascii="LiberationSerif" w:eastAsia="Times New Roman" w:hAnsi="LiberationSerif" w:cs="Times New Roman"/>
          <w:lang w:eastAsia="ru-RU"/>
        </w:rPr>
        <w:t>в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разрешение вопросов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имеющих местное для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территории значение</w:t>
      </w:r>
      <w:r w:rsidRPr="00B24CC4">
        <w:rPr>
          <w:rFonts w:ascii="Caladea" w:eastAsia="Times New Roman" w:hAnsi="Caladea" w:cs="Times New Roman"/>
          <w:lang w:eastAsia="ru-RU"/>
        </w:rPr>
        <w:t>;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г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единение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деятельности в пределах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д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обеспечение в пределах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революционнои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законности и охраны государственного порядка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безопасности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е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обсуждение вопросов общегосударственного значения как по собственному почину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так и по предложению вышестоящих исполнительных комитетов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65.</w:t>
      </w:r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езды и их исполнительные комитеты осуществляют контроль над деятельностью нижестоящих местных советов и их исполнительных органов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Постановления местных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могут быть отменяемы и изменяемы вышестоящими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их исполнительными комитетами 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президиумами вышестоящих исполнительных комитетов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Постановления исполнительных комитетов и их президиумов могут быть отменяемы и изменяемы избравшими их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а также вышестоящими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их президиумами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</w:t>
      </w:r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>Исполнительным Комитетом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его Президиумом и Советом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66.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Краевые и областные исполнительные комитеты или их президиумы могут приостанавливать проведение в жизнь распоряжений Народных Комиссариатов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и уполномоченных общесоюзных Народных Комиссариатов при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Республике лишь в исключительных случаях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на основаниях и в порядке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67.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исполнительные комитеты могут приостанавливать проведение в жизнь распоряжений отделов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управлений или соответствующих им органов краевого или областного исполнительного комитета на основаниях и в порядке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4.03.1931)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ЧЕТВЕРТЫЙ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шестая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выборах в Советы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активном и пассивном избирательном праве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68.</w:t>
      </w:r>
      <w:r w:rsidRPr="00B24CC4">
        <w:rPr>
          <w:rFonts w:ascii="LiberationSerif" w:eastAsia="Times New Roman" w:hAnsi="LiberationSerif" w:cs="Times New Roman"/>
          <w:lang w:eastAsia="ru-RU"/>
        </w:rPr>
        <w:t>Правом избирать и быть избранным в советы пользуются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независимо от пола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вероисповедания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расы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национальности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оседлости и т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>п</w:t>
      </w:r>
      <w:r w:rsidRPr="00B24CC4">
        <w:rPr>
          <w:rFonts w:ascii="Caladea" w:eastAsia="Times New Roman" w:hAnsi="Caladea" w:cs="Times New Roman"/>
          <w:lang w:eastAsia="ru-RU"/>
        </w:rPr>
        <w:t xml:space="preserve">.,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следующие граждане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которым ко дню выборов исполнилось восемнадцать лет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все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добывающие средства к жизни производительным и общественно</w:t>
      </w:r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>полезным трудом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занятые домашним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обеспечивающим для первых возможность производительного труда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красноармейцы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и краснофлотцы Рабоче</w:t>
      </w:r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>Крестьянских Красных Армии и Флота</w:t>
      </w:r>
      <w:r w:rsidRPr="00B24CC4">
        <w:rPr>
          <w:rFonts w:ascii="Caladea" w:eastAsia="Times New Roman" w:hAnsi="Caladea" w:cs="Times New Roman"/>
          <w:lang w:eastAsia="ru-RU"/>
        </w:rPr>
        <w:t>;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в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граждане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входящие в категории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перечисленные 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п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>. «</w:t>
      </w: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»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B24CC4">
        <w:rPr>
          <w:rFonts w:ascii="Caladea" w:eastAsia="Times New Roman" w:hAnsi="Caladea" w:cs="Times New Roman"/>
          <w:lang w:eastAsia="ru-RU"/>
        </w:rPr>
        <w:t>«</w:t>
      </w: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»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статьи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потерявшие 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какои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>либо мере трудоспособность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B24CC4">
        <w:rPr>
          <w:rFonts w:ascii="Caladea" w:eastAsia="Times New Roman" w:hAnsi="Caladea" w:cs="Times New Roman"/>
          <w:i/>
          <w:iCs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Из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лиц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не вступивших в число граждан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пользуются активным и пассивным избирательным правом лица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B24CC4">
        <w:rPr>
          <w:rFonts w:ascii="Caladea" w:eastAsia="Times New Roman" w:hAnsi="Caladea" w:cs="Times New Roman"/>
          <w:lang w:eastAsia="ru-RU"/>
        </w:rPr>
        <w:t xml:space="preserve">. 11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69.</w:t>
      </w:r>
      <w:r w:rsidRPr="00B24CC4">
        <w:rPr>
          <w:rFonts w:ascii="LiberationSerif" w:eastAsia="Times New Roman" w:hAnsi="LiberationSerif" w:cs="Times New Roman"/>
          <w:lang w:eastAsia="ru-RU"/>
        </w:rPr>
        <w:t>Не избирают и не могут быть избранными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хотя бы они и входили в одну из перечисленных категорий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лица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прибегающие к наемному труду с целью извлечения прибыли</w:t>
      </w:r>
      <w:r w:rsidRPr="00B24CC4">
        <w:rPr>
          <w:rFonts w:ascii="Caladea" w:eastAsia="Times New Roman" w:hAnsi="Caladea" w:cs="Times New Roman"/>
          <w:lang w:eastAsia="ru-RU"/>
        </w:rPr>
        <w:t>;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лица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живущие на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нетрудовои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доход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как</w:t>
      </w:r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>то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  <w:r w:rsidRPr="00B24CC4">
        <w:rPr>
          <w:rFonts w:ascii="LiberationSerif" w:eastAsia="Times New Roman" w:hAnsi="LiberationSerif" w:cs="Times New Roman"/>
          <w:lang w:eastAsia="ru-RU"/>
        </w:rPr>
        <w:t>проценты с капитала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доходы с предприятий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поступления с имущества и т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>п</w:t>
      </w:r>
      <w:r w:rsidRPr="00B24CC4">
        <w:rPr>
          <w:rFonts w:ascii="Caladea" w:eastAsia="Times New Roman" w:hAnsi="Caladea" w:cs="Times New Roman"/>
          <w:lang w:eastAsia="ru-RU"/>
        </w:rPr>
        <w:t>.;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в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частные торговцы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торговые и коммерческие посредники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>г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духовные служители религиозных культов всех вероисповеданий и толков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для которых это занятие является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профессиеи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 монахи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д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служащие и агенты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бывшеи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полиции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отдельного корпуса жандармов и охранных отделений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члены царствовавшего в России дома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руководившие деятельностью полиции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жандармерии и карательных органов</w:t>
      </w:r>
      <w:r w:rsidRPr="00B24CC4">
        <w:rPr>
          <w:rFonts w:ascii="Caladea" w:eastAsia="Times New Roman" w:hAnsi="Caladea" w:cs="Times New Roman"/>
          <w:lang w:eastAsia="ru-RU"/>
        </w:rPr>
        <w:t xml:space="preserve">;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е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лица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признанные в установленном порядке душевнобольными или умалишенными</w:t>
      </w:r>
      <w:r w:rsidRPr="00B24CC4">
        <w:rPr>
          <w:rFonts w:ascii="Caladea" w:eastAsia="Times New Roman" w:hAnsi="Caladea" w:cs="Times New Roman"/>
          <w:lang w:eastAsia="ru-RU"/>
        </w:rPr>
        <w:t>;</w:t>
      </w:r>
      <w:r w:rsidRPr="00B24CC4">
        <w:rPr>
          <w:rFonts w:ascii="Caladea" w:eastAsia="Times New Roman" w:hAnsi="Caladea" w:cs="Times New Roman"/>
          <w:lang w:eastAsia="ru-RU"/>
        </w:rPr>
        <w:br/>
      </w:r>
      <w:r w:rsidRPr="00B24CC4">
        <w:rPr>
          <w:rFonts w:ascii="LiberationSerif" w:eastAsia="Times New Roman" w:hAnsi="LiberationSerif" w:cs="Times New Roman"/>
          <w:lang w:eastAsia="ru-RU"/>
        </w:rPr>
        <w:t>ж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лица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осужденные за преступления с поражением в политических правах на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установленныи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судебным приговором срок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производстве выборов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70.</w:t>
      </w:r>
      <w:r w:rsidRPr="00B24CC4">
        <w:rPr>
          <w:rFonts w:ascii="LiberationSerif" w:eastAsia="Times New Roman" w:hAnsi="LiberationSerif" w:cs="Times New Roman"/>
          <w:lang w:eastAsia="ru-RU"/>
        </w:rPr>
        <w:t>Выборы производятся в дни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устанавливаемые местными советами или их исполнительными комитетами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71.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 ходе и результате выборов составляется протокол за подписями членов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комиссии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72.</w:t>
      </w:r>
      <w:r w:rsidRPr="00B24CC4">
        <w:rPr>
          <w:rFonts w:ascii="LiberationSerif" w:eastAsia="Times New Roman" w:hAnsi="LiberationSerif" w:cs="Times New Roman"/>
          <w:lang w:eastAsia="ru-RU"/>
        </w:rPr>
        <w:t>Порядок производства выборов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равно и участие в них профессиональных союзов и иных рабочих организаций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определяется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проверке и отмене выборов и отзыве депутатов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73.</w:t>
      </w:r>
      <w:r w:rsidRPr="00B24CC4">
        <w:rPr>
          <w:rFonts w:ascii="LiberationSerif" w:eastAsia="Times New Roman" w:hAnsi="LiberationSerif" w:cs="Times New Roman"/>
          <w:lang w:eastAsia="ru-RU"/>
        </w:rPr>
        <w:t>Проверка правильности выборов в советы производится избирательными комиссиями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проверка правильности полномочий делегатов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избираемых на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B24CC4">
        <w:rPr>
          <w:rFonts w:ascii="Caladea" w:eastAsia="Times New Roman" w:hAnsi="Caladea" w:cs="Times New Roman"/>
          <w:lang w:eastAsia="ru-RU"/>
        </w:rPr>
        <w:t xml:space="preserve">, — </w:t>
      </w:r>
      <w:r w:rsidRPr="00B24CC4">
        <w:rPr>
          <w:rFonts w:ascii="LiberationSerif" w:eastAsia="Times New Roman" w:hAnsi="LiberationSerif" w:cs="Times New Roman"/>
          <w:lang w:eastAsia="ru-RU"/>
        </w:rPr>
        <w:t>мандатными комиссиями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74.</w:t>
      </w:r>
      <w:r w:rsidRPr="00B24CC4">
        <w:rPr>
          <w:rFonts w:ascii="LiberationSerif" w:eastAsia="Times New Roman" w:hAnsi="LiberationSerif" w:cs="Times New Roman"/>
          <w:lang w:eastAsia="ru-RU"/>
        </w:rPr>
        <w:t>В случае неправильности выборов в целом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вопрос об отмене выборов разрешается высшим по порядку органом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власти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Высшим органом по кассации Советских выборов является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Комитет и его Президиум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75.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>Избиратели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пославшие в совет депутата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имеют право во всякое время отозвать его и произвести новые выборы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ПЯТЫЙ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седьмая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бюджетном праве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76.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 государственные доходы и все расходы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объединяются в общегосударственном бюджете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77.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входит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как составная часть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Союза Советских </w:t>
      </w:r>
      <w:r w:rsidRPr="00B24CC4">
        <w:rPr>
          <w:rFonts w:ascii="LiberationSerif" w:eastAsia="Times New Roman" w:hAnsi="LiberationSerif" w:cs="Times New Roman"/>
          <w:lang w:eastAsia="ru-RU"/>
        </w:rPr>
        <w:lastRenderedPageBreak/>
        <w:t>Социалистических Республик и издаваемыми в порядке общесоюзного законодательства правилами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 xml:space="preserve">78. </w:t>
      </w:r>
      <w:r w:rsidRPr="00B24CC4">
        <w:rPr>
          <w:rFonts w:ascii="LiberationSerif" w:eastAsia="Times New Roman" w:hAnsi="LiberationSerif" w:cs="Times New Roman"/>
          <w:lang w:eastAsia="ru-RU"/>
        </w:rPr>
        <w:t>Распределение расходов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доходов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собираемых на территории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на расходы и доходы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вносимые в общесоюзную роспись и в роспись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устанавливается также в порядке общесоюзного законодательства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79.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рассматривается Советом Народных Комиссаров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утверждается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направляется в законодательные органы Союза Советских Социалистических Республик для включения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порядке Конституции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80.</w:t>
      </w:r>
      <w:r w:rsidRPr="00B24CC4">
        <w:rPr>
          <w:rFonts w:ascii="LiberationSerif" w:eastAsia="Times New Roman" w:hAnsi="LiberationSerif" w:cs="Times New Roman"/>
          <w:lang w:eastAsia="ru-RU"/>
        </w:rPr>
        <w:t>Республиканские доходы и расходы автономных советских социалистических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объединяются в республиканских бюджетах этих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Республиканские бюджеты автономных советских социалистических республик принимаются советами народных комиссаров и утверждаются центральными исполнительными комитетами этих республик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XVI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Съезда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23.01.1935)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81.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Ни один расход из средств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казны не может быть произведен без установления на него кредита в росписи государственных доходов и расходов или без издания особого постановления законодательных органов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82.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 расходы по росписи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расходуются в пределах сметных подразделений по их прямому назначению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83.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Все местные доходы и все местные расходы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об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в местных бюджетах в порядке общесоюзного и республиканского законодательства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84.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Местные бюджеты составляются исполнительными комитетами и советами депутатов и утверждаются соответствующими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советов или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а также городскими советами депутатов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под общим контролем соответствующих центральных органов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18.05.1929)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br/>
      </w:r>
      <w:r w:rsidRPr="00B24CC4">
        <w:rPr>
          <w:rFonts w:ascii="Caladea" w:eastAsia="Times New Roman" w:hAnsi="Caladea" w:cs="Times New Roman"/>
          <w:b/>
          <w:bCs/>
          <w:lang w:eastAsia="ru-RU"/>
        </w:rPr>
        <w:t>85.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Отчет по исполнению бюджета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 xml:space="preserve">Республики утверждается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lastRenderedPageBreak/>
        <w:t>86.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В порядке законодательства Союза Советских Социалистических Республик и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для покрытия расходов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отнесенных по этому законодательству на местные средства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местным бюджетам предоставляются доходные источники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  <w:r w:rsidRPr="00B24CC4">
        <w:rPr>
          <w:rFonts w:ascii="LiberationSerif" w:eastAsia="Times New Roman" w:hAnsi="LiberationSerif" w:cs="Times New Roman"/>
          <w:lang w:eastAsia="ru-RU"/>
        </w:rPr>
        <w:t>налоговые и неналоговые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ШЕСТОЙ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восьмая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О гербе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флаге и столице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B24CC4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87.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Государственный герб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состоит из изображения на красном фоне в лучах солнца золотых серпа и молота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помещенных </w:t>
      </w:r>
      <w:proofErr w:type="gramStart"/>
      <w:r w:rsidRPr="00B24CC4">
        <w:rPr>
          <w:rFonts w:ascii="LiberationSerif" w:eastAsia="Times New Roman" w:hAnsi="LiberationSerif" w:cs="Times New Roman"/>
          <w:lang w:eastAsia="ru-RU"/>
        </w:rPr>
        <w:t>крест</w:t>
      </w:r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>на</w:t>
      </w:r>
      <w:proofErr w:type="gramEnd"/>
      <w:r w:rsidRPr="00B24CC4">
        <w:rPr>
          <w:rFonts w:ascii="Caladea" w:eastAsia="Times New Roman" w:hAnsi="Caladea" w:cs="Times New Roman"/>
          <w:lang w:eastAsia="ru-RU"/>
        </w:rPr>
        <w:t>-</w:t>
      </w:r>
      <w:r w:rsidRPr="00B24CC4">
        <w:rPr>
          <w:rFonts w:ascii="LiberationSerif" w:eastAsia="Times New Roman" w:hAnsi="LiberationSerif" w:cs="Times New Roman"/>
          <w:lang w:eastAsia="ru-RU"/>
        </w:rPr>
        <w:t>крест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рукоятки книзу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окруженных венцом из колосьев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с надписью</w:t>
      </w:r>
      <w:r w:rsidRPr="00B24CC4">
        <w:rPr>
          <w:rFonts w:ascii="Caladea" w:eastAsia="Times New Roman" w:hAnsi="Caladea" w:cs="Times New Roman"/>
          <w:lang w:eastAsia="ru-RU"/>
        </w:rPr>
        <w:t xml:space="preserve">: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а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Р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Ф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Р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и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erif" w:eastAsia="Times New Roman" w:hAnsi="LiberationSerif" w:cs="Times New Roman"/>
          <w:lang w:eastAsia="ru-RU"/>
        </w:rPr>
        <w:t>б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B24CC4">
        <w:rPr>
          <w:rFonts w:ascii="Caladea" w:eastAsia="Times New Roman" w:hAnsi="Caladea" w:cs="Times New Roman"/>
          <w:lang w:eastAsia="ru-RU"/>
        </w:rPr>
        <w:t xml:space="preserve">!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88.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Государственный флаг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Республики состоит из полотнища красного </w:t>
      </w:r>
      <w:r w:rsidRPr="00B24CC4">
        <w:rPr>
          <w:rFonts w:ascii="Caladea" w:eastAsia="Times New Roman" w:hAnsi="Caladea" w:cs="Times New Roman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lang w:eastAsia="ru-RU"/>
        </w:rPr>
        <w:t>алого</w:t>
      </w:r>
      <w:r w:rsidRPr="00B24CC4">
        <w:rPr>
          <w:rFonts w:ascii="Caladea" w:eastAsia="Times New Roman" w:hAnsi="Caladea" w:cs="Times New Roman"/>
          <w:lang w:eastAsia="ru-RU"/>
        </w:rPr>
        <w:t xml:space="preserve">) </w:t>
      </w:r>
      <w:r w:rsidRPr="00B24CC4">
        <w:rPr>
          <w:rFonts w:ascii="LiberationSerif" w:eastAsia="Times New Roman" w:hAnsi="LiberationSerif" w:cs="Times New Roman"/>
          <w:lang w:eastAsia="ru-RU"/>
        </w:rPr>
        <w:t>цвета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в левом углу коего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>у древка наверху</w:t>
      </w:r>
      <w:r w:rsidRPr="00B24CC4">
        <w:rPr>
          <w:rFonts w:ascii="Caladea" w:eastAsia="Times New Roman" w:hAnsi="Caladea" w:cs="Times New Roman"/>
          <w:lang w:eastAsia="ru-RU"/>
        </w:rPr>
        <w:t xml:space="preserve">, 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помещены золотые буквы </w:t>
      </w:r>
      <w:r w:rsidRPr="00B24CC4">
        <w:rPr>
          <w:rFonts w:ascii="Caladea" w:eastAsia="Times New Roman" w:hAnsi="Caladea" w:cs="Times New Roman"/>
          <w:lang w:eastAsia="ru-RU"/>
        </w:rPr>
        <w:t>«</w:t>
      </w:r>
      <w:r w:rsidRPr="00B24CC4">
        <w:rPr>
          <w:rFonts w:ascii="LiberationSerif" w:eastAsia="Times New Roman" w:hAnsi="LiberationSerif" w:cs="Times New Roman"/>
          <w:lang w:eastAsia="ru-RU"/>
        </w:rPr>
        <w:t>Р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Ф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С</w:t>
      </w:r>
      <w:r w:rsidRPr="00B24CC4">
        <w:rPr>
          <w:rFonts w:ascii="Caladea" w:eastAsia="Times New Roman" w:hAnsi="Caladea" w:cs="Times New Roman"/>
          <w:lang w:eastAsia="ru-RU"/>
        </w:rPr>
        <w:t>.</w:t>
      </w:r>
      <w:r w:rsidRPr="00B24CC4">
        <w:rPr>
          <w:rFonts w:ascii="LiberationSerif" w:eastAsia="Times New Roman" w:hAnsi="LiberationSerif" w:cs="Times New Roman"/>
          <w:lang w:eastAsia="ru-RU"/>
        </w:rPr>
        <w:t>Р</w:t>
      </w:r>
      <w:r w:rsidRPr="00B24CC4">
        <w:rPr>
          <w:rFonts w:ascii="Caladea" w:eastAsia="Times New Roman" w:hAnsi="Caladea" w:cs="Times New Roman"/>
          <w:lang w:eastAsia="ru-RU"/>
        </w:rPr>
        <w:t xml:space="preserve">.».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b/>
          <w:bCs/>
          <w:lang w:eastAsia="ru-RU"/>
        </w:rPr>
        <w:t>89.</w:t>
      </w:r>
      <w:r w:rsidRPr="00B24CC4">
        <w:rPr>
          <w:rFonts w:ascii="LiberationSerif" w:eastAsia="Times New Roman" w:hAnsi="LiberationSerif" w:cs="Times New Roman"/>
          <w:lang w:eastAsia="ru-RU"/>
        </w:rPr>
        <w:t xml:space="preserve">Столицей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B24CC4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B24CC4">
        <w:rPr>
          <w:rFonts w:ascii="LiberationSerif" w:eastAsia="Times New Roman" w:hAnsi="LiberationSerif" w:cs="Times New Roman"/>
          <w:lang w:eastAsia="ru-RU"/>
        </w:rPr>
        <w:t>̆ Республики является город Москва</w:t>
      </w:r>
      <w:r w:rsidRPr="00B24CC4">
        <w:rPr>
          <w:rFonts w:ascii="Caladea" w:eastAsia="Times New Roman" w:hAnsi="Caladea" w:cs="Times New Roman"/>
          <w:lang w:eastAsia="ru-RU"/>
        </w:rPr>
        <w:t xml:space="preserve">. </w:t>
      </w:r>
    </w:p>
    <w:p w:rsidR="00B24CC4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XIV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B24CC4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B24CC4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18.05.1929) </w:t>
      </w:r>
    </w:p>
    <w:p w:rsidR="00D02C95" w:rsidRPr="00B24CC4" w:rsidRDefault="00B24CC4" w:rsidP="00B24CC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24CC4">
        <w:rPr>
          <w:rFonts w:ascii="LiberationSans" w:eastAsia="Times New Roman" w:hAnsi="LiberationSans" w:cs="Times New Roman"/>
          <w:sz w:val="20"/>
          <w:szCs w:val="20"/>
          <w:lang w:eastAsia="ru-RU"/>
        </w:rPr>
        <w:t>Источник — https://ru.wikisource.org/w/index.php?title=Конституция_РСФСР_(1925)/ Редакция_23.01.1935&amp;oldid=3471851</w:t>
      </w:r>
    </w:p>
    <w:sectPr w:rsidR="00D02C95" w:rsidRPr="00B24CC4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164AE7"/>
    <w:rsid w:val="004F5C84"/>
    <w:rsid w:val="006B182B"/>
    <w:rsid w:val="006C7A79"/>
    <w:rsid w:val="00817743"/>
    <w:rsid w:val="009E01E2"/>
    <w:rsid w:val="00AC13CC"/>
    <w:rsid w:val="00B24CC4"/>
    <w:rsid w:val="00B60217"/>
    <w:rsid w:val="00D02C95"/>
    <w:rsid w:val="00DB352B"/>
    <w:rsid w:val="00E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24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B24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5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6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0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7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6494</Words>
  <Characters>37016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2021-02-05T11:34:00Z</dcterms:created>
  <dcterms:modified xsi:type="dcterms:W3CDTF">2021-02-05T13:02:00Z</dcterms:modified>
</cp:coreProperties>
</file>