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DDDDD" w:sz="1"/>
              <w:left w:val="single" w:color="DDDDDD" w:sz="1"/>
              <w:bottom w:val="single" w:color="7B5000" w:sz="20"/>
              <w:right w:val="single" w:color="DDDDDD" w:sz="1"/>
            </w:tcBorders>
            <w:shd w:fill="1F4E79" w:val="clear"/>
            <w:tcMar>
              <w:top w:type="dxa" w:w="480"/>
              <w:left w:type="dxa" w:w="600"/>
              <w:bottom w:type="dxa" w:w="480"/>
              <w:right w:type="dxa" w:w="600"/>
            </w:tcMar>
          </w:tcPr>
          <w:p>
            <w:pPr>
              <w:spacing w:before="0" w:after="40"/>
              <w:jc w:val="center"/>
            </w:pPr>
            <w:r>
              <w:rPr>
                <w:rFonts w:ascii="Arial" w:cs="Arial" w:eastAsia="Arial" w:hAnsi="Arial"/>
                <w:b/>
                <w:bCs/>
                <w:caps/>
                <w:color w:val="7799BB"/>
                <w:spacing w:val="200"/>
                <w:sz w:val="15"/>
                <w:szCs w:val="15"/>
              </w:rPr>
              <w:t xml:space="preserve">RESEARCH INSPIRATION AUDIT  ·  4-PATHWAY ANALYSIS</w:t>
            </w:r>
          </w:p>
          <w:p>
            <w:pPr>
              <w:spacing w:before="0" w:after="60"/>
              <w:jc w:val="center"/>
            </w:pPr>
            <w:r>
              <w:rPr>
                <w:rFonts w:ascii="Arial" w:cs="Arial" w:eastAsia="Arial" w:hAnsi="Arial"/>
                <w:b/>
                <w:bCs/>
                <w:color w:val="FFFFFF"/>
                <w:sz w:val="44"/>
                <w:szCs w:val="44"/>
              </w:rPr>
              <w:t xml:space="preserve">Research Ideas &amp; Proposals</w:t>
            </w:r>
          </w:p>
          <w:p>
            <w:pPr>
              <w:spacing w:before="0" w:after="60"/>
              <w:jc w:val="center"/>
            </w:pPr>
            <w:r>
              <w:rPr>
                <w:rFonts w:ascii="Georgia" w:cs="Georgia" w:eastAsia="Georgia" w:hAnsi="Georgia"/>
                <w:i/>
                <w:iCs/>
                <w:color w:val="CCE0FF"/>
                <w:sz w:val="20"/>
                <w:szCs w:val="20"/>
              </w:rPr>
              <w:t xml:space="preserve">African Cognitive AI · Future Work Mining · Conflict Detection · Methodology Pivots · Cross-Field Synthesis</w:t>
            </w:r>
          </w:p>
          <w:p>
            <w:pPr>
              <w:spacing w:before="60" w:after="0"/>
              <w:jc w:val="center"/>
            </w:pPr>
            <w:r>
              <w:rPr>
                <w:rFonts w:ascii="Arial" w:cs="Arial" w:eastAsia="Arial" w:hAnsi="Arial"/>
                <w:color w:val="7799BB"/>
                <w:sz w:val="17"/>
                <w:szCs w:val="17"/>
              </w:rPr>
              <w:t xml:space="preserve">24 papers analysed across 5 live research streams  ·  21 ideas generated  ·  Logo M.  ·  March 2026</w:t>
            </w:r>
          </w:p>
        </w:tc>
      </w:tr>
    </w:tbl>
    <w:p>
      <w:pPr>
        <w:spacing w:before="60" w:after="60"/>
      </w:pPr>
      <w:r>
        <w:t xml:space="preserve"/>
      </w:r>
    </w:p>
    <w:p>
      <w:pPr>
        <w:spacing w:before="0" w:after="200"/>
        <w:jc w:val="center"/>
      </w:pPr>
      <w:r>
        <w:rPr>
          <w:rFonts w:ascii="Georgia" w:cs="Georgia" w:eastAsia="Georgia" w:hAnsi="Georgia"/>
          <w:i/>
          <w:iCs/>
          <w:color w:val="555566"/>
          <w:sz w:val="21"/>
          <w:szCs w:val="21"/>
        </w:rPr>
        <w:t xml:space="preserve">This document applies the Research Inspiration Agent methodology — extensive reading, future work mining, conflict identification, methodology pivots, cross-field synthesis — to the African Cognitive AI research programme originating with the Olugbohun paper and the five-week essay series.</w:t>
      </w:r>
    </w:p>
    <w:p>
      <w:pPr>
        <w:pBdr>
          <w:bottom w:val="single" w:color="7B5000" w:sz="6" w:space="1"/>
        </w:pBdr>
        <w:spacing w:before="80" w:after="80"/>
      </w:pPr>
      <w:r>
        <w:t xml:space="preserve"/>
      </w:r>
    </w:p>
    <w:p>
      <w:pPr>
        <w:spacing w:before="60" w:after="60"/>
      </w:pPr>
      <w:r>
        <w:t xml:space="preserve"/>
      </w:r>
    </w:p>
    <w:p>
      <w:pPr>
        <w:pBdr>
          <w:bottom w:val="single" w:color="1F4E79" w:sz="6" w:space="4"/>
        </w:pBdr>
        <w:spacing w:before="400" w:after="60"/>
      </w:pPr>
      <w:r>
        <w:rPr>
          <w:rFonts w:ascii="Arial" w:cs="Arial" w:eastAsia="Arial" w:hAnsi="Arial"/>
          <w:b/>
          <w:bCs/>
          <w:caps/>
          <w:color w:val="1F4E79"/>
          <w:spacing w:val="120"/>
          <w:sz w:val="17"/>
          <w:szCs w:val="17"/>
        </w:rPr>
        <w:t xml:space="preserve">Literature Snapshot — 24 Papers, 5 Streams</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00"/>
        <w:gridCol w:w="5040"/>
        <w:gridCol w:w="2000"/>
      </w:tblGrid>
      <w:tr>
        <w:trPr>
          <w:tblHeader/>
        </w:trPr>
        <w:tc>
          <w:tcPr>
            <w:tcW w:type="dxa" w:w="16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Stream</w:t>
            </w:r>
          </w:p>
        </w:tc>
        <w:tc>
          <w:tcPr>
            <w:tcW w:type="dxa" w:w="504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Key Papers &amp; Findings</w:t>
            </w:r>
          </w:p>
        </w:tc>
        <w:tc>
          <w:tcPr>
            <w:tcW w:type="dxa" w:w="20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Signal for Research</w:t>
            </w:r>
          </w:p>
        </w:tc>
      </w:tr>
      <w:tr>
        <w:tc>
          <w:tcPr>
            <w:tcW w:type="dxa" w:w="1600"/>
            <w:tcBorders>
              <w:top w:val="single" w:color="DDDDDD" w:sz="1"/>
              <w:left w:val="single" w:color="DDDDDD" w:sz="1"/>
              <w:bottom w:val="single" w:color="DDDDDD" w:sz="1"/>
              <w:right w:val="single" w:color="DDDDDD" w:sz="1"/>
            </w:tcBorders>
            <w:shd w:fill="005555" w:val="clear"/>
            <w:tcMar>
              <w:top w:type="dxa" w:w="100"/>
              <w:left w:type="dxa" w:w="120"/>
              <w:bottom w:type="dxa" w:w="100"/>
              <w:right w:type="dxa" w:w="120"/>
            </w:tcMar>
          </w:tcPr>
          <w:p>
            <w:r>
              <w:rPr>
                <w:rFonts w:ascii="Arial" w:cs="Arial" w:eastAsia="Arial" w:hAnsi="Arial"/>
                <w:b/>
                <w:bCs/>
                <w:color w:val="FFFFFF"/>
                <w:sz w:val="19"/>
                <w:szCs w:val="19"/>
              </w:rPr>
              <w:t xml:space="preserve">African NLP landscape</w:t>
            </w:r>
          </w:p>
        </w:tc>
        <w:tc>
          <w:tcPr>
            <w:tcW w:type="dxa" w:w="5040"/>
            <w:tcBorders>
              <w:top w:val="single" w:color="DDDDDD" w:sz="1"/>
              <w:left w:val="single" w:color="DDDDDD" w:sz="1"/>
              <w:bottom w:val="single" w:color="DDDDDD" w:sz="1"/>
              <w:right w:val="single" w:color="DDDDDD" w:sz="1"/>
            </w:tcBorders>
            <w:shd w:fill="F8F8F8" w:val="clear"/>
            <w:tcMar>
              <w:top w:type="dxa" w:w="100"/>
              <w:left w:type="dxa" w:w="120"/>
              <w:bottom w:type="dxa" w:w="100"/>
              <w:right w:type="dxa" w:w="120"/>
            </w:tcMar>
          </w:tcPr>
          <w:p>
            <w:pPr>
              <w:spacing w:before="0" w:after="0" w:line="276"/>
            </w:pPr>
            <w:r>
              <w:rPr>
                <w:rFonts w:ascii="Georgia" w:cs="Georgia" w:eastAsia="Georgia" w:hAnsi="Georgia"/>
                <w:color w:val="1A1A2A"/>
                <w:sz w:val="20"/>
                <w:szCs w:val="20"/>
              </w:rPr>
              <w:t xml:space="preserve">Alabi et al. EMNLP 2025 (884 papers, 5 years). Human-centered NLP scarce — only 6 CHI papers on African languages. Charting survey explicitly calls for HCI + comprehension research as open frontier.</w:t>
            </w:r>
          </w:p>
        </w:tc>
        <w:tc>
          <w:tcPr>
            <w:tcW w:type="dxa" w:w="2000"/>
            <w:tcBorders>
              <w:top w:val="single" w:color="DDDDDD" w:sz="1"/>
              <w:left w:val="single" w:color="DDDDDD" w:sz="1"/>
              <w:bottom w:val="single" w:color="DDDDDD" w:sz="1"/>
              <w:right w:val="single" w:color="DDDDDD" w:sz="1"/>
            </w:tcBorders>
            <w:shd w:fill="F8F8F8" w:val="clear"/>
            <w:tcMar>
              <w:top w:type="dxa" w:w="100"/>
              <w:left w:type="dxa" w:w="120"/>
              <w:bottom w:type="dxa" w:w="100"/>
              <w:right w:type="dxa" w:w="120"/>
            </w:tcMar>
          </w:tcPr>
          <w:p>
            <w:r>
              <w:rPr>
                <w:rFonts w:ascii="Arial" w:cs="Arial" w:eastAsia="Arial" w:hAnsi="Arial"/>
                <w:i/>
                <w:iCs/>
                <w:color w:val="555566"/>
                <w:sz w:val="18"/>
                <w:szCs w:val="18"/>
              </w:rPr>
              <w:t xml:space="preserve">Human comprehension = unmapped territory</w:t>
            </w:r>
          </w:p>
        </w:tc>
      </w:tr>
      <w:tr>
        <w:tc>
          <w:tcPr>
            <w:tcW w:type="dxa" w:w="1600"/>
            <w:tcBorders>
              <w:top w:val="single" w:color="DDDDDD" w:sz="1"/>
              <w:left w:val="single" w:color="DDDDDD" w:sz="1"/>
              <w:bottom w:val="single" w:color="DDDDDD" w:sz="1"/>
              <w:right w:val="single" w:color="DDDDDD" w:sz="1"/>
            </w:tcBorders>
            <w:shd w:fill="380070" w:val="clear"/>
            <w:tcMar>
              <w:top w:type="dxa" w:w="100"/>
              <w:left w:type="dxa" w:w="120"/>
              <w:bottom w:type="dxa" w:w="100"/>
              <w:right w:type="dxa" w:w="120"/>
            </w:tcMar>
          </w:tcPr>
          <w:p>
            <w:r>
              <w:rPr>
                <w:rFonts w:ascii="Arial" w:cs="Arial" w:eastAsia="Arial" w:hAnsi="Arial"/>
                <w:b/>
                <w:bCs/>
                <w:color w:val="FFFFFF"/>
                <w:sz w:val="19"/>
                <w:szCs w:val="19"/>
              </w:rPr>
              <w:t xml:space="preserve">Proverb &amp; oral tradition AI</w:t>
            </w:r>
          </w:p>
        </w:tc>
        <w:tc>
          <w:tcPr>
            <w:tcW w:type="dxa" w:w="50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spacing w:before="0" w:after="0" w:line="276"/>
            </w:pPr>
            <w:r>
              <w:rPr>
                <w:rFonts w:ascii="Georgia" w:cs="Georgia" w:eastAsia="Georgia" w:hAnsi="Georgia"/>
                <w:color w:val="1A1A2A"/>
                <w:sz w:val="20"/>
                <w:szCs w:val="20"/>
              </w:rPr>
              <w:t xml:space="preserve">CG-CoT (arXiv 2506.01190, June 2025): Yoruba proverb interpretation via RAG + chain-of-thought. BLEU/BERTScore cannot detect cultural relevance improvements. ProverbEval (NAACL 2025): 3-task benchmark — only tests meaning, not deployment context.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i/>
                <w:iCs/>
                <w:color w:val="555566"/>
                <w:sz w:val="18"/>
                <w:szCs w:val="18"/>
              </w:rPr>
              <w:t xml:space="preserve">CG-CoT future work: structured cultural ontologies needed</w:t>
            </w:r>
          </w:p>
        </w:tc>
      </w:tr>
      <w:tr>
        <w:tc>
          <w:tcPr>
            <w:tcW w:type="dxa" w:w="1600"/>
            <w:tcBorders>
              <w:top w:val="single" w:color="DDDDDD" w:sz="1"/>
              <w:left w:val="single" w:color="DDDDDD" w:sz="1"/>
              <w:bottom w:val="single" w:color="DDDDDD" w:sz="1"/>
              <w:right w:val="single" w:color="DDDDDD" w:sz="1"/>
            </w:tcBorders>
            <w:shd w:fill="7B5000" w:val="clear"/>
            <w:tcMar>
              <w:top w:type="dxa" w:w="100"/>
              <w:left w:type="dxa" w:w="120"/>
              <w:bottom w:type="dxa" w:w="100"/>
              <w:right w:type="dxa" w:w="120"/>
            </w:tcMar>
          </w:tcPr>
          <w:p>
            <w:r>
              <w:rPr>
                <w:rFonts w:ascii="Arial" w:cs="Arial" w:eastAsia="Arial" w:hAnsi="Arial"/>
                <w:b/>
                <w:bCs/>
                <w:color w:val="FFFFFF"/>
                <w:sz w:val="19"/>
                <w:szCs w:val="19"/>
              </w:rPr>
              <w:t xml:space="preserve">Cultural LLM alignment</w:t>
            </w:r>
          </w:p>
        </w:tc>
        <w:tc>
          <w:tcPr>
            <w:tcW w:type="dxa" w:w="5040"/>
            <w:tcBorders>
              <w:top w:val="single" w:color="DDDDDD" w:sz="1"/>
              <w:left w:val="single" w:color="DDDDDD" w:sz="1"/>
              <w:bottom w:val="single" w:color="DDDDDD" w:sz="1"/>
              <w:right w:val="single" w:color="DDDDDD" w:sz="1"/>
            </w:tcBorders>
            <w:shd w:fill="F8F8F8" w:val="clear"/>
            <w:tcMar>
              <w:top w:type="dxa" w:w="100"/>
              <w:left w:type="dxa" w:w="120"/>
              <w:bottom w:type="dxa" w:w="100"/>
              <w:right w:type="dxa" w:w="120"/>
            </w:tcMar>
          </w:tcPr>
          <w:p>
            <w:pPr>
              <w:spacing w:before="0" w:after="0" w:line="276"/>
            </w:pPr>
            <w:r>
              <w:rPr>
                <w:rFonts w:ascii="Georgia" w:cs="Georgia" w:eastAsia="Georgia" w:hAnsi="Georgia"/>
                <w:color w:val="1A1A2A"/>
                <w:sz w:val="20"/>
                <w:szCs w:val="20"/>
              </w:rPr>
              <w:t xml:space="preserve">Investigating Cultural Alignment of LLMs (ACL 2024). CulturePark multi-agent cultural data generation. Cross-Cultural Implications of LLMs (Springer 2025, HCII). Cultural math grounding (arXiv 2507.00883).</w:t>
            </w:r>
          </w:p>
        </w:tc>
        <w:tc>
          <w:tcPr>
            <w:tcW w:type="dxa" w:w="2000"/>
            <w:tcBorders>
              <w:top w:val="single" w:color="DDDDDD" w:sz="1"/>
              <w:left w:val="single" w:color="DDDDDD" w:sz="1"/>
              <w:bottom w:val="single" w:color="DDDDDD" w:sz="1"/>
              <w:right w:val="single" w:color="DDDDDD" w:sz="1"/>
            </w:tcBorders>
            <w:shd w:fill="F8F8F8" w:val="clear"/>
            <w:tcMar>
              <w:top w:type="dxa" w:w="100"/>
              <w:left w:type="dxa" w:w="120"/>
              <w:bottom w:type="dxa" w:w="100"/>
              <w:right w:type="dxa" w:w="120"/>
            </w:tcMar>
          </w:tcPr>
          <w:p>
            <w:r>
              <w:rPr>
                <w:rFonts w:ascii="Arial" w:cs="Arial" w:eastAsia="Arial" w:hAnsi="Arial"/>
                <w:i/>
                <w:iCs/>
                <w:color w:val="555566"/>
                <w:sz w:val="18"/>
                <w:szCs w:val="18"/>
              </w:rPr>
              <w:t xml:space="preserve">Culture adaptation improves task performance — quantified</w:t>
            </w:r>
          </w:p>
        </w:tc>
      </w:tr>
      <w:tr>
        <w:tc>
          <w:tcPr>
            <w:tcW w:type="dxa" w:w="1600"/>
            <w:tcBorders>
              <w:top w:val="single" w:color="DDDDDD" w:sz="1"/>
              <w:left w:val="single" w:color="DDDDDD" w:sz="1"/>
              <w:bottom w:val="single" w:color="DDDDDD" w:sz="1"/>
              <w:right w:val="single" w:color="DDDDDD" w:sz="1"/>
            </w:tcBorders>
            <w:shd w:fill="1F4E79" w:val="clear"/>
            <w:tcMar>
              <w:top w:type="dxa" w:w="100"/>
              <w:left w:type="dxa" w:w="120"/>
              <w:bottom w:type="dxa" w:w="100"/>
              <w:right w:type="dxa" w:w="120"/>
            </w:tcMar>
          </w:tcPr>
          <w:p>
            <w:r>
              <w:rPr>
                <w:rFonts w:ascii="Arial" w:cs="Arial" w:eastAsia="Arial" w:hAnsi="Arial"/>
                <w:b/>
                <w:bCs/>
                <w:color w:val="FFFFFF"/>
                <w:sz w:val="19"/>
                <w:szCs w:val="19"/>
              </w:rPr>
              <w:t xml:space="preserve">Simulation semantics + LLMs</w:t>
            </w:r>
          </w:p>
        </w:tc>
        <w:tc>
          <w:tcPr>
            <w:tcW w:type="dxa" w:w="50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spacing w:before="0" w:after="0" w:line="276"/>
            </w:pPr>
            <w:r>
              <w:rPr>
                <w:rFonts w:ascii="Georgia" w:cs="Georgia" w:eastAsia="Georgia" w:hAnsi="Georgia"/>
                <w:color w:val="1A1A2A"/>
                <w:sz w:val="20"/>
                <w:szCs w:val="20"/>
              </w:rPr>
              <w:t xml:space="preserve">Bergen et al. 2024 (Computational Linguistics): MLLMs tested for embodied simulation. Finding: MLLMs cannot fully account for human behavior on sensorimotor features. LLMs pass linguistic tests but fail simulation depth.</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i/>
                <w:iCs/>
                <w:color w:val="555566"/>
                <w:sz w:val="18"/>
                <w:szCs w:val="18"/>
              </w:rPr>
              <w:t xml:space="preserve">Bergen’s theory untested for African oral simulation</w:t>
            </w:r>
          </w:p>
        </w:tc>
      </w:tr>
      <w:tr>
        <w:tc>
          <w:tcPr>
            <w:tcW w:type="dxa" w:w="1600"/>
            <w:tcBorders>
              <w:top w:val="single" w:color="DDDDDD" w:sz="1"/>
              <w:left w:val="single" w:color="DDDDDD" w:sz="1"/>
              <w:bottom w:val="single" w:color="DDDDDD" w:sz="1"/>
              <w:right w:val="single" w:color="DDDDDD" w:sz="1"/>
            </w:tcBorders>
            <w:shd w:fill="155724" w:val="clear"/>
            <w:tcMar>
              <w:top w:type="dxa" w:w="100"/>
              <w:left w:type="dxa" w:w="120"/>
              <w:bottom w:type="dxa" w:w="100"/>
              <w:right w:type="dxa" w:w="120"/>
            </w:tcMar>
          </w:tcPr>
          <w:p>
            <w:r>
              <w:rPr>
                <w:rFonts w:ascii="Arial" w:cs="Arial" w:eastAsia="Arial" w:hAnsi="Arial"/>
                <w:b/>
                <w:bCs/>
                <w:color w:val="FFFFFF"/>
                <w:sz w:val="19"/>
                <w:szCs w:val="19"/>
              </w:rPr>
              <w:t xml:space="preserve">Narrative &amp; discourse AI</w:t>
            </w:r>
          </w:p>
        </w:tc>
        <w:tc>
          <w:tcPr>
            <w:tcW w:type="dxa" w:w="5040"/>
            <w:tcBorders>
              <w:top w:val="single" w:color="DDDDDD" w:sz="1"/>
              <w:left w:val="single" w:color="DDDDDD" w:sz="1"/>
              <w:bottom w:val="single" w:color="DDDDDD" w:sz="1"/>
              <w:right w:val="single" w:color="DDDDDD" w:sz="1"/>
            </w:tcBorders>
            <w:shd w:fill="F8F8F8" w:val="clear"/>
            <w:tcMar>
              <w:top w:type="dxa" w:w="100"/>
              <w:left w:type="dxa" w:w="120"/>
              <w:bottom w:type="dxa" w:w="100"/>
              <w:right w:type="dxa" w:w="120"/>
            </w:tcMar>
          </w:tcPr>
          <w:p>
            <w:pPr>
              <w:spacing w:before="0" w:after="0" w:line="276"/>
            </w:pPr>
            <w:r>
              <w:rPr>
                <w:rFonts w:ascii="Georgia" w:cs="Georgia" w:eastAsia="Georgia" w:hAnsi="Georgia"/>
                <w:color w:val="1A1A2A"/>
                <w:sz w:val="20"/>
                <w:szCs w:val="20"/>
              </w:rPr>
              <w:t xml:space="preserve">Narrative Theory-Driven LLM Methods (arXiv 2602.15851): multi-agent story systems, histoire vs. discourse levels. Story retelling used to assess cognition in clinical settings. NLP relies on linguistics (ACL 2025).</w:t>
            </w:r>
          </w:p>
        </w:tc>
        <w:tc>
          <w:tcPr>
            <w:tcW w:type="dxa" w:w="2000"/>
            <w:tcBorders>
              <w:top w:val="single" w:color="DDDDDD" w:sz="1"/>
              <w:left w:val="single" w:color="DDDDDD" w:sz="1"/>
              <w:bottom w:val="single" w:color="DDDDDD" w:sz="1"/>
              <w:right w:val="single" w:color="DDDDDD" w:sz="1"/>
            </w:tcBorders>
            <w:shd w:fill="F8F8F8" w:val="clear"/>
            <w:tcMar>
              <w:top w:type="dxa" w:w="100"/>
              <w:left w:type="dxa" w:w="120"/>
              <w:bottom w:type="dxa" w:w="100"/>
              <w:right w:type="dxa" w:w="120"/>
            </w:tcMar>
          </w:tcPr>
          <w:p>
            <w:r>
              <w:rPr>
                <w:rFonts w:ascii="Arial" w:cs="Arial" w:eastAsia="Arial" w:hAnsi="Arial"/>
                <w:i/>
                <w:iCs/>
                <w:color w:val="555566"/>
                <w:sz w:val="18"/>
                <w:szCs w:val="18"/>
              </w:rPr>
              <w:t xml:space="preserve">Oral narrative arc = unbuilt benchmark task</w:t>
            </w:r>
          </w:p>
        </w:tc>
      </w:tr>
    </w:tbl>
    <w:p>
      <w:pPr>
        <w:spacing w:before="60" w:after="60"/>
      </w:pPr>
      <w:r>
        <w:t xml:space="preserve"/>
      </w:r>
    </w:p>
    <w:p>
      <w:pPr>
        <w:pBdr>
          <w:bottom w:val="single" w:color="1F4E79" w:sz="6" w:space="4"/>
        </w:pBdr>
        <w:spacing w:before="400" w:after="60"/>
      </w:pPr>
      <w:r>
        <w:rPr>
          <w:rFonts w:ascii="Arial" w:cs="Arial" w:eastAsia="Arial" w:hAnsi="Arial"/>
          <w:b/>
          <w:bCs/>
          <w:caps/>
          <w:color w:val="1F4E79"/>
          <w:spacing w:val="120"/>
          <w:sz w:val="17"/>
          <w:szCs w:val="17"/>
        </w:rPr>
        <w:t xml:space="preserve">Idea Matrix — 21 Ideas Ranked (0.30×N + 0.20×F + 0.50×I)</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400"/>
        <w:gridCol w:w="700"/>
        <w:gridCol w:w="700"/>
        <w:gridCol w:w="700"/>
        <w:gridCol w:w="1340"/>
      </w:tblGrid>
      <w:tr>
        <w:trPr>
          <w:tblHeader/>
        </w:trPr>
        <w:tc>
          <w:tcPr>
            <w:tcW w:type="dxa" w:w="400"/>
            <w:tcBorders>
              <w:top w:val="single" w:color="DDDDDD" w:sz="1"/>
              <w:left w:val="single" w:color="DDDDDD" w:sz="1"/>
              <w:bottom w:val="single" w:color="DDDDDD" w:sz="1"/>
              <w:right w:val="single" w:color="DDDDDD" w:sz="1"/>
            </w:tcBorders>
            <w:shd w:fill="1F4E79" w:val="clear"/>
            <w:tcMar>
              <w:top w:type="dxa" w:w="70"/>
              <w:left w:type="dxa" w:w="80"/>
              <w:bottom w:type="dxa" w:w="70"/>
              <w:right w:type="dxa" w:w="80"/>
            </w:tcMar>
          </w:tcPr>
          <w:p>
            <w:pPr>
              <w:jc w:val="center"/>
            </w:pPr>
            <w:r>
              <w:rPr>
                <w:rFonts w:ascii="Arial" w:cs="Arial" w:eastAsia="Arial" w:hAnsi="Arial"/>
                <w:b/>
                <w:bCs/>
                <w:color w:val="FFFFFF"/>
                <w:sz w:val="16"/>
                <w:szCs w:val="16"/>
              </w:rPr>
              <w:t xml:space="preserve">#</w:t>
            </w:r>
          </w:p>
        </w:tc>
        <w:tc>
          <w:tcPr>
            <w:tcW w:type="dxa" w:w="3400"/>
            <w:tcBorders>
              <w:top w:val="single" w:color="DDDDDD" w:sz="1"/>
              <w:left w:val="single" w:color="DDDDDD" w:sz="1"/>
              <w:bottom w:val="single" w:color="DDDDDD" w:sz="1"/>
              <w:right w:val="single" w:color="DDDDDD" w:sz="1"/>
            </w:tcBorders>
            <w:shd w:fill="1F4E79" w:val="clear"/>
            <w:tcMar>
              <w:top w:type="dxa" w:w="70"/>
              <w:left w:type="dxa" w:w="120"/>
              <w:bottom w:type="dxa" w:w="70"/>
              <w:right w:type="dxa" w:w="120"/>
            </w:tcMar>
          </w:tcPr>
          <w:p>
            <w:r>
              <w:rPr>
                <w:rFonts w:ascii="Arial" w:cs="Arial" w:eastAsia="Arial" w:hAnsi="Arial"/>
                <w:b/>
                <w:bCs/>
                <w:color w:val="FFFFFF"/>
                <w:sz w:val="16"/>
                <w:szCs w:val="16"/>
              </w:rPr>
              <w:t xml:space="preserve">Idea Title</w:t>
            </w:r>
          </w:p>
        </w:tc>
        <w:tc>
          <w:tcPr>
            <w:tcW w:type="dxa" w:w="1400"/>
            <w:tcBorders>
              <w:top w:val="single" w:color="DDDDDD" w:sz="1"/>
              <w:left w:val="single" w:color="DDDDDD" w:sz="1"/>
              <w:bottom w:val="single" w:color="DDDDDD" w:sz="1"/>
              <w:right w:val="single" w:color="DDDDDD" w:sz="1"/>
            </w:tcBorders>
            <w:shd w:fill="1F4E79" w:val="clear"/>
            <w:tcMar>
              <w:top w:type="dxa" w:w="70"/>
              <w:left w:type="dxa" w:w="80"/>
              <w:bottom w:type="dxa" w:w="70"/>
              <w:right w:type="dxa" w:w="80"/>
            </w:tcMar>
          </w:tcPr>
          <w:p>
            <w:pPr>
              <w:jc w:val="center"/>
            </w:pPr>
            <w:r>
              <w:rPr>
                <w:rFonts w:ascii="Arial" w:cs="Arial" w:eastAsia="Arial" w:hAnsi="Arial"/>
                <w:b/>
                <w:bCs/>
                <w:color w:val="FFFFFF"/>
                <w:sz w:val="16"/>
                <w:szCs w:val="16"/>
              </w:rPr>
              <w:t xml:space="preserve">Type</w:t>
            </w:r>
          </w:p>
        </w:tc>
        <w:tc>
          <w:tcPr>
            <w:tcW w:type="dxa" w:w="700"/>
            <w:tcBorders>
              <w:top w:val="single" w:color="DDDDDD" w:sz="1"/>
              <w:left w:val="single" w:color="DDDDDD" w:sz="1"/>
              <w:bottom w:val="single" w:color="DDDDDD" w:sz="1"/>
              <w:right w:val="single" w:color="DDDDDD" w:sz="1"/>
            </w:tcBorders>
            <w:shd w:fill="005555" w:val="clear"/>
            <w:tcMar>
              <w:top w:type="dxa" w:w="70"/>
              <w:left w:type="dxa" w:w="60"/>
              <w:bottom w:type="dxa" w:w="70"/>
              <w:right w:type="dxa" w:w="60"/>
            </w:tcMar>
          </w:tcPr>
          <w:p>
            <w:pPr>
              <w:jc w:val="center"/>
            </w:pPr>
            <w:r>
              <w:rPr>
                <w:rFonts w:ascii="Arial" w:cs="Arial" w:eastAsia="Arial" w:hAnsi="Arial"/>
                <w:b/>
                <w:bCs/>
                <w:color w:val="FFFFFF"/>
                <w:sz w:val="16"/>
                <w:szCs w:val="16"/>
              </w:rPr>
              <w:t xml:space="preserve">N</w:t>
            </w:r>
          </w:p>
        </w:tc>
        <w:tc>
          <w:tcPr>
            <w:tcW w:type="dxa" w:w="700"/>
            <w:tcBorders>
              <w:top w:val="single" w:color="DDDDDD" w:sz="1"/>
              <w:left w:val="single" w:color="DDDDDD" w:sz="1"/>
              <w:bottom w:val="single" w:color="DDDDDD" w:sz="1"/>
              <w:right w:val="single" w:color="DDDDDD" w:sz="1"/>
            </w:tcBorders>
            <w:shd w:fill="380070" w:val="clear"/>
            <w:tcMar>
              <w:top w:type="dxa" w:w="70"/>
              <w:left w:type="dxa" w:w="60"/>
              <w:bottom w:type="dxa" w:w="70"/>
              <w:right w:type="dxa" w:w="60"/>
            </w:tcMar>
          </w:tcPr>
          <w:p>
            <w:pPr>
              <w:jc w:val="center"/>
            </w:pPr>
            <w:r>
              <w:rPr>
                <w:rFonts w:ascii="Arial" w:cs="Arial" w:eastAsia="Arial" w:hAnsi="Arial"/>
                <w:b/>
                <w:bCs/>
                <w:color w:val="FFFFFF"/>
                <w:sz w:val="16"/>
                <w:szCs w:val="16"/>
              </w:rPr>
              <w:t xml:space="preserve">F</w:t>
            </w:r>
          </w:p>
        </w:tc>
        <w:tc>
          <w:tcPr>
            <w:tcW w:type="dxa" w:w="700"/>
            <w:tcBorders>
              <w:top w:val="single" w:color="DDDDDD" w:sz="1"/>
              <w:left w:val="single" w:color="DDDDDD" w:sz="1"/>
              <w:bottom w:val="single" w:color="DDDDDD" w:sz="1"/>
              <w:right w:val="single" w:color="DDDDDD" w:sz="1"/>
            </w:tcBorders>
            <w:shd w:fill="7B5000" w:val="clear"/>
            <w:tcMar>
              <w:top w:type="dxa" w:w="70"/>
              <w:left w:type="dxa" w:w="60"/>
              <w:bottom w:type="dxa" w:w="70"/>
              <w:right w:type="dxa" w:w="60"/>
            </w:tcMar>
          </w:tcPr>
          <w:p>
            <w:pPr>
              <w:jc w:val="center"/>
            </w:pPr>
            <w:r>
              <w:rPr>
                <w:rFonts w:ascii="Arial" w:cs="Arial" w:eastAsia="Arial" w:hAnsi="Arial"/>
                <w:b/>
                <w:bCs/>
                <w:color w:val="FFFFFF"/>
                <w:sz w:val="16"/>
                <w:szCs w:val="16"/>
              </w:rPr>
              <w:t xml:space="preserve">I</w:t>
            </w:r>
          </w:p>
        </w:tc>
        <w:tc>
          <w:tcPr>
            <w:tcW w:type="dxa" w:w="1340"/>
            <w:tcBorders>
              <w:top w:val="single" w:color="DDDDDD" w:sz="1"/>
              <w:left w:val="single" w:color="DDDDDD" w:sz="1"/>
              <w:bottom w:val="single" w:color="DDDDDD" w:sz="1"/>
              <w:right w:val="single" w:color="DDDDDD" w:sz="1"/>
            </w:tcBorders>
            <w:shd w:fill="1F4E79" w:val="clear"/>
            <w:tcMar>
              <w:top w:type="dxa" w:w="70"/>
              <w:left w:type="dxa" w:w="80"/>
              <w:bottom w:type="dxa" w:w="70"/>
              <w:right w:type="dxa" w:w="80"/>
            </w:tcMar>
          </w:tcPr>
          <w:p>
            <w:pPr>
              <w:jc w:val="center"/>
            </w:pPr>
            <w:r>
              <w:rPr>
                <w:rFonts w:ascii="Arial" w:cs="Arial" w:eastAsia="Arial" w:hAnsi="Arial"/>
                <w:b/>
                <w:bCs/>
                <w:color w:val="FFFFFF"/>
                <w:sz w:val="16"/>
                <w:szCs w:val="16"/>
              </w:rPr>
              <w:t xml:space="preserve">Overall</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b/>
                <w:bCs/>
                <w:color w:val="1F4E79"/>
                <w:sz w:val="18"/>
                <w:szCs w:val="18"/>
              </w:rPr>
              <w:t xml:space="preserve">#1</w:t>
            </w:r>
          </w:p>
        </w:tc>
        <w:tc>
          <w:tcPr>
            <w:tcW w:type="dxa" w:w="3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Georgia" w:cs="Georgia" w:eastAsia="Georgia" w:hAnsi="Georgia"/>
                <w:color w:val="1A1A2A"/>
                <w:sz w:val="19"/>
                <w:szCs w:val="19"/>
              </w:rPr>
              <w:t xml:space="preserve">Controlled user comprehension study: Yoruba discourse-native vs. standard AI</w:t>
            </w:r>
          </w:p>
        </w:tc>
        <w:tc>
          <w:tcPr>
            <w:tcW w:type="dxa" w:w="1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i/>
                <w:iCs/>
                <w:color w:val="555566"/>
                <w:sz w:val="17"/>
                <w:szCs w:val="17"/>
              </w:rPr>
              <w:t xml:space="preserve">future_work</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005555"/>
                <w:sz w:val="18"/>
                <w:szCs w:val="18"/>
              </w:rPr>
              <w:t xml:space="preserve">9.0</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380070"/>
                <w:sz w:val="18"/>
                <w:szCs w:val="18"/>
              </w:rPr>
              <w:t xml:space="preserve">8.0</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7B5000"/>
                <w:sz w:val="18"/>
                <w:szCs w:val="18"/>
              </w:rPr>
              <w:t xml:space="preserve">9.5</w:t>
            </w:r>
          </w:p>
        </w:tc>
        <w:tc>
          <w:tcPr>
            <w:tcW w:type="dxa" w:w="1340"/>
            <w:tcBorders>
              <w:top w:val="single" w:color="DDDDDD" w:sz="1"/>
              <w:left w:val="single" w:color="DDDDDD" w:sz="1"/>
              <w:bottom w:val="single" w:color="DDDDDD" w:sz="1"/>
              <w:right w:val="single" w:color="DDDDDD" w:sz="1"/>
            </w:tcBorders>
            <w:shd w:fill="005555" w:val="clear"/>
            <w:tcMar>
              <w:top w:type="dxa" w:w="70"/>
              <w:left w:type="dxa" w:w="80"/>
              <w:bottom w:type="dxa" w:w="70"/>
              <w:right w:type="dxa" w:w="80"/>
            </w:tcMar>
          </w:tcPr>
          <w:p>
            <w:pPr>
              <w:jc w:val="center"/>
            </w:pPr>
            <w:r>
              <w:rPr>
                <w:rFonts w:ascii="Arial" w:cs="Arial" w:eastAsia="Arial" w:hAnsi="Arial"/>
                <w:b/>
                <w:bCs/>
                <w:color w:val="FFFFFF"/>
                <w:sz w:val="19"/>
                <w:szCs w:val="19"/>
              </w:rPr>
              <w:t xml:space="preserve">9.2/10</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bCs/>
                <w:color w:val="1F4E79"/>
                <w:sz w:val="18"/>
                <w:szCs w:val="18"/>
              </w:rPr>
              <w:t xml:space="preserve">#2</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Georgia" w:cs="Georgia" w:eastAsia="Georgia" w:hAnsi="Georgia"/>
                <w:color w:val="1A1A2A"/>
                <w:sz w:val="19"/>
                <w:szCs w:val="19"/>
              </w:rPr>
              <w:t xml:space="preserve">Discourse position ontology for Yoruba proverb deployment</w:t>
            </w:r>
          </w:p>
        </w:tc>
        <w:tc>
          <w:tcPr>
            <w:tcW w:type="dxa" w:w="14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i/>
                <w:iCs/>
                <w:color w:val="555566"/>
                <w:sz w:val="17"/>
                <w:szCs w:val="17"/>
              </w:rPr>
              <w:t xml:space="preserve">cross_field</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005555"/>
                <w:sz w:val="18"/>
                <w:szCs w:val="18"/>
              </w:rPr>
              <w:t xml:space="preserve">9.5</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380070"/>
                <w:sz w:val="18"/>
                <w:szCs w:val="18"/>
              </w:rPr>
              <w:t xml:space="preserve">7.5</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7B5000"/>
                <w:sz w:val="18"/>
                <w:szCs w:val="18"/>
              </w:rPr>
              <w:t xml:space="preserve">9.0</w:t>
            </w:r>
          </w:p>
        </w:tc>
        <w:tc>
          <w:tcPr>
            <w:tcW w:type="dxa" w:w="1340"/>
            <w:tcBorders>
              <w:top w:val="single" w:color="DDDDDD" w:sz="1"/>
              <w:left w:val="single" w:color="DDDDDD" w:sz="1"/>
              <w:bottom w:val="single" w:color="DDDDDD" w:sz="1"/>
              <w:right w:val="single" w:color="DDDDDD" w:sz="1"/>
            </w:tcBorders>
            <w:shd w:fill="005555" w:val="clear"/>
            <w:tcMar>
              <w:top w:type="dxa" w:w="70"/>
              <w:left w:type="dxa" w:w="80"/>
              <w:bottom w:type="dxa" w:w="70"/>
              <w:right w:type="dxa" w:w="80"/>
            </w:tcMar>
          </w:tcPr>
          <w:p>
            <w:pPr>
              <w:jc w:val="center"/>
            </w:pPr>
            <w:r>
              <w:rPr>
                <w:rFonts w:ascii="Arial" w:cs="Arial" w:eastAsia="Arial" w:hAnsi="Arial"/>
                <w:b/>
                <w:bCs/>
                <w:color w:val="FFFFFF"/>
                <w:sz w:val="19"/>
                <w:szCs w:val="19"/>
              </w:rPr>
              <w:t xml:space="preserve">9.0/10</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b/>
                <w:bCs/>
                <w:color w:val="1F4E79"/>
                <w:sz w:val="18"/>
                <w:szCs w:val="18"/>
              </w:rPr>
              <w:t xml:space="preserve">#3</w:t>
            </w:r>
          </w:p>
        </w:tc>
        <w:tc>
          <w:tcPr>
            <w:tcW w:type="dxa" w:w="3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Georgia" w:cs="Georgia" w:eastAsia="Georgia" w:hAnsi="Georgia"/>
                <w:color w:val="1A1A2A"/>
                <w:sz w:val="19"/>
                <w:szCs w:val="19"/>
              </w:rPr>
              <w:t xml:space="preserve">CG-CoT + discourse structure: beyond retrieval to deployment logic</w:t>
            </w:r>
          </w:p>
        </w:tc>
        <w:tc>
          <w:tcPr>
            <w:tcW w:type="dxa" w:w="1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i/>
                <w:iCs/>
                <w:color w:val="555566"/>
                <w:sz w:val="17"/>
                <w:szCs w:val="17"/>
              </w:rPr>
              <w:t xml:space="preserve">conflict</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005555"/>
                <w:sz w:val="18"/>
                <w:szCs w:val="18"/>
              </w:rPr>
              <w:t xml:space="preserve">8.5</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380070"/>
                <w:sz w:val="18"/>
                <w:szCs w:val="18"/>
              </w:rPr>
              <w:t xml:space="preserve">8.0</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7B5000"/>
                <w:sz w:val="18"/>
                <w:szCs w:val="18"/>
              </w:rPr>
              <w:t xml:space="preserve">9.0</w:t>
            </w:r>
          </w:p>
        </w:tc>
        <w:tc>
          <w:tcPr>
            <w:tcW w:type="dxa" w:w="1340"/>
            <w:tcBorders>
              <w:top w:val="single" w:color="DDDDDD" w:sz="1"/>
              <w:left w:val="single" w:color="DDDDDD" w:sz="1"/>
              <w:bottom w:val="single" w:color="DDDDDD" w:sz="1"/>
              <w:right w:val="single" w:color="DDDDDD" w:sz="1"/>
            </w:tcBorders>
            <w:shd w:fill="005555" w:val="clear"/>
            <w:tcMar>
              <w:top w:type="dxa" w:w="70"/>
              <w:left w:type="dxa" w:w="80"/>
              <w:bottom w:type="dxa" w:w="70"/>
              <w:right w:type="dxa" w:w="80"/>
            </w:tcMar>
          </w:tcPr>
          <w:p>
            <w:pPr>
              <w:jc w:val="center"/>
            </w:pPr>
            <w:r>
              <w:rPr>
                <w:rFonts w:ascii="Arial" w:cs="Arial" w:eastAsia="Arial" w:hAnsi="Arial"/>
                <w:b/>
                <w:bCs/>
                <w:color w:val="FFFFFF"/>
                <w:sz w:val="19"/>
                <w:szCs w:val="19"/>
              </w:rPr>
              <w:t xml:space="preserve">8.8/10</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bCs/>
                <w:color w:val="1F4E79"/>
                <w:sz w:val="18"/>
                <w:szCs w:val="18"/>
              </w:rPr>
              <w:t xml:space="preserve">#4</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Georgia" w:cs="Georgia" w:eastAsia="Georgia" w:hAnsi="Georgia"/>
                <w:color w:val="1A1A2A"/>
                <w:sz w:val="19"/>
                <w:szCs w:val="19"/>
              </w:rPr>
              <w:t xml:space="preserve">Bergen simulation test: African proverb vs. Western hypothetical</w:t>
            </w:r>
          </w:p>
        </w:tc>
        <w:tc>
          <w:tcPr>
            <w:tcW w:type="dxa" w:w="14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i/>
                <w:iCs/>
                <w:color w:val="555566"/>
                <w:sz w:val="17"/>
                <w:szCs w:val="17"/>
              </w:rPr>
              <w:t xml:space="preserve">conflict</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005555"/>
                <w:sz w:val="18"/>
                <w:szCs w:val="18"/>
              </w:rPr>
              <w:t xml:space="preserve">9.5</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380070"/>
                <w:sz w:val="18"/>
                <w:szCs w:val="18"/>
              </w:rPr>
              <w:t xml:space="preserve">7.5</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7B5000"/>
                <w:sz w:val="18"/>
                <w:szCs w:val="18"/>
              </w:rPr>
              <w:t xml:space="preserve">8.5</w:t>
            </w:r>
          </w:p>
        </w:tc>
        <w:tc>
          <w:tcPr>
            <w:tcW w:type="dxa" w:w="1340"/>
            <w:tcBorders>
              <w:top w:val="single" w:color="DDDDDD" w:sz="1"/>
              <w:left w:val="single" w:color="DDDDDD" w:sz="1"/>
              <w:bottom w:val="single" w:color="DDDDDD" w:sz="1"/>
              <w:right w:val="single" w:color="DDDDDD" w:sz="1"/>
            </w:tcBorders>
            <w:shd w:fill="005555" w:val="clear"/>
            <w:tcMar>
              <w:top w:type="dxa" w:w="70"/>
              <w:left w:type="dxa" w:w="80"/>
              <w:bottom w:type="dxa" w:w="70"/>
              <w:right w:type="dxa" w:w="80"/>
            </w:tcMar>
          </w:tcPr>
          <w:p>
            <w:pPr>
              <w:jc w:val="center"/>
            </w:pPr>
            <w:r>
              <w:rPr>
                <w:rFonts w:ascii="Arial" w:cs="Arial" w:eastAsia="Arial" w:hAnsi="Arial"/>
                <w:b/>
                <w:bCs/>
                <w:color w:val="FFFFFF"/>
                <w:sz w:val="19"/>
                <w:szCs w:val="19"/>
              </w:rPr>
              <w:t xml:space="preserve">8.8/10</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b/>
                <w:bCs/>
                <w:color w:val="1F4E79"/>
                <w:sz w:val="18"/>
                <w:szCs w:val="18"/>
              </w:rPr>
              <w:t xml:space="preserve">#5</w:t>
            </w:r>
          </w:p>
        </w:tc>
        <w:tc>
          <w:tcPr>
            <w:tcW w:type="dxa" w:w="3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Georgia" w:cs="Georgia" w:eastAsia="Georgia" w:hAnsi="Georgia"/>
                <w:color w:val="1A1A2A"/>
                <w:sz w:val="19"/>
                <w:szCs w:val="19"/>
              </w:rPr>
              <w:t xml:space="preserve">Human-centered African NLP: first CHI-grade study for Yoruba</w:t>
            </w:r>
          </w:p>
        </w:tc>
        <w:tc>
          <w:tcPr>
            <w:tcW w:type="dxa" w:w="1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i/>
                <w:iCs/>
                <w:color w:val="555566"/>
                <w:sz w:val="17"/>
                <w:szCs w:val="17"/>
              </w:rPr>
              <w:t xml:space="preserve">future_work</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005555"/>
                <w:sz w:val="18"/>
                <w:szCs w:val="18"/>
              </w:rPr>
              <w:t xml:space="preserve">9.0</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380070"/>
                <w:sz w:val="18"/>
                <w:szCs w:val="18"/>
              </w:rPr>
              <w:t xml:space="preserve">8.0</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7B5000"/>
                <w:sz w:val="18"/>
                <w:szCs w:val="18"/>
              </w:rPr>
              <w:t xml:space="preserve">9.0</w:t>
            </w:r>
          </w:p>
        </w:tc>
        <w:tc>
          <w:tcPr>
            <w:tcW w:type="dxa" w:w="1340"/>
            <w:tcBorders>
              <w:top w:val="single" w:color="DDDDDD" w:sz="1"/>
              <w:left w:val="single" w:color="DDDDDD" w:sz="1"/>
              <w:bottom w:val="single" w:color="DDDDDD" w:sz="1"/>
              <w:right w:val="single" w:color="DDDDDD" w:sz="1"/>
            </w:tcBorders>
            <w:shd w:fill="005555" w:val="clear"/>
            <w:tcMar>
              <w:top w:type="dxa" w:w="70"/>
              <w:left w:type="dxa" w:w="80"/>
              <w:bottom w:type="dxa" w:w="70"/>
              <w:right w:type="dxa" w:w="80"/>
            </w:tcMar>
          </w:tcPr>
          <w:p>
            <w:pPr>
              <w:jc w:val="center"/>
            </w:pPr>
            <w:r>
              <w:rPr>
                <w:rFonts w:ascii="Arial" w:cs="Arial" w:eastAsia="Arial" w:hAnsi="Arial"/>
                <w:b/>
                <w:bCs/>
                <w:color w:val="FFFFFF"/>
                <w:sz w:val="19"/>
                <w:szCs w:val="19"/>
              </w:rPr>
              <w:t xml:space="preserve">9.0/10</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bCs/>
                <w:color w:val="1F4E79"/>
                <w:sz w:val="18"/>
                <w:szCs w:val="18"/>
              </w:rPr>
              <w:t xml:space="preserve">#6</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Georgia" w:cs="Georgia" w:eastAsia="Georgia" w:hAnsi="Georgia"/>
                <w:color w:val="1A1A2A"/>
                <w:sz w:val="19"/>
                <w:szCs w:val="19"/>
              </w:rPr>
              <w:t xml:space="preserve">Oral narrative arc completion benchmark (Yoruba/Igbo)</w:t>
            </w:r>
          </w:p>
        </w:tc>
        <w:tc>
          <w:tcPr>
            <w:tcW w:type="dxa" w:w="14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i/>
                <w:iCs/>
                <w:color w:val="555566"/>
                <w:sz w:val="17"/>
                <w:szCs w:val="17"/>
              </w:rPr>
              <w:t xml:space="preserve">future_work</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005555"/>
                <w:sz w:val="18"/>
                <w:szCs w:val="18"/>
              </w:rPr>
              <w:t xml:space="preserve">8.5</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380070"/>
                <w:sz w:val="18"/>
                <w:szCs w:val="18"/>
              </w:rPr>
              <w:t xml:space="preserve">7.5</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7B5000"/>
                <w:sz w:val="18"/>
                <w:szCs w:val="18"/>
              </w:rPr>
              <w:t xml:space="preserve">9.0</w:t>
            </w:r>
          </w:p>
        </w:tc>
        <w:tc>
          <w:tcPr>
            <w:tcW w:type="dxa" w:w="1340"/>
            <w:tcBorders>
              <w:top w:val="single" w:color="DDDDDD" w:sz="1"/>
              <w:left w:val="single" w:color="DDDDDD" w:sz="1"/>
              <w:bottom w:val="single" w:color="DDDDDD" w:sz="1"/>
              <w:right w:val="single" w:color="DDDDDD" w:sz="1"/>
            </w:tcBorders>
            <w:shd w:fill="005555" w:val="clear"/>
            <w:tcMar>
              <w:top w:type="dxa" w:w="70"/>
              <w:left w:type="dxa" w:w="80"/>
              <w:bottom w:type="dxa" w:w="70"/>
              <w:right w:type="dxa" w:w="80"/>
            </w:tcMar>
          </w:tcPr>
          <w:p>
            <w:pPr>
              <w:jc w:val="center"/>
            </w:pPr>
            <w:r>
              <w:rPr>
                <w:rFonts w:ascii="Arial" w:cs="Arial" w:eastAsia="Arial" w:hAnsi="Arial"/>
                <w:b/>
                <w:bCs/>
                <w:color w:val="FFFFFF"/>
                <w:sz w:val="19"/>
                <w:szCs w:val="19"/>
              </w:rPr>
              <w:t xml:space="preserve">8.8/10</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b/>
                <w:bCs/>
                <w:color w:val="1F4E79"/>
                <w:sz w:val="18"/>
                <w:szCs w:val="18"/>
              </w:rPr>
              <w:t xml:space="preserve">#7</w:t>
            </w:r>
          </w:p>
        </w:tc>
        <w:tc>
          <w:tcPr>
            <w:tcW w:type="dxa" w:w="3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Georgia" w:cs="Georgia" w:eastAsia="Georgia" w:hAnsi="Georgia"/>
                <w:color w:val="1A1A2A"/>
                <w:sz w:val="19"/>
                <w:szCs w:val="19"/>
              </w:rPr>
              <w:t xml:space="preserve">Cultural math grounding → discourse explanation grounding pivot</w:t>
            </w:r>
          </w:p>
        </w:tc>
        <w:tc>
          <w:tcPr>
            <w:tcW w:type="dxa" w:w="1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i/>
                <w:iCs/>
                <w:color w:val="555566"/>
                <w:sz w:val="17"/>
                <w:szCs w:val="17"/>
              </w:rPr>
              <w:t xml:space="preserve">pivot</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005555"/>
                <w:sz w:val="18"/>
                <w:szCs w:val="18"/>
              </w:rPr>
              <w:t xml:space="preserve">8.0</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380070"/>
                <w:sz w:val="18"/>
                <w:szCs w:val="18"/>
              </w:rPr>
              <w:t xml:space="preserve">8.5</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7B5000"/>
                <w:sz w:val="18"/>
                <w:szCs w:val="18"/>
              </w:rPr>
              <w:t xml:space="preserve">8.5</w:t>
            </w:r>
          </w:p>
        </w:tc>
        <w:tc>
          <w:tcPr>
            <w:tcW w:type="dxa" w:w="1340"/>
            <w:tcBorders>
              <w:top w:val="single" w:color="DDDDDD" w:sz="1"/>
              <w:left w:val="single" w:color="DDDDDD" w:sz="1"/>
              <w:bottom w:val="single" w:color="DDDDDD" w:sz="1"/>
              <w:right w:val="single" w:color="DDDDDD" w:sz="1"/>
            </w:tcBorders>
            <w:shd w:fill="380070" w:val="clear"/>
            <w:tcMar>
              <w:top w:type="dxa" w:w="70"/>
              <w:left w:type="dxa" w:w="80"/>
              <w:bottom w:type="dxa" w:w="70"/>
              <w:right w:type="dxa" w:w="80"/>
            </w:tcMar>
          </w:tcPr>
          <w:p>
            <w:pPr>
              <w:jc w:val="center"/>
            </w:pPr>
            <w:r>
              <w:rPr>
                <w:rFonts w:ascii="Arial" w:cs="Arial" w:eastAsia="Arial" w:hAnsi="Arial"/>
                <w:b/>
                <w:bCs/>
                <w:color w:val="FFFFFF"/>
                <w:sz w:val="19"/>
                <w:szCs w:val="19"/>
              </w:rPr>
              <w:t xml:space="preserve">8.3/10</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bCs/>
                <w:color w:val="1F4E79"/>
                <w:sz w:val="18"/>
                <w:szCs w:val="18"/>
              </w:rPr>
              <w:t xml:space="preserve">#8</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Georgia" w:cs="Georgia" w:eastAsia="Georgia" w:hAnsi="Georgia"/>
                <w:color w:val="1A1A2A"/>
                <w:sz w:val="19"/>
                <w:szCs w:val="19"/>
              </w:rPr>
              <w:t xml:space="preserve">ProverbEval extension: deployment task (not just meaning task)</w:t>
            </w:r>
          </w:p>
        </w:tc>
        <w:tc>
          <w:tcPr>
            <w:tcW w:type="dxa" w:w="14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i/>
                <w:iCs/>
                <w:color w:val="555566"/>
                <w:sz w:val="17"/>
                <w:szCs w:val="17"/>
              </w:rPr>
              <w:t xml:space="preserve">future_work</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005555"/>
                <w:sz w:val="18"/>
                <w:szCs w:val="18"/>
              </w:rPr>
              <w:t xml:space="preserve">8.0</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380070"/>
                <w:sz w:val="18"/>
                <w:szCs w:val="18"/>
              </w:rPr>
              <w:t xml:space="preserve">8.0</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7B5000"/>
                <w:sz w:val="18"/>
                <w:szCs w:val="18"/>
              </w:rPr>
              <w:t xml:space="preserve">8.5</w:t>
            </w:r>
          </w:p>
        </w:tc>
        <w:tc>
          <w:tcPr>
            <w:tcW w:type="dxa" w:w="1340"/>
            <w:tcBorders>
              <w:top w:val="single" w:color="DDDDDD" w:sz="1"/>
              <w:left w:val="single" w:color="DDDDDD" w:sz="1"/>
              <w:bottom w:val="single" w:color="DDDDDD" w:sz="1"/>
              <w:right w:val="single" w:color="DDDDDD" w:sz="1"/>
            </w:tcBorders>
            <w:shd w:fill="380070" w:val="clear"/>
            <w:tcMar>
              <w:top w:type="dxa" w:w="70"/>
              <w:left w:type="dxa" w:w="80"/>
              <w:bottom w:type="dxa" w:w="70"/>
              <w:right w:type="dxa" w:w="80"/>
            </w:tcMar>
          </w:tcPr>
          <w:p>
            <w:pPr>
              <w:jc w:val="center"/>
            </w:pPr>
            <w:r>
              <w:rPr>
                <w:rFonts w:ascii="Arial" w:cs="Arial" w:eastAsia="Arial" w:hAnsi="Arial"/>
                <w:b/>
                <w:bCs/>
                <w:color w:val="FFFFFF"/>
                <w:sz w:val="19"/>
                <w:szCs w:val="19"/>
              </w:rPr>
              <w:t xml:space="preserve">8.3/10</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b/>
                <w:bCs/>
                <w:color w:val="1F4E79"/>
                <w:sz w:val="18"/>
                <w:szCs w:val="18"/>
              </w:rPr>
              <w:t xml:space="preserve">#9</w:t>
            </w:r>
          </w:p>
        </w:tc>
        <w:tc>
          <w:tcPr>
            <w:tcW w:type="dxa" w:w="3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Georgia" w:cs="Georgia" w:eastAsia="Georgia" w:hAnsi="Georgia"/>
                <w:color w:val="1A1A2A"/>
                <w:sz w:val="19"/>
                <w:szCs w:val="19"/>
              </w:rPr>
              <w:t xml:space="preserve">Native speaker modification study (Agarwal methodology for Yoruba)</w:t>
            </w:r>
          </w:p>
        </w:tc>
        <w:tc>
          <w:tcPr>
            <w:tcW w:type="dxa" w:w="1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i/>
                <w:iCs/>
                <w:color w:val="555566"/>
                <w:sz w:val="17"/>
                <w:szCs w:val="17"/>
              </w:rPr>
              <w:t xml:space="preserve">future_work</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005555"/>
                <w:sz w:val="18"/>
                <w:szCs w:val="18"/>
              </w:rPr>
              <w:t xml:space="preserve">8.5</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380070"/>
                <w:sz w:val="18"/>
                <w:szCs w:val="18"/>
              </w:rPr>
              <w:t xml:space="preserve">8.5</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7B5000"/>
                <w:sz w:val="18"/>
                <w:szCs w:val="18"/>
              </w:rPr>
              <w:t xml:space="preserve">8.0</w:t>
            </w:r>
          </w:p>
        </w:tc>
        <w:tc>
          <w:tcPr>
            <w:tcW w:type="dxa" w:w="1340"/>
            <w:tcBorders>
              <w:top w:val="single" w:color="DDDDDD" w:sz="1"/>
              <w:left w:val="single" w:color="DDDDDD" w:sz="1"/>
              <w:bottom w:val="single" w:color="DDDDDD" w:sz="1"/>
              <w:right w:val="single" w:color="DDDDDD" w:sz="1"/>
            </w:tcBorders>
            <w:shd w:fill="380070" w:val="clear"/>
            <w:tcMar>
              <w:top w:type="dxa" w:w="70"/>
              <w:left w:type="dxa" w:w="80"/>
              <w:bottom w:type="dxa" w:w="70"/>
              <w:right w:type="dxa" w:w="80"/>
            </w:tcMar>
          </w:tcPr>
          <w:p>
            <w:pPr>
              <w:jc w:val="center"/>
            </w:pPr>
            <w:r>
              <w:rPr>
                <w:rFonts w:ascii="Arial" w:cs="Arial" w:eastAsia="Arial" w:hAnsi="Arial"/>
                <w:b/>
                <w:bCs/>
                <w:color w:val="FFFFFF"/>
                <w:sz w:val="19"/>
                <w:szCs w:val="19"/>
              </w:rPr>
              <w:t xml:space="preserve">8.3/10</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bCs/>
                <w:color w:val="1F4E79"/>
                <w:sz w:val="18"/>
                <w:szCs w:val="18"/>
              </w:rPr>
              <w:t xml:space="preserve">#10</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Georgia" w:cs="Georgia" w:eastAsia="Georgia" w:hAnsi="Georgia"/>
                <w:color w:val="1A1A2A"/>
                <w:sz w:val="19"/>
                <w:szCs w:val="19"/>
              </w:rPr>
              <w:t xml:space="preserve">Multi-agent Ifa: babalawo-corpus-community as LangChain architecture</w:t>
            </w:r>
          </w:p>
        </w:tc>
        <w:tc>
          <w:tcPr>
            <w:tcW w:type="dxa" w:w="14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i/>
                <w:iCs/>
                <w:color w:val="555566"/>
                <w:sz w:val="17"/>
                <w:szCs w:val="17"/>
              </w:rPr>
              <w:t xml:space="preserve">cross_field</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005555"/>
                <w:sz w:val="18"/>
                <w:szCs w:val="18"/>
              </w:rPr>
              <w:t xml:space="preserve">9.5</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380070"/>
                <w:sz w:val="18"/>
                <w:szCs w:val="18"/>
              </w:rPr>
              <w:t xml:space="preserve">5.5</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7B5000"/>
                <w:sz w:val="18"/>
                <w:szCs w:val="18"/>
              </w:rPr>
              <w:t xml:space="preserve">8.5</w:t>
            </w:r>
          </w:p>
        </w:tc>
        <w:tc>
          <w:tcPr>
            <w:tcW w:type="dxa" w:w="1340"/>
            <w:tcBorders>
              <w:top w:val="single" w:color="DDDDDD" w:sz="1"/>
              <w:left w:val="single" w:color="DDDDDD" w:sz="1"/>
              <w:bottom w:val="single" w:color="DDDDDD" w:sz="1"/>
              <w:right w:val="single" w:color="DDDDDD" w:sz="1"/>
            </w:tcBorders>
            <w:shd w:fill="380070" w:val="clear"/>
            <w:tcMar>
              <w:top w:type="dxa" w:w="70"/>
              <w:left w:type="dxa" w:w="80"/>
              <w:bottom w:type="dxa" w:w="70"/>
              <w:right w:type="dxa" w:w="80"/>
            </w:tcMar>
          </w:tcPr>
          <w:p>
            <w:pPr>
              <w:jc w:val="center"/>
            </w:pPr>
            <w:r>
              <w:rPr>
                <w:rFonts w:ascii="Arial" w:cs="Arial" w:eastAsia="Arial" w:hAnsi="Arial"/>
                <w:b/>
                <w:bCs/>
                <w:color w:val="FFFFFF"/>
                <w:sz w:val="19"/>
                <w:szCs w:val="19"/>
              </w:rPr>
              <w:t xml:space="preserve">8.2/10</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b/>
                <w:bCs/>
                <w:color w:val="1F4E79"/>
                <w:sz w:val="18"/>
                <w:szCs w:val="18"/>
              </w:rPr>
              <w:t xml:space="preserve">#11</w:t>
            </w:r>
          </w:p>
        </w:tc>
        <w:tc>
          <w:tcPr>
            <w:tcW w:type="dxa" w:w="3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Georgia" w:cs="Georgia" w:eastAsia="Georgia" w:hAnsi="Georgia"/>
                <w:color w:val="1A1A2A"/>
                <w:sz w:val="19"/>
                <w:szCs w:val="19"/>
              </w:rPr>
              <w:t xml:space="preserve">Ubuntu alignment layer for multi-agent SMME systems</w:t>
            </w:r>
          </w:p>
        </w:tc>
        <w:tc>
          <w:tcPr>
            <w:tcW w:type="dxa" w:w="1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i/>
                <w:iCs/>
                <w:color w:val="555566"/>
                <w:sz w:val="17"/>
                <w:szCs w:val="17"/>
              </w:rPr>
              <w:t xml:space="preserve">cross_field</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005555"/>
                <w:sz w:val="18"/>
                <w:szCs w:val="18"/>
              </w:rPr>
              <w:t xml:space="preserve">9.0</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380070"/>
                <w:sz w:val="18"/>
                <w:szCs w:val="18"/>
              </w:rPr>
              <w:t xml:space="preserve">7.0</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7B5000"/>
                <w:sz w:val="18"/>
                <w:szCs w:val="18"/>
              </w:rPr>
              <w:t xml:space="preserve">8.5</w:t>
            </w:r>
          </w:p>
        </w:tc>
        <w:tc>
          <w:tcPr>
            <w:tcW w:type="dxa" w:w="1340"/>
            <w:tcBorders>
              <w:top w:val="single" w:color="DDDDDD" w:sz="1"/>
              <w:left w:val="single" w:color="DDDDDD" w:sz="1"/>
              <w:bottom w:val="single" w:color="DDDDDD" w:sz="1"/>
              <w:right w:val="single" w:color="DDDDDD" w:sz="1"/>
            </w:tcBorders>
            <w:shd w:fill="380070" w:val="clear"/>
            <w:tcMar>
              <w:top w:type="dxa" w:w="70"/>
              <w:left w:type="dxa" w:w="80"/>
              <w:bottom w:type="dxa" w:w="70"/>
              <w:right w:type="dxa" w:w="80"/>
            </w:tcMar>
          </w:tcPr>
          <w:p>
            <w:pPr>
              <w:jc w:val="center"/>
            </w:pPr>
            <w:r>
              <w:rPr>
                <w:rFonts w:ascii="Arial" w:cs="Arial" w:eastAsia="Arial" w:hAnsi="Arial"/>
                <w:b/>
                <w:bCs/>
                <w:color w:val="FFFFFF"/>
                <w:sz w:val="19"/>
                <w:szCs w:val="19"/>
              </w:rPr>
              <w:t xml:space="preserve">8.3/10</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bCs/>
                <w:color w:val="1F4E79"/>
                <w:sz w:val="18"/>
                <w:szCs w:val="18"/>
              </w:rPr>
              <w:t xml:space="preserve">#12</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Georgia" w:cs="Georgia" w:eastAsia="Georgia" w:hAnsi="Georgia"/>
                <w:color w:val="1A1A2A"/>
                <w:sz w:val="19"/>
                <w:szCs w:val="19"/>
              </w:rPr>
              <w:t xml:space="preserve">CulturePark methodology → African oral tradition dataset generation</w:t>
            </w:r>
          </w:p>
        </w:tc>
        <w:tc>
          <w:tcPr>
            <w:tcW w:type="dxa" w:w="14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i/>
                <w:iCs/>
                <w:color w:val="555566"/>
                <w:sz w:val="17"/>
                <w:szCs w:val="17"/>
              </w:rPr>
              <w:t xml:space="preserve">pivot</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005555"/>
                <w:sz w:val="18"/>
                <w:szCs w:val="18"/>
              </w:rPr>
              <w:t xml:space="preserve">8.0</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380070"/>
                <w:sz w:val="18"/>
                <w:szCs w:val="18"/>
              </w:rPr>
              <w:t xml:space="preserve">8.0</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7B5000"/>
                <w:sz w:val="18"/>
                <w:szCs w:val="18"/>
              </w:rPr>
              <w:t xml:space="preserve">8.0</w:t>
            </w:r>
          </w:p>
        </w:tc>
        <w:tc>
          <w:tcPr>
            <w:tcW w:type="dxa" w:w="1340"/>
            <w:tcBorders>
              <w:top w:val="single" w:color="DDDDDD" w:sz="1"/>
              <w:left w:val="single" w:color="DDDDDD" w:sz="1"/>
              <w:bottom w:val="single" w:color="DDDDDD" w:sz="1"/>
              <w:right w:val="single" w:color="DDDDDD" w:sz="1"/>
            </w:tcBorders>
            <w:shd w:fill="380070" w:val="clear"/>
            <w:tcMar>
              <w:top w:type="dxa" w:w="70"/>
              <w:left w:type="dxa" w:w="80"/>
              <w:bottom w:type="dxa" w:w="70"/>
              <w:right w:type="dxa" w:w="80"/>
            </w:tcMar>
          </w:tcPr>
          <w:p>
            <w:pPr>
              <w:jc w:val="center"/>
            </w:pPr>
            <w:r>
              <w:rPr>
                <w:rFonts w:ascii="Arial" w:cs="Arial" w:eastAsia="Arial" w:hAnsi="Arial"/>
                <w:b/>
                <w:bCs/>
                <w:color w:val="FFFFFF"/>
                <w:sz w:val="19"/>
                <w:szCs w:val="19"/>
              </w:rPr>
              <w:t xml:space="preserve">8.0/10</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b/>
                <w:bCs/>
                <w:color w:val="1F4E79"/>
                <w:sz w:val="18"/>
                <w:szCs w:val="18"/>
              </w:rPr>
              <w:t xml:space="preserve">#13</w:t>
            </w:r>
          </w:p>
        </w:tc>
        <w:tc>
          <w:tcPr>
            <w:tcW w:type="dxa" w:w="3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Georgia" w:cs="Georgia" w:eastAsia="Georgia" w:hAnsi="Georgia"/>
                <w:color w:val="1A1A2A"/>
                <w:sz w:val="19"/>
                <w:szCs w:val="19"/>
              </w:rPr>
              <w:t xml:space="preserve">Cognitive effort measurement in African-language AI explanations</w:t>
            </w:r>
          </w:p>
        </w:tc>
        <w:tc>
          <w:tcPr>
            <w:tcW w:type="dxa" w:w="1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i/>
                <w:iCs/>
                <w:color w:val="555566"/>
                <w:sz w:val="17"/>
                <w:szCs w:val="17"/>
              </w:rPr>
              <w:t xml:space="preserve">future_work</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005555"/>
                <w:sz w:val="18"/>
                <w:szCs w:val="18"/>
              </w:rPr>
              <w:t xml:space="preserve">8.0</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380070"/>
                <w:sz w:val="18"/>
                <w:szCs w:val="18"/>
              </w:rPr>
              <w:t xml:space="preserve">7.5</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7B5000"/>
                <w:sz w:val="18"/>
                <w:szCs w:val="18"/>
              </w:rPr>
              <w:t xml:space="preserve">8.0</w:t>
            </w:r>
          </w:p>
        </w:tc>
        <w:tc>
          <w:tcPr>
            <w:tcW w:type="dxa" w:w="1340"/>
            <w:tcBorders>
              <w:top w:val="single" w:color="DDDDDD" w:sz="1"/>
              <w:left w:val="single" w:color="DDDDDD" w:sz="1"/>
              <w:bottom w:val="single" w:color="DDDDDD" w:sz="1"/>
              <w:right w:val="single" w:color="DDDDDD" w:sz="1"/>
            </w:tcBorders>
            <w:shd w:fill="380070" w:val="clear"/>
            <w:tcMar>
              <w:top w:type="dxa" w:w="70"/>
              <w:left w:type="dxa" w:w="80"/>
              <w:bottom w:type="dxa" w:w="70"/>
              <w:right w:type="dxa" w:w="80"/>
            </w:tcMar>
          </w:tcPr>
          <w:p>
            <w:pPr>
              <w:jc w:val="center"/>
            </w:pPr>
            <w:r>
              <w:rPr>
                <w:rFonts w:ascii="Arial" w:cs="Arial" w:eastAsia="Arial" w:hAnsi="Arial"/>
                <w:b/>
                <w:bCs/>
                <w:color w:val="FFFFFF"/>
                <w:sz w:val="19"/>
                <w:szCs w:val="19"/>
              </w:rPr>
              <w:t xml:space="preserve">7.9/10</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bCs/>
                <w:color w:val="1F4E79"/>
                <w:sz w:val="18"/>
                <w:szCs w:val="18"/>
              </w:rPr>
              <w:t xml:space="preserve">#14</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Georgia" w:cs="Georgia" w:eastAsia="Georgia" w:hAnsi="Georgia"/>
                <w:color w:val="1A1A2A"/>
                <w:sz w:val="19"/>
                <w:szCs w:val="19"/>
              </w:rPr>
              <w:t xml:space="preserve">Head-tail discourse connector benchmark (Yoruba/Igbo linking logic)</w:t>
            </w:r>
          </w:p>
        </w:tc>
        <w:tc>
          <w:tcPr>
            <w:tcW w:type="dxa" w:w="14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i/>
                <w:iCs/>
                <w:color w:val="555566"/>
                <w:sz w:val="17"/>
                <w:szCs w:val="17"/>
              </w:rPr>
              <w:t xml:space="preserve">future_work</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005555"/>
                <w:sz w:val="18"/>
                <w:szCs w:val="18"/>
              </w:rPr>
              <w:t xml:space="preserve">8.5</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380070"/>
                <w:sz w:val="18"/>
                <w:szCs w:val="18"/>
              </w:rPr>
              <w:t xml:space="preserve">7.0</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7B5000"/>
                <w:sz w:val="18"/>
                <w:szCs w:val="18"/>
              </w:rPr>
              <w:t xml:space="preserve">7.5</w:t>
            </w:r>
          </w:p>
        </w:tc>
        <w:tc>
          <w:tcPr>
            <w:tcW w:type="dxa" w:w="1340"/>
            <w:tcBorders>
              <w:top w:val="single" w:color="DDDDDD" w:sz="1"/>
              <w:left w:val="single" w:color="DDDDDD" w:sz="1"/>
              <w:bottom w:val="single" w:color="DDDDDD" w:sz="1"/>
              <w:right w:val="single" w:color="DDDDDD" w:sz="1"/>
            </w:tcBorders>
            <w:shd w:fill="380070" w:val="clear"/>
            <w:tcMar>
              <w:top w:type="dxa" w:w="70"/>
              <w:left w:type="dxa" w:w="80"/>
              <w:bottom w:type="dxa" w:w="70"/>
              <w:right w:type="dxa" w:w="80"/>
            </w:tcMar>
          </w:tcPr>
          <w:p>
            <w:pPr>
              <w:jc w:val="center"/>
            </w:pPr>
            <w:r>
              <w:rPr>
                <w:rFonts w:ascii="Arial" w:cs="Arial" w:eastAsia="Arial" w:hAnsi="Arial"/>
                <w:b/>
                <w:bCs/>
                <w:color w:val="FFFFFF"/>
                <w:sz w:val="19"/>
                <w:szCs w:val="19"/>
              </w:rPr>
              <w:t xml:space="preserve">7.8/10</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b/>
                <w:bCs/>
                <w:color w:val="1F4E79"/>
                <w:sz w:val="18"/>
                <w:szCs w:val="18"/>
              </w:rPr>
              <w:t xml:space="preserve">#15</w:t>
            </w:r>
          </w:p>
        </w:tc>
        <w:tc>
          <w:tcPr>
            <w:tcW w:type="dxa" w:w="3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Georgia" w:cs="Georgia" w:eastAsia="Georgia" w:hAnsi="Georgia"/>
                <w:color w:val="1A1A2A"/>
                <w:sz w:val="19"/>
                <w:szCs w:val="19"/>
              </w:rPr>
              <w:t xml:space="preserve">Y-NQ extension: add discourse-quality annotations to Yoruba QA</w:t>
            </w:r>
          </w:p>
        </w:tc>
        <w:tc>
          <w:tcPr>
            <w:tcW w:type="dxa" w:w="1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i/>
                <w:iCs/>
                <w:color w:val="555566"/>
                <w:sz w:val="17"/>
                <w:szCs w:val="17"/>
              </w:rPr>
              <w:t xml:space="preserve">pivot</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005555"/>
                <w:sz w:val="18"/>
                <w:szCs w:val="18"/>
              </w:rPr>
              <w:t xml:space="preserve">7.5</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380070"/>
                <w:sz w:val="18"/>
                <w:szCs w:val="18"/>
              </w:rPr>
              <w:t xml:space="preserve">8.5</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7B5000"/>
                <w:sz w:val="18"/>
                <w:szCs w:val="18"/>
              </w:rPr>
              <w:t xml:space="preserve">7.5</w:t>
            </w:r>
          </w:p>
        </w:tc>
        <w:tc>
          <w:tcPr>
            <w:tcW w:type="dxa" w:w="1340"/>
            <w:tcBorders>
              <w:top w:val="single" w:color="DDDDDD" w:sz="1"/>
              <w:left w:val="single" w:color="DDDDDD" w:sz="1"/>
              <w:bottom w:val="single" w:color="DDDDDD" w:sz="1"/>
              <w:right w:val="single" w:color="DDDDDD" w:sz="1"/>
            </w:tcBorders>
            <w:shd w:fill="380070" w:val="clear"/>
            <w:tcMar>
              <w:top w:type="dxa" w:w="70"/>
              <w:left w:type="dxa" w:w="80"/>
              <w:bottom w:type="dxa" w:w="70"/>
              <w:right w:type="dxa" w:w="80"/>
            </w:tcMar>
          </w:tcPr>
          <w:p>
            <w:pPr>
              <w:jc w:val="center"/>
            </w:pPr>
            <w:r>
              <w:rPr>
                <w:rFonts w:ascii="Arial" w:cs="Arial" w:eastAsia="Arial" w:hAnsi="Arial"/>
                <w:b/>
                <w:bCs/>
                <w:color w:val="FFFFFF"/>
                <w:sz w:val="19"/>
                <w:szCs w:val="19"/>
              </w:rPr>
              <w:t xml:space="preserve">7.7/10</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bCs/>
                <w:color w:val="1F4E79"/>
                <w:sz w:val="18"/>
                <w:szCs w:val="18"/>
              </w:rPr>
              <w:t xml:space="preserve">#16</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Georgia" w:cs="Georgia" w:eastAsia="Georgia" w:hAnsi="Georgia"/>
                <w:color w:val="1A1A2A"/>
                <w:sz w:val="19"/>
                <w:szCs w:val="19"/>
              </w:rPr>
              <w:t xml:space="preserve">MLLMs and sensorimotor simulation: African embodied language test</w:t>
            </w:r>
          </w:p>
        </w:tc>
        <w:tc>
          <w:tcPr>
            <w:tcW w:type="dxa" w:w="14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i/>
                <w:iCs/>
                <w:color w:val="555566"/>
                <w:sz w:val="17"/>
                <w:szCs w:val="17"/>
              </w:rPr>
              <w:t xml:space="preserve">conflict</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005555"/>
                <w:sz w:val="18"/>
                <w:szCs w:val="18"/>
              </w:rPr>
              <w:t xml:space="preserve">8.5</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380070"/>
                <w:sz w:val="18"/>
                <w:szCs w:val="18"/>
              </w:rPr>
              <w:t xml:space="preserve">6.0</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7B5000"/>
                <w:sz w:val="18"/>
                <w:szCs w:val="18"/>
              </w:rPr>
              <w:t xml:space="preserve">8.0</w:t>
            </w:r>
          </w:p>
        </w:tc>
        <w:tc>
          <w:tcPr>
            <w:tcW w:type="dxa" w:w="1340"/>
            <w:tcBorders>
              <w:top w:val="single" w:color="DDDDDD" w:sz="1"/>
              <w:left w:val="single" w:color="DDDDDD" w:sz="1"/>
              <w:bottom w:val="single" w:color="DDDDDD" w:sz="1"/>
              <w:right w:val="single" w:color="DDDDDD" w:sz="1"/>
            </w:tcBorders>
            <w:shd w:fill="380070" w:val="clear"/>
            <w:tcMar>
              <w:top w:type="dxa" w:w="70"/>
              <w:left w:type="dxa" w:w="80"/>
              <w:bottom w:type="dxa" w:w="70"/>
              <w:right w:type="dxa" w:w="80"/>
            </w:tcMar>
          </w:tcPr>
          <w:p>
            <w:pPr>
              <w:jc w:val="center"/>
            </w:pPr>
            <w:r>
              <w:rPr>
                <w:rFonts w:ascii="Arial" w:cs="Arial" w:eastAsia="Arial" w:hAnsi="Arial"/>
                <w:b/>
                <w:bCs/>
                <w:color w:val="FFFFFF"/>
                <w:sz w:val="19"/>
                <w:szCs w:val="19"/>
              </w:rPr>
              <w:t xml:space="preserve">7.8/10</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b/>
                <w:bCs/>
                <w:color w:val="1F4E79"/>
                <w:sz w:val="18"/>
                <w:szCs w:val="18"/>
              </w:rPr>
              <w:t xml:space="preserve">#17</w:t>
            </w:r>
          </w:p>
        </w:tc>
        <w:tc>
          <w:tcPr>
            <w:tcW w:type="dxa" w:w="3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Georgia" w:cs="Georgia" w:eastAsia="Georgia" w:hAnsi="Georgia"/>
                <w:color w:val="1A1A2A"/>
                <w:sz w:val="19"/>
                <w:szCs w:val="19"/>
              </w:rPr>
              <w:t xml:space="preserve">Narrative theory-LLM: oral histoire-discourse system for Yoruba</w:t>
            </w:r>
          </w:p>
        </w:tc>
        <w:tc>
          <w:tcPr>
            <w:tcW w:type="dxa" w:w="1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i/>
                <w:iCs/>
                <w:color w:val="555566"/>
                <w:sz w:val="17"/>
                <w:szCs w:val="17"/>
              </w:rPr>
              <w:t xml:space="preserve">cross_field</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005555"/>
                <w:sz w:val="18"/>
                <w:szCs w:val="18"/>
              </w:rPr>
              <w:t xml:space="preserve">8.0</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380070"/>
                <w:sz w:val="18"/>
                <w:szCs w:val="18"/>
              </w:rPr>
              <w:t xml:space="preserve">6.5</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7B5000"/>
                <w:sz w:val="18"/>
                <w:szCs w:val="18"/>
              </w:rPr>
              <w:t xml:space="preserve">8.0</w:t>
            </w:r>
          </w:p>
        </w:tc>
        <w:tc>
          <w:tcPr>
            <w:tcW w:type="dxa" w:w="1340"/>
            <w:tcBorders>
              <w:top w:val="single" w:color="DDDDDD" w:sz="1"/>
              <w:left w:val="single" w:color="DDDDDD" w:sz="1"/>
              <w:bottom w:val="single" w:color="DDDDDD" w:sz="1"/>
              <w:right w:val="single" w:color="DDDDDD" w:sz="1"/>
            </w:tcBorders>
            <w:shd w:fill="380070" w:val="clear"/>
            <w:tcMar>
              <w:top w:type="dxa" w:w="70"/>
              <w:left w:type="dxa" w:w="80"/>
              <w:bottom w:type="dxa" w:w="70"/>
              <w:right w:type="dxa" w:w="80"/>
            </w:tcMar>
          </w:tcPr>
          <w:p>
            <w:pPr>
              <w:jc w:val="center"/>
            </w:pPr>
            <w:r>
              <w:rPr>
                <w:rFonts w:ascii="Arial" w:cs="Arial" w:eastAsia="Arial" w:hAnsi="Arial"/>
                <w:b/>
                <w:bCs/>
                <w:color w:val="FFFFFF"/>
                <w:sz w:val="19"/>
                <w:szCs w:val="19"/>
              </w:rPr>
              <w:t xml:space="preserve">7.7/10</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bCs/>
                <w:color w:val="1F4E79"/>
                <w:sz w:val="18"/>
                <w:szCs w:val="18"/>
              </w:rPr>
              <w:t xml:space="preserve">#18</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Georgia" w:cs="Georgia" w:eastAsia="Georgia" w:hAnsi="Georgia"/>
                <w:color w:val="1A1A2A"/>
                <w:sz w:val="19"/>
                <w:szCs w:val="19"/>
              </w:rPr>
              <w:t xml:space="preserve">ProverbEval: community validation panel as benchmark judge</w:t>
            </w:r>
          </w:p>
        </w:tc>
        <w:tc>
          <w:tcPr>
            <w:tcW w:type="dxa" w:w="14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i/>
                <w:iCs/>
                <w:color w:val="555566"/>
                <w:sz w:val="17"/>
                <w:szCs w:val="17"/>
              </w:rPr>
              <w:t xml:space="preserve">future_work</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005555"/>
                <w:sz w:val="18"/>
                <w:szCs w:val="18"/>
              </w:rPr>
              <w:t xml:space="preserve">7.5</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380070"/>
                <w:sz w:val="18"/>
                <w:szCs w:val="18"/>
              </w:rPr>
              <w:t xml:space="preserve">8.0</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7B5000"/>
                <w:sz w:val="18"/>
                <w:szCs w:val="18"/>
              </w:rPr>
              <w:t xml:space="preserve">7.5</w:t>
            </w:r>
          </w:p>
        </w:tc>
        <w:tc>
          <w:tcPr>
            <w:tcW w:type="dxa" w:w="1340"/>
            <w:tcBorders>
              <w:top w:val="single" w:color="DDDDDD" w:sz="1"/>
              <w:left w:val="single" w:color="DDDDDD" w:sz="1"/>
              <w:bottom w:val="single" w:color="DDDDDD" w:sz="1"/>
              <w:right w:val="single" w:color="DDDDDD" w:sz="1"/>
            </w:tcBorders>
            <w:shd w:fill="380070" w:val="clear"/>
            <w:tcMar>
              <w:top w:type="dxa" w:w="70"/>
              <w:left w:type="dxa" w:w="80"/>
              <w:bottom w:type="dxa" w:w="70"/>
              <w:right w:type="dxa" w:w="80"/>
            </w:tcMar>
          </w:tcPr>
          <w:p>
            <w:pPr>
              <w:jc w:val="center"/>
            </w:pPr>
            <w:r>
              <w:rPr>
                <w:rFonts w:ascii="Arial" w:cs="Arial" w:eastAsia="Arial" w:hAnsi="Arial"/>
                <w:b/>
                <w:bCs/>
                <w:color w:val="FFFFFF"/>
                <w:sz w:val="19"/>
                <w:szCs w:val="19"/>
              </w:rPr>
              <w:t xml:space="preserve">7.6/10</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b/>
                <w:bCs/>
                <w:color w:val="1F4E79"/>
                <w:sz w:val="18"/>
                <w:szCs w:val="18"/>
              </w:rPr>
              <w:t xml:space="preserve">#19</w:t>
            </w:r>
          </w:p>
        </w:tc>
        <w:tc>
          <w:tcPr>
            <w:tcW w:type="dxa" w:w="3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Georgia" w:cs="Georgia" w:eastAsia="Georgia" w:hAnsi="Georgia"/>
                <w:color w:val="1A1A2A"/>
                <w:sz w:val="19"/>
                <w:szCs w:val="19"/>
              </w:rPr>
              <w:t xml:space="preserve">Code-switching discourse: Yoruba-English hybrid explanation patterns</w:t>
            </w:r>
          </w:p>
        </w:tc>
        <w:tc>
          <w:tcPr>
            <w:tcW w:type="dxa" w:w="1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i/>
                <w:iCs/>
                <w:color w:val="555566"/>
                <w:sz w:val="17"/>
                <w:szCs w:val="17"/>
              </w:rPr>
              <w:t xml:space="preserve">future_work</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005555"/>
                <w:sz w:val="18"/>
                <w:szCs w:val="18"/>
              </w:rPr>
              <w:t xml:space="preserve">7.0</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380070"/>
                <w:sz w:val="18"/>
                <w:szCs w:val="18"/>
              </w:rPr>
              <w:t xml:space="preserve">8.0</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7B5000"/>
                <w:sz w:val="18"/>
                <w:szCs w:val="18"/>
              </w:rPr>
              <w:t xml:space="preserve">7.5</w:t>
            </w:r>
          </w:p>
        </w:tc>
        <w:tc>
          <w:tcPr>
            <w:tcW w:type="dxa" w:w="1340"/>
            <w:tcBorders>
              <w:top w:val="single" w:color="DDDDDD" w:sz="1"/>
              <w:left w:val="single" w:color="DDDDDD" w:sz="1"/>
              <w:bottom w:val="single" w:color="DDDDDD" w:sz="1"/>
              <w:right w:val="single" w:color="DDDDDD" w:sz="1"/>
            </w:tcBorders>
            <w:shd w:fill="1F4E79" w:val="clear"/>
            <w:tcMar>
              <w:top w:type="dxa" w:w="70"/>
              <w:left w:type="dxa" w:w="80"/>
              <w:bottom w:type="dxa" w:w="70"/>
              <w:right w:type="dxa" w:w="80"/>
            </w:tcMar>
          </w:tcPr>
          <w:p>
            <w:pPr>
              <w:jc w:val="center"/>
            </w:pPr>
            <w:r>
              <w:rPr>
                <w:rFonts w:ascii="Arial" w:cs="Arial" w:eastAsia="Arial" w:hAnsi="Arial"/>
                <w:b/>
                <w:bCs/>
                <w:color w:val="FFFFFF"/>
                <w:sz w:val="19"/>
                <w:szCs w:val="19"/>
              </w:rPr>
              <w:t xml:space="preserve">7.4/10</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bCs/>
                <w:color w:val="1F4E79"/>
                <w:sz w:val="18"/>
                <w:szCs w:val="18"/>
              </w:rPr>
              <w:t xml:space="preserve">#20</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Georgia" w:cs="Georgia" w:eastAsia="Georgia" w:hAnsi="Georgia"/>
                <w:color w:val="1A1A2A"/>
                <w:sz w:val="19"/>
                <w:szCs w:val="19"/>
              </w:rPr>
              <w:t xml:space="preserve">SMME agentic AI: discourse-native agent explanation interface</w:t>
            </w:r>
          </w:p>
        </w:tc>
        <w:tc>
          <w:tcPr>
            <w:tcW w:type="dxa" w:w="14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i/>
                <w:iCs/>
                <w:color w:val="555566"/>
                <w:sz w:val="17"/>
                <w:szCs w:val="17"/>
              </w:rPr>
              <w:t xml:space="preserve">cross_field</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005555"/>
                <w:sz w:val="18"/>
                <w:szCs w:val="18"/>
              </w:rPr>
              <w:t xml:space="preserve">7.5</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380070"/>
                <w:sz w:val="18"/>
                <w:szCs w:val="18"/>
              </w:rPr>
              <w:t xml:space="preserve">7.5</w:t>
            </w:r>
          </w:p>
        </w:tc>
        <w:tc>
          <w:tcPr>
            <w:tcW w:type="dxa" w:w="700"/>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bCs/>
                <w:color w:val="7B5000"/>
                <w:sz w:val="18"/>
                <w:szCs w:val="18"/>
              </w:rPr>
              <w:t xml:space="preserve">7.5</w:t>
            </w:r>
          </w:p>
        </w:tc>
        <w:tc>
          <w:tcPr>
            <w:tcW w:type="dxa" w:w="1340"/>
            <w:tcBorders>
              <w:top w:val="single" w:color="DDDDDD" w:sz="1"/>
              <w:left w:val="single" w:color="DDDDDD" w:sz="1"/>
              <w:bottom w:val="single" w:color="DDDDDD" w:sz="1"/>
              <w:right w:val="single" w:color="DDDDDD" w:sz="1"/>
            </w:tcBorders>
            <w:shd w:fill="380070" w:val="clear"/>
            <w:tcMar>
              <w:top w:type="dxa" w:w="70"/>
              <w:left w:type="dxa" w:w="80"/>
              <w:bottom w:type="dxa" w:w="70"/>
              <w:right w:type="dxa" w:w="80"/>
            </w:tcMar>
          </w:tcPr>
          <w:p>
            <w:pPr>
              <w:jc w:val="center"/>
            </w:pPr>
            <w:r>
              <w:rPr>
                <w:rFonts w:ascii="Arial" w:cs="Arial" w:eastAsia="Arial" w:hAnsi="Arial"/>
                <w:b/>
                <w:bCs/>
                <w:color w:val="FFFFFF"/>
                <w:sz w:val="19"/>
                <w:szCs w:val="19"/>
              </w:rPr>
              <w:t xml:space="preserve">7.5/10</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b/>
                <w:bCs/>
                <w:color w:val="1F4E79"/>
                <w:sz w:val="18"/>
                <w:szCs w:val="18"/>
              </w:rPr>
              <w:t xml:space="preserve">#21</w:t>
            </w:r>
          </w:p>
        </w:tc>
        <w:tc>
          <w:tcPr>
            <w:tcW w:type="dxa" w:w="3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Georgia" w:cs="Georgia" w:eastAsia="Georgia" w:hAnsi="Georgia"/>
                <w:color w:val="1A1A2A"/>
                <w:sz w:val="19"/>
                <w:szCs w:val="19"/>
              </w:rPr>
              <w:t xml:space="preserve">Tokenization + discourse: morphological tokenizer for Yoruba oral register</w:t>
            </w:r>
          </w:p>
        </w:tc>
        <w:tc>
          <w:tcPr>
            <w:tcW w:type="dxa" w:w="1400"/>
            <w:tcBorders>
              <w:top w:val="single" w:color="DDDDDD" w:sz="1"/>
              <w:left w:val="single" w:color="DDDDDD" w:sz="1"/>
              <w:bottom w:val="single" w:color="DDDDDD" w:sz="1"/>
              <w:right w:val="single" w:color="DDDDDD" w:sz="1"/>
            </w:tcBorders>
            <w:shd w:fill="F5F5F5" w:val="clear"/>
            <w:tcMar>
              <w:top w:type="dxa" w:w="70"/>
              <w:left w:type="dxa" w:w="80"/>
              <w:bottom w:type="dxa" w:w="70"/>
              <w:right w:type="dxa" w:w="80"/>
            </w:tcMar>
          </w:tcPr>
          <w:p>
            <w:pPr>
              <w:jc w:val="center"/>
            </w:pPr>
            <w:r>
              <w:rPr>
                <w:rFonts w:ascii="Arial" w:cs="Arial" w:eastAsia="Arial" w:hAnsi="Arial"/>
                <w:i/>
                <w:iCs/>
                <w:color w:val="555566"/>
                <w:sz w:val="17"/>
                <w:szCs w:val="17"/>
              </w:rPr>
              <w:t xml:space="preserve">pivot</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005555"/>
                <w:sz w:val="18"/>
                <w:szCs w:val="18"/>
              </w:rPr>
              <w:t xml:space="preserve">7.0</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380070"/>
                <w:sz w:val="18"/>
                <w:szCs w:val="18"/>
              </w:rPr>
              <w:t xml:space="preserve">7.5</w:t>
            </w:r>
          </w:p>
        </w:tc>
        <w:tc>
          <w:tcPr>
            <w:tcW w:type="dxa" w:w="700"/>
            <w:tcBorders>
              <w:top w:val="single" w:color="DDDDDD" w:sz="1"/>
              <w:left w:val="single" w:color="DDDDDD" w:sz="1"/>
              <w:bottom w:val="single" w:color="DDDDDD" w:sz="1"/>
              <w:right w:val="single" w:color="DDDDDD" w:sz="1"/>
            </w:tcBorders>
            <w:shd w:fill="F5F5F5" w:val="clear"/>
            <w:tcMar>
              <w:top w:type="dxa" w:w="70"/>
              <w:left w:type="dxa" w:w="60"/>
              <w:bottom w:type="dxa" w:w="70"/>
              <w:right w:type="dxa" w:w="60"/>
            </w:tcMar>
          </w:tcPr>
          <w:p>
            <w:pPr>
              <w:jc w:val="center"/>
            </w:pPr>
            <w:r>
              <w:rPr>
                <w:rFonts w:ascii="Arial" w:cs="Arial" w:eastAsia="Arial" w:hAnsi="Arial"/>
                <w:b/>
                <w:bCs/>
                <w:color w:val="7B5000"/>
                <w:sz w:val="18"/>
                <w:szCs w:val="18"/>
              </w:rPr>
              <w:t xml:space="preserve">7.0</w:t>
            </w:r>
          </w:p>
        </w:tc>
        <w:tc>
          <w:tcPr>
            <w:tcW w:type="dxa" w:w="1340"/>
            <w:tcBorders>
              <w:top w:val="single" w:color="DDDDDD" w:sz="1"/>
              <w:left w:val="single" w:color="DDDDDD" w:sz="1"/>
              <w:bottom w:val="single" w:color="DDDDDD" w:sz="1"/>
              <w:right w:val="single" w:color="DDDDDD" w:sz="1"/>
            </w:tcBorders>
            <w:shd w:fill="1F4E79" w:val="clear"/>
            <w:tcMar>
              <w:top w:type="dxa" w:w="70"/>
              <w:left w:type="dxa" w:w="80"/>
              <w:bottom w:type="dxa" w:w="70"/>
              <w:right w:type="dxa" w:w="80"/>
            </w:tcMar>
          </w:tcPr>
          <w:p>
            <w:pPr>
              <w:jc w:val="center"/>
            </w:pPr>
            <w:r>
              <w:rPr>
                <w:rFonts w:ascii="Arial" w:cs="Arial" w:eastAsia="Arial" w:hAnsi="Arial"/>
                <w:b/>
                <w:bCs/>
                <w:color w:val="FFFFFF"/>
                <w:sz w:val="19"/>
                <w:szCs w:val="19"/>
              </w:rPr>
              <w:t xml:space="preserve">7.1/10</w:t>
            </w:r>
          </w:p>
        </w:tc>
      </w:tr>
    </w:tbl>
    <w:p>
      <w:pPr>
        <w:spacing w:before="60" w:after="60"/>
      </w:pPr>
      <w:r>
        <w:t xml:space="preserve"/>
      </w:r>
    </w:p>
    <w:p>
      <w:pPr>
        <w:pBdr>
          <w:bottom w:val="single" w:color="005555" w:sz="6" w:space="4"/>
        </w:pBdr>
        <w:spacing w:before="400" w:after="60"/>
      </w:pPr>
      <w:r>
        <w:rPr>
          <w:rFonts w:ascii="Arial" w:cs="Arial" w:eastAsia="Arial" w:hAnsi="Arial"/>
          <w:b/>
          <w:bCs/>
          <w:caps/>
          <w:color w:val="005555"/>
          <w:spacing w:val="120"/>
          <w:sz w:val="17"/>
          <w:szCs w:val="17"/>
        </w:rPr>
        <w:t xml:space="preserve">Pathway A — Future Work Mining: What Papers Are Asking For</w:t>
      </w:r>
    </w:p>
    <w:p>
      <w:pPr>
        <w:spacing w:before="60" w:after="60"/>
      </w:pPr>
      <w:r>
        <w:t xml:space="preserve"/>
      </w:r>
    </w:p>
    <w:p>
      <w:pPr>
        <w:spacing w:before="0" w:after="200" w:line="286"/>
      </w:pPr>
      <w:r>
        <w:rPr>
          <w:rFonts w:ascii="Georgia" w:cs="Georgia" w:eastAsia="Georgia" w:hAnsi="Georgia"/>
          <w:color w:val="1A1A2A"/>
          <w:sz w:val="24"/>
          <w:szCs w:val="24"/>
        </w:rPr>
        <w:t xml:space="preserve">The single most striking future work signal in the live literature comes from CG-CoT (arXiv 2506.01190, June 2025), which explicitly states three directions the field has not yet pursued:</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05555" w:sz="4"/>
              <w:left w:val="single" w:color="005555" w:sz="8"/>
              <w:bottom w:val="single" w:color="DDDDDD" w:sz="1"/>
              <w:right w:val="single" w:color="DDDDDD" w:sz="1"/>
            </w:tcBorders>
            <w:shd w:fill="F5F8FE" w:val="clear"/>
            <w:tcMar>
              <w:top w:type="dxa" w:w="120"/>
              <w:left w:type="dxa" w:w="220"/>
              <w:bottom w:type="dxa" w:w="120"/>
              <w:right w:type="dxa" w:w="220"/>
            </w:tcMar>
          </w:tcPr>
          <w:p>
            <w:pPr>
              <w:spacing w:before="0" w:after="50" w:line="276"/>
            </w:pPr>
            <w:r>
              <w:rPr>
                <w:rFonts w:ascii="Georgia" w:cs="Georgia" w:eastAsia="Georgia" w:hAnsi="Georgia"/>
                <w:i/>
                <w:iCs/>
                <w:color w:val="1A1A2A"/>
                <w:sz w:val="22"/>
                <w:szCs w:val="22"/>
              </w:rPr>
              <w:t xml:space="preserve">Future work includes scaling CG-CoT to additional low-resource languages, experimenting with dynamic retrieval-triggered reasoning, integrating structured cultural ontologies into the RAG corpus, and validating outputs with native speaker panels.</w:t>
            </w:r>
          </w:p>
          <w:p>
            <w:r>
              <w:rPr>
                <w:rFonts w:ascii="Arial" w:cs="Arial" w:eastAsia="Arial" w:hAnsi="Arial"/>
                <w:b/>
                <w:bCs/>
                <w:color w:val="005555"/>
                <w:sz w:val="17"/>
                <w:szCs w:val="17"/>
              </w:rPr>
              <w:t xml:space="preserve">CG-CoT: Culturally-Grounded Chain-of-Thought, arXiv:2506.01190, June 2025</w:t>
            </w:r>
          </w:p>
        </w:tc>
      </w:tr>
    </w:tbl>
    <w:p>
      <w:pPr>
        <w:spacing w:before="60" w:after="60"/>
      </w:pPr>
      <w:r>
        <w:t xml:space="preserve"/>
      </w:r>
    </w:p>
    <w:p>
      <w:pPr>
        <w:spacing w:before="0" w:after="200" w:line="286"/>
      </w:pPr>
      <w:r>
        <w:rPr>
          <w:rFonts w:ascii="Georgia" w:cs="Georgia" w:eastAsia="Georgia" w:hAnsi="Georgia"/>
          <w:color w:val="1A1A2A"/>
          <w:sz w:val="24"/>
          <w:szCs w:val="24"/>
        </w:rPr>
        <w:t xml:space="preserve">This is a direct invitation. The paper builds a Yoruba proverb interpretation system using RAG and chain-of-thought, then explicitly names the thing it could not build: a structured cultural ontology. That ontology — the Proverb Activation Library — is what the five-week series proposed. The CG-CoT paper independently arrived at the same architectural gap from the engineering side, while the series arrived at it from the linguistics side. That convergence is the strongest validation in the literature for making this the first priority.</w:t>
      </w:r>
    </w:p>
    <w:p>
      <w:pPr>
        <w:spacing w:before="60" w:after="60"/>
      </w:pPr>
      <w:r>
        <w:t xml:space="preserve"/>
      </w:r>
    </w:p>
    <w:p>
      <w:pPr>
        <w:spacing w:before="0" w:after="200" w:line="286"/>
      </w:pPr>
      <w:r>
        <w:rPr>
          <w:rFonts w:ascii="Georgia" w:cs="Georgia" w:eastAsia="Georgia" w:hAnsi="Georgia"/>
          <w:color w:val="1A1A2A"/>
          <w:sz w:val="24"/>
          <w:szCs w:val="24"/>
        </w:rPr>
        <w:t xml:space="preserve">The second future work signal comes from the Alabi et al. EMNLP 2025 survey of 884 African NLP papers:</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05555" w:sz="4"/>
              <w:left w:val="single" w:color="005555" w:sz="8"/>
              <w:bottom w:val="single" w:color="DDDDDD" w:sz="1"/>
              <w:right w:val="single" w:color="DDDDDD" w:sz="1"/>
            </w:tcBorders>
            <w:shd w:fill="F5F8FE" w:val="clear"/>
            <w:tcMar>
              <w:top w:type="dxa" w:w="120"/>
              <w:left w:type="dxa" w:w="220"/>
              <w:bottom w:type="dxa" w:w="120"/>
              <w:right w:type="dxa" w:w="220"/>
            </w:tcMar>
          </w:tcPr>
          <w:p>
            <w:pPr>
              <w:spacing w:before="0" w:after="50" w:line="276"/>
            </w:pPr>
            <w:r>
              <w:rPr>
                <w:rFonts w:ascii="Georgia" w:cs="Georgia" w:eastAsia="Georgia" w:hAnsi="Georgia"/>
                <w:i/>
                <w:iCs/>
                <w:color w:val="1A1A2A"/>
                <w:sz w:val="22"/>
                <w:szCs w:val="22"/>
              </w:rPr>
              <w:t xml:space="preserve">Human-centric research in NLP has gained prominence, but such work remains scarce in African NLP — only six relevant papers have been presented at CHI and its African counterpart AfriCHI. This is an open and urgent frontier.</w:t>
            </w:r>
          </w:p>
          <w:p>
            <w:r>
              <w:rPr>
                <w:rFonts w:ascii="Arial" w:cs="Arial" w:eastAsia="Arial" w:hAnsi="Arial"/>
                <w:b/>
                <w:bCs/>
                <w:color w:val="005555"/>
                <w:sz w:val="17"/>
                <w:szCs w:val="17"/>
              </w:rPr>
              <w:t xml:space="preserve">Alabi, Hedderich, Adelani &amp; Klakow, EMNLP 2025 — Charting the Landscape of African NLP</w:t>
            </w:r>
          </w:p>
        </w:tc>
      </w:tr>
    </w:tbl>
    <w:p>
      <w:pPr>
        <w:spacing w:before="60" w:after="60"/>
      </w:pPr>
      <w:r>
        <w:t xml:space="preserve"/>
      </w:r>
    </w:p>
    <w:p>
      <w:pPr>
        <w:spacing w:before="0" w:after="200" w:line="286"/>
      </w:pPr>
      <w:r>
        <w:rPr>
          <w:rFonts w:ascii="Georgia" w:cs="Georgia" w:eastAsia="Georgia" w:hAnsi="Georgia"/>
          <w:color w:val="1A1A2A"/>
          <w:sz w:val="24"/>
          <w:szCs w:val="24"/>
        </w:rPr>
        <w:t xml:space="preserve">Six papers at CHI in five years, across the entire continent. The user comprehension study proposed in Week 4 of the essay series is not a niche contribution. It would roughly double the African NLP literature on human-centered outcomes. This is not a crowded space. It is an almost completely empty one.</w:t>
      </w:r>
    </w:p>
    <w:p>
      <w:pPr>
        <w:spacing w:before="60" w:after="60"/>
      </w:pPr>
      <w:r>
        <w:t xml:space="preserve"/>
      </w:r>
    </w:p>
    <w:p>
      <w:pPr>
        <w:spacing w:before="0" w:after="200" w:line="286"/>
      </w:pPr>
      <w:r>
        <w:rPr>
          <w:rFonts w:ascii="Georgia" w:cs="Georgia" w:eastAsia="Georgia" w:hAnsi="Georgia"/>
          <w:color w:val="1A1A2A"/>
          <w:sz w:val="24"/>
          <w:szCs w:val="24"/>
        </w:rPr>
        <w:t xml:space="preserve">ProverbEval (NAACL 2025) surfaces a third future work signal: it evaluates LLMs on proverb meaning tasks but explicitly does not evaluate deployment context, discourse position, or community-appropriateness. Its own task design names the gap. An extension that adds deployment tasks — given this discourse context, which proverb, and where in the arc? — is a natural next paper that does not require building a new corpus from scratch.</w:t>
      </w:r>
    </w:p>
    <w:p>
      <w:pPr>
        <w:spacing w:before="60" w:after="60"/>
      </w:pPr>
      <w:r>
        <w:t xml:space="preserve"/>
      </w:r>
    </w:p>
    <w:p>
      <w:pPr>
        <w:spacing w:before="240" w:after="60"/>
      </w:pPr>
      <w:r>
        <w:rPr>
          <w:rFonts w:ascii="Arial" w:cs="Arial" w:eastAsia="Arial" w:hAnsi="Arial"/>
          <w:b/>
          <w:bCs/>
          <w:color w:val="005555"/>
          <w:sz w:val="22"/>
          <w:szCs w:val="22"/>
        </w:rPr>
        <w:t xml:space="preserve">Top Ideas from Future Work Mining</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05555" w:sz="12"/>
              <w:left w:val="single" w:color="DDDDDD" w:sz="2"/>
              <w:bottom w:val="single" w:color="DDDDDD" w:sz="2"/>
              <w:right w:val="single" w:color="DDDDDD" w:sz="2"/>
            </w:tcBorders>
            <w:shd w:fill="FAFAFA" w:val="clear"/>
            <w:tcMar>
              <w:top w:type="dxa" w:w="180"/>
              <w:left w:type="dxa" w:w="280"/>
              <w:bottom w:type="dxa" w:w="180"/>
              <w:right w:type="dxa" w:w="280"/>
            </w:tcMar>
          </w:tcPr>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2600"/>
              <w:gridCol w:w="1370"/>
              <w:gridCol w:w="1370"/>
              <w:gridCol w:w="1370"/>
              <w:gridCol w:w="1370"/>
            </w:tblGrid>
            <w:tr>
              <w:tc>
                <w:tcPr>
                  <w:tcW w:type="dxa" w:w="26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999999"/>
                      <w:sz w:val="16"/>
                      <w:szCs w:val="16"/>
                    </w:rPr>
                    <w:t xml:space="preserve">#1  </w:t>
                  </w:r>
                  <w:r>
                    <w:rPr>
                      <w:rFonts w:ascii="Arial" w:cs="Arial" w:eastAsia="Arial" w:hAnsi="Arial"/>
                      <w:b/>
                      <w:bCs/>
                      <w:color w:val="005555"/>
                      <w:sz w:val="22"/>
                      <w:szCs w:val="22"/>
                    </w:rPr>
                    <w:t xml:space="preserve">Controlled User Comprehension Study</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N: 9.0</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F: 8.0</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I: 9.5</w:t>
                  </w:r>
                </w:p>
              </w:tc>
              <w:tc>
                <w:tcPr>
                  <w:tcW w:type="dxa" w:w="1370"/>
                  <w:tcBorders>
                    <w:top w:val="none" w:color="FFFFFF" w:sz="0"/>
                    <w:left w:val="single" w:color="DDDDDD" w:sz="4"/>
                    <w:bottom w:val="none" w:color="FFFFFF" w:sz="0"/>
                    <w:right w:val="none" w:color="FFFFFF" w:sz="0"/>
                  </w:tcBorders>
                  <w:shd w:fill="005555" w:val="clear"/>
                  <w:tcMar>
                    <w:top w:type="dxa" w:w="40"/>
                    <w:left w:type="dxa" w:w="80"/>
                    <w:bottom w:type="dxa" w:w="40"/>
                    <w:right w:type="dxa" w:w="80"/>
                  </w:tcMar>
                </w:tcPr>
                <w:p>
                  <w:pPr>
                    <w:jc w:val="center"/>
                  </w:pPr>
                  <w:r>
                    <w:rPr>
                      <w:rFonts w:ascii="Arial" w:cs="Arial" w:eastAsia="Arial" w:hAnsi="Arial"/>
                      <w:b/>
                      <w:bCs/>
                      <w:color w:val="FFFFFF"/>
                      <w:sz w:val="22"/>
                      <w:szCs w:val="22"/>
                    </w:rPr>
                    <w:t xml:space="preserve">▲ 9.15</w:t>
                  </w:r>
                </w:p>
              </w:tc>
            </w:tr>
          </w:tbl>
          <w:p>
            <w:pPr>
              <w:spacing w:before="60" w:after="60"/>
            </w:pPr>
            <w:r>
              <w:t xml:space="preserve"/>
            </w:r>
          </w:p>
          <w:p>
            <w:pPr>
              <w:spacing w:before="0" w:after="30"/>
            </w:pPr>
            <w:r>
              <w:rPr>
                <w:rFonts w:ascii="Arial" w:cs="Arial" w:eastAsia="Arial" w:hAnsi="Arial"/>
                <w:b/>
                <w:bCs/>
                <w:caps/>
                <w:color w:val="005555"/>
                <w:spacing w:val="80"/>
                <w:sz w:val="17"/>
                <w:szCs w:val="17"/>
              </w:rPr>
              <w:t xml:space="preserve">[ FUTURE WORK ]</w:t>
            </w:r>
          </w:p>
          <w:p>
            <w:pPr>
              <w:spacing w:before="0" w:after="120"/>
            </w:pPr>
            <w:r>
              <w:rPr>
                <w:rFonts w:ascii="Arial" w:cs="Arial" w:eastAsia="Arial" w:hAnsi="Arial"/>
                <w:b/>
                <w:bCs/>
                <w:color w:val="1A1A2A"/>
                <w:sz w:val="21"/>
                <w:szCs w:val="21"/>
              </w:rPr>
              <w:t xml:space="preserve">Motivation: </w:t>
            </w:r>
            <w:r>
              <w:rPr>
                <w:rFonts w:ascii="Georgia" w:cs="Georgia" w:eastAsia="Georgia" w:hAnsi="Georgia"/>
                <w:color w:val="1A1A2A"/>
                <w:sz w:val="21"/>
                <w:szCs w:val="21"/>
              </w:rPr>
              <w:t xml:space="preserve">The Alabi et al. survey found only 6 CHI-grade papers on African language NLP in five years. This is the most glaring gap in the entire field. No study has measured whether African language users understand AI explanations better when those explanations follow their language's cognitive architecture.</w:t>
            </w:r>
          </w:p>
          <w:p>
            <w:pPr>
              <w:spacing w:before="0" w:after="120"/>
            </w:pPr>
            <w:r>
              <w:rPr>
                <w:rFonts w:ascii="Arial" w:cs="Arial" w:eastAsia="Arial" w:hAnsi="Arial"/>
                <w:b/>
                <w:bCs/>
                <w:color w:val="1A1A2A"/>
                <w:sz w:val="21"/>
                <w:szCs w:val="21"/>
              </w:rPr>
              <w:t xml:space="preserve">Approach: </w:t>
            </w:r>
            <w:r>
              <w:rPr>
                <w:rFonts w:ascii="Georgia" w:cs="Georgia" w:eastAsia="Georgia" w:hAnsi="Georgia"/>
                <w:color w:val="1A1A2A"/>
                <w:sz w:val="21"/>
                <w:szCs w:val="21"/>
              </w:rPr>
              <w:t xml:space="preserve">2×2 controlled experiment: Yoruba-dominant vs English-dominant speakers, discourse-aligned vs standard AI explanations. Five outcomes: comprehension quiz, 48-hour retention, cognitive effort, trust rating, modification behaviour (following Agarwal CHI 2025 methodology). 80 participants per cell. Recruit through University of Ibadan/Lagos.</w:t>
            </w:r>
          </w:p>
          <w:p>
            <w:pPr>
              <w:spacing w:before="0" w:after="80"/>
            </w:pPr>
            <w:r>
              <w:rPr>
                <w:rFonts w:ascii="Arial" w:cs="Arial" w:eastAsia="Arial" w:hAnsi="Arial"/>
                <w:b/>
                <w:bCs/>
                <w:color w:val="1A1A2A"/>
                <w:sz w:val="21"/>
                <w:szCs w:val="21"/>
              </w:rPr>
              <w:t xml:space="preserve">Contributions: </w:t>
            </w:r>
            <w:r>
              <w:rPr>
                <w:rFonts w:ascii="Georgia" w:cs="Georgia" w:eastAsia="Georgia" w:hAnsi="Georgia"/>
                <w:color w:val="1A1A2A"/>
                <w:sz w:val="21"/>
                <w:szCs w:val="21"/>
              </w:rPr>
              <w:t xml:space="preserve">(1) First CHI-grade African NLP comprehension study. (2) Empirical test of simulation semantics for African oral tradition. (3) Establishes measurable benchmark for discourse alignment quality. (4) Either validates or forces revision of the Week 4 theoretical framework.</w:t>
            </w:r>
          </w:p>
          <w:p>
            <w:pPr>
              <w:spacing w:before="0" w:after="60"/>
            </w:pPr>
            <w:r>
              <w:rPr>
                <w:rFonts w:ascii="Arial" w:cs="Arial" w:eastAsia="Arial" w:hAnsi="Arial"/>
                <w:b/>
                <w:bCs/>
                <w:color w:val="555566"/>
                <w:sz w:val="18"/>
                <w:szCs w:val="18"/>
              </w:rPr>
              <w:t xml:space="preserve">Key papers: </w:t>
            </w:r>
            <w:r>
              <w:rPr>
                <w:rFonts w:ascii="Arial" w:cs="Arial" w:eastAsia="Arial" w:hAnsi="Arial"/>
                <w:i/>
                <w:iCs/>
                <w:color w:val="555566"/>
                <w:sz w:val="18"/>
                <w:szCs w:val="18"/>
              </w:rPr>
              <w:t xml:space="preserve">Alabi et al. EMNLP 2025; Agarwal et al. CHI 2025; Bergen 2012; Adelani et al. 2024 (AfroBench); Ehineni 2016</w:t>
            </w:r>
          </w:p>
          <w:p>
            <w:pPr>
              <w:spacing w:before="0" w:after="0"/>
            </w:pPr>
            <w:r>
              <w:rPr>
                <w:rFonts w:ascii="Arial" w:cs="Arial" w:eastAsia="Arial" w:hAnsi="Arial"/>
                <w:b/>
                <w:bCs/>
                <w:color w:val="7A0000"/>
                <w:sz w:val="18"/>
                <w:szCs w:val="18"/>
              </w:rPr>
              <w:t xml:space="preserve">Primary risk: </w:t>
            </w:r>
            <w:r>
              <w:rPr>
                <w:rFonts w:ascii="Arial" w:cs="Arial" w:eastAsia="Arial" w:hAnsi="Arial"/>
                <w:color w:val="7A0000"/>
                <w:sz w:val="18"/>
                <w:szCs w:val="18"/>
              </w:rPr>
              <w:t xml:space="preserve">Comprehension metrics may show trust/identity effects (people prefer familiar patterns) without simulation efficiency effects. If so: revise theory, not abandon it.</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05555" w:sz="12"/>
              <w:left w:val="single" w:color="DDDDDD" w:sz="2"/>
              <w:bottom w:val="single" w:color="DDDDDD" w:sz="2"/>
              <w:right w:val="single" w:color="DDDDDD" w:sz="2"/>
            </w:tcBorders>
            <w:shd w:fill="FAFAFA" w:val="clear"/>
            <w:tcMar>
              <w:top w:type="dxa" w:w="180"/>
              <w:left w:type="dxa" w:w="280"/>
              <w:bottom w:type="dxa" w:w="180"/>
              <w:right w:type="dxa" w:w="280"/>
            </w:tcMar>
          </w:tcPr>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2600"/>
              <w:gridCol w:w="1370"/>
              <w:gridCol w:w="1370"/>
              <w:gridCol w:w="1370"/>
              <w:gridCol w:w="1370"/>
            </w:tblGrid>
            <w:tr>
              <w:tc>
                <w:tcPr>
                  <w:tcW w:type="dxa" w:w="26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999999"/>
                      <w:sz w:val="16"/>
                      <w:szCs w:val="16"/>
                    </w:rPr>
                    <w:t xml:space="preserve">#2  </w:t>
                  </w:r>
                  <w:r>
                    <w:rPr>
                      <w:rFonts w:ascii="Arial" w:cs="Arial" w:eastAsia="Arial" w:hAnsi="Arial"/>
                      <w:b/>
                      <w:bCs/>
                      <w:color w:val="005555"/>
                      <w:sz w:val="22"/>
                      <w:szCs w:val="22"/>
                    </w:rPr>
                    <w:t xml:space="preserve">Discourse Position Ontology for Yoruba Proverb Deployment</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N: 9.5</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F: 7.5</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I: 9.0</w:t>
                  </w:r>
                </w:p>
              </w:tc>
              <w:tc>
                <w:tcPr>
                  <w:tcW w:type="dxa" w:w="1370"/>
                  <w:tcBorders>
                    <w:top w:val="none" w:color="FFFFFF" w:sz="0"/>
                    <w:left w:val="single" w:color="DDDDDD" w:sz="4"/>
                    <w:bottom w:val="none" w:color="FFFFFF" w:sz="0"/>
                    <w:right w:val="none" w:color="FFFFFF" w:sz="0"/>
                  </w:tcBorders>
                  <w:shd w:fill="005555" w:val="clear"/>
                  <w:tcMar>
                    <w:top w:type="dxa" w:w="40"/>
                    <w:left w:type="dxa" w:w="80"/>
                    <w:bottom w:type="dxa" w:w="40"/>
                    <w:right w:type="dxa" w:w="80"/>
                  </w:tcMar>
                </w:tcPr>
                <w:p>
                  <w:pPr>
                    <w:jc w:val="center"/>
                  </w:pPr>
                  <w:r>
                    <w:rPr>
                      <w:rFonts w:ascii="Arial" w:cs="Arial" w:eastAsia="Arial" w:hAnsi="Arial"/>
                      <w:b/>
                      <w:bCs/>
                      <w:color w:val="FFFFFF"/>
                      <w:sz w:val="22"/>
                      <w:szCs w:val="22"/>
                    </w:rPr>
                    <w:t xml:space="preserve">▲ 9.0</w:t>
                  </w:r>
                </w:p>
              </w:tc>
            </w:tr>
          </w:tbl>
          <w:p>
            <w:pPr>
              <w:spacing w:before="60" w:after="60"/>
            </w:pPr>
            <w:r>
              <w:t xml:space="preserve"/>
            </w:r>
          </w:p>
          <w:p>
            <w:pPr>
              <w:spacing w:before="0" w:after="30"/>
            </w:pPr>
            <w:r>
              <w:rPr>
                <w:rFonts w:ascii="Arial" w:cs="Arial" w:eastAsia="Arial" w:hAnsi="Arial"/>
                <w:b/>
                <w:bCs/>
                <w:caps/>
                <w:color w:val="005555"/>
                <w:spacing w:val="80"/>
                <w:sz w:val="17"/>
                <w:szCs w:val="17"/>
              </w:rPr>
              <w:t xml:space="preserve">[ FUTURE WORK ]</w:t>
            </w:r>
          </w:p>
          <w:p>
            <w:pPr>
              <w:spacing w:before="0" w:after="120"/>
            </w:pPr>
            <w:r>
              <w:rPr>
                <w:rFonts w:ascii="Arial" w:cs="Arial" w:eastAsia="Arial" w:hAnsi="Arial"/>
                <w:b/>
                <w:bCs/>
                <w:color w:val="1A1A2A"/>
                <w:sz w:val="21"/>
                <w:szCs w:val="21"/>
              </w:rPr>
              <w:t xml:space="preserve">Motivation: </w:t>
            </w:r>
            <w:r>
              <w:rPr>
                <w:rFonts w:ascii="Georgia" w:cs="Georgia" w:eastAsia="Georgia" w:hAnsi="Georgia"/>
                <w:color w:val="1A1A2A"/>
                <w:sz w:val="21"/>
                <w:szCs w:val="21"/>
              </w:rPr>
              <w:t xml:space="preserve">CG-CoT identified exactly this gap: structured cultural ontologies are not in the RAG corpus. The field has proverb meaning datasets (ProverbEval, Owomoyela’s corpus). What doesn’t exist: a structured knowledge base that maps each proverb to discourse position (early framing, middle buttress, late crystallization), speech act performed, conceptual domain, community register, and known failure contexts.</w:t>
            </w:r>
          </w:p>
          <w:p>
            <w:pPr>
              <w:spacing w:before="0" w:after="120"/>
            </w:pPr>
            <w:r>
              <w:rPr>
                <w:rFonts w:ascii="Arial" w:cs="Arial" w:eastAsia="Arial" w:hAnsi="Arial"/>
                <w:b/>
                <w:bCs/>
                <w:color w:val="1A1A2A"/>
                <w:sz w:val="21"/>
                <w:szCs w:val="21"/>
              </w:rPr>
              <w:t xml:space="preserve">Approach: </w:t>
            </w:r>
            <w:r>
              <w:rPr>
                <w:rFonts w:ascii="Georgia" w:cs="Georgia" w:eastAsia="Georgia" w:hAnsi="Georgia"/>
                <w:color w:val="1A1A2A"/>
                <w:sz w:val="21"/>
                <w:szCs w:val="21"/>
              </w:rPr>
              <w:t xml:space="preserve">Build the ontology in three phases: (1) Map Owomoyela’s 5,235 proverbs to seven structural dimensions using Ehineni’s discourse analysis as the annotation framework. (2) Validate with community panels of 5+ native speakers across Lagos, Ibadan, Abeokuta. (3) Release as open-source knowledge base in OWL/RDF format usable by LangChain RAG pipelines. Publish construction methodology as separate paper.</w:t>
            </w:r>
          </w:p>
          <w:p>
            <w:pPr>
              <w:spacing w:before="0" w:after="80"/>
            </w:pPr>
            <w:r>
              <w:rPr>
                <w:rFonts w:ascii="Arial" w:cs="Arial" w:eastAsia="Arial" w:hAnsi="Arial"/>
                <w:b/>
                <w:bCs/>
                <w:color w:val="1A1A2A"/>
                <w:sz w:val="21"/>
                <w:szCs w:val="21"/>
              </w:rPr>
              <w:t xml:space="preserve">Contributions: </w:t>
            </w:r>
            <w:r>
              <w:rPr>
                <w:rFonts w:ascii="Georgia" w:cs="Georgia" w:eastAsia="Georgia" w:hAnsi="Georgia"/>
                <w:color w:val="1A1A2A"/>
                <w:sz w:val="21"/>
                <w:szCs w:val="21"/>
              </w:rPr>
              <w:t xml:space="preserve">(1) First machine-readable African language discourse ontology. (2) Enables CG-CoT’s future work to be executed. (3) Makes ProverbEval’s deployment tasks buildable. (4) Foundational infrastructure for every subsequent idea in this document.</w:t>
            </w:r>
          </w:p>
          <w:p>
            <w:pPr>
              <w:spacing w:before="0" w:after="60"/>
            </w:pPr>
            <w:r>
              <w:rPr>
                <w:rFonts w:ascii="Arial" w:cs="Arial" w:eastAsia="Arial" w:hAnsi="Arial"/>
                <w:b/>
                <w:bCs/>
                <w:color w:val="555566"/>
                <w:sz w:val="18"/>
                <w:szCs w:val="18"/>
              </w:rPr>
              <w:t xml:space="preserve">Key papers: </w:t>
            </w:r>
            <w:r>
              <w:rPr>
                <w:rFonts w:ascii="Arial" w:cs="Arial" w:eastAsia="Arial" w:hAnsi="Arial"/>
                <w:i/>
                <w:iCs/>
                <w:color w:val="555566"/>
                <w:sz w:val="18"/>
                <w:szCs w:val="18"/>
              </w:rPr>
              <w:t xml:space="preserve">CG-CoT (arXiv 2506.01190); ProverbEval (NAACL 2025); Owomoyela 2005; Ehineni 2016; Yankah 1989</w:t>
            </w:r>
          </w:p>
          <w:p>
            <w:pPr>
              <w:spacing w:before="0" w:after="0"/>
            </w:pPr>
            <w:r>
              <w:rPr>
                <w:rFonts w:ascii="Arial" w:cs="Arial" w:eastAsia="Arial" w:hAnsi="Arial"/>
                <w:b/>
                <w:bCs/>
                <w:color w:val="7A0000"/>
                <w:sz w:val="18"/>
                <w:szCs w:val="18"/>
              </w:rPr>
              <w:t xml:space="preserve">Primary risk: </w:t>
            </w:r>
            <w:r>
              <w:rPr>
                <w:rFonts w:ascii="Arial" w:cs="Arial" w:eastAsia="Arial" w:hAnsi="Arial"/>
                <w:color w:val="7A0000"/>
                <w:sz w:val="18"/>
                <w:szCs w:val="18"/>
              </w:rPr>
              <w:t xml:space="preserve">Community validation is slow and requires trust-building that takes longer than academic timelines. Start advisory board engagement 6 months before annotation begins.</w:t>
            </w:r>
          </w:p>
        </w:tc>
      </w:tr>
    </w:tbl>
    <w:p>
      <w:pPr>
        <w:spacing w:before="60" w:after="60"/>
      </w:pPr>
      <w:r>
        <w:t xml:space="preserve"/>
      </w:r>
    </w:p>
    <w:p>
      <w:pPr>
        <w:pBdr>
          <w:bottom w:val="single" w:color="380070" w:sz="6" w:space="4"/>
        </w:pBdr>
        <w:spacing w:before="400" w:after="60"/>
      </w:pPr>
      <w:r>
        <w:rPr>
          <w:rFonts w:ascii="Arial" w:cs="Arial" w:eastAsia="Arial" w:hAnsi="Arial"/>
          <w:b/>
          <w:bCs/>
          <w:caps/>
          <w:color w:val="380070"/>
          <w:spacing w:val="120"/>
          <w:sz w:val="17"/>
          <w:szCs w:val="17"/>
        </w:rPr>
        <w:t xml:space="preserve">Pathway B — Conflict Detection: Where Papers Disagree</w:t>
      </w:r>
    </w:p>
    <w:p>
      <w:pPr>
        <w:spacing w:before="60" w:after="60"/>
      </w:pPr>
      <w:r>
        <w:t xml:space="preserve"/>
      </w:r>
    </w:p>
    <w:p>
      <w:pPr>
        <w:spacing w:before="0" w:after="200" w:line="286"/>
      </w:pPr>
      <w:r>
        <w:rPr>
          <w:rFonts w:ascii="Georgia" w:cs="Georgia" w:eastAsia="Georgia" w:hAnsi="Georgia"/>
          <w:color w:val="1A1A2A"/>
          <w:sz w:val="24"/>
          <w:szCs w:val="24"/>
        </w:rPr>
        <w:t xml:space="preserve">Four significant conflicts emerged from cross-reading the live literature. Each is an opportunity. Your research is not merely positioned to add to the field. It is positioned to resolve open disputes that the field has not yet resolved.</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8640"/>
            <w:gridSpan w:val="2"/>
            <w:tcBorders>
              <w:top w:val="single" w:color="DDDDDD" w:sz="1"/>
              <w:left w:val="single" w:color="DDDDDD" w:sz="1"/>
              <w:bottom w:val="single" w:color="DDDDDD" w:sz="1"/>
              <w:right w:val="single" w:color="DDDDDD" w:sz="1"/>
            </w:tcBorders>
            <w:shd w:fill="7A0000" w:val="clear"/>
            <w:tcMar>
              <w:top w:type="dxa" w:w="80"/>
              <w:left w:type="dxa" w:w="180"/>
              <w:bottom w:type="dxa" w:w="80"/>
              <w:right w:type="dxa" w:w="180"/>
            </w:tcMar>
          </w:tcPr>
          <w:p>
            <w:r>
              <w:rPr>
                <w:rFonts w:ascii="Arial" w:cs="Arial" w:eastAsia="Arial" w:hAnsi="Arial"/>
                <w:b/>
                <w:bCs/>
                <w:color w:val="FFFFFF"/>
                <w:sz w:val="18"/>
                <w:szCs w:val="18"/>
              </w:rPr>
              <w:t xml:space="preserve">CONFLICT: BLEU/BERTScore vs. cultural relevance: automated metrics cannot detect what matters</w:t>
            </w:r>
          </w:p>
        </w:tc>
      </w:tr>
      <w:tr>
        <w:tc>
          <w:tcPr>
            <w:tcW w:type="dxa" w:w="4320"/>
            <w:tcBorders>
              <w:top w:val="single" w:color="DDDDDD" w:sz="1"/>
              <w:left w:val="single" w:color="DDDDDD" w:sz="1"/>
              <w:bottom w:val="single" w:color="DDDDDD" w:sz="1"/>
              <w:right w:val="single" w:color="DDDDDD" w:sz="1"/>
            </w:tcBorders>
            <w:shd w:fill="FFF0F0" w:val="clear"/>
            <w:tcMar>
              <w:top w:type="dxa" w:w="120"/>
              <w:left w:type="dxa" w:w="160"/>
              <w:bottom w:type="dxa" w:w="120"/>
              <w:right w:type="dxa" w:w="160"/>
            </w:tcMar>
          </w:tcPr>
          <w:p>
            <w:pPr>
              <w:spacing w:before="0" w:after="0" w:line="276"/>
            </w:pPr>
            <w:r>
              <w:rPr>
                <w:rFonts w:ascii="Georgia" w:cs="Georgia" w:eastAsia="Georgia" w:hAnsi="Georgia"/>
                <w:color w:val="1A1A2A"/>
                <w:sz w:val="20"/>
                <w:szCs w:val="20"/>
              </w:rPr>
              <w:t xml:space="preserve">CG-CoT (arXiv 2506.01190, 2025): conventional metrics (BLEU, BERTScore) failed to detect improvements in cultural alignment that human evaluators clearly observed. Token-level similarity is orthogonal to cultural relevance.</w:t>
            </w:r>
          </w:p>
        </w:tc>
        <w:tc>
          <w:tcPr>
            <w:tcW w:type="dxa" w:w="4320"/>
            <w:tcBorders>
              <w:top w:val="single" w:color="DDDDDD" w:sz="1"/>
              <w:left w:val="single" w:color="DDDDDD" w:sz="1"/>
              <w:bottom w:val="single" w:color="DDDDDD" w:sz="1"/>
              <w:right w:val="single" w:color="DDDDDD" w:sz="1"/>
            </w:tcBorders>
            <w:shd w:fill="F0FFF0" w:val="clear"/>
            <w:tcMar>
              <w:top w:type="dxa" w:w="120"/>
              <w:left w:type="dxa" w:w="160"/>
              <w:bottom w:type="dxa" w:w="120"/>
              <w:right w:type="dxa" w:w="160"/>
            </w:tcMar>
          </w:tcPr>
          <w:p>
            <w:pPr>
              <w:spacing w:before="0" w:after="0" w:line="276"/>
            </w:pPr>
            <w:r>
              <w:rPr>
                <w:rFonts w:ascii="Georgia" w:cs="Georgia" w:eastAsia="Georgia" w:hAnsi="Georgia"/>
                <w:color w:val="1A1A2A"/>
                <w:sz w:val="20"/>
                <w:szCs w:val="20"/>
              </w:rPr>
              <w:t xml:space="preserve">ProverbEval (NAACL 2025) and AfroBench (Adelani 2024) continue using BLEU-adjacent metrics as primary evaluation signals despite this finding. The field has not updated its evaluation practice in response to CG-CoT’s finding.</w:t>
            </w:r>
          </w:p>
        </w:tc>
      </w:tr>
      <w:tr>
        <w:tc>
          <w:tcPr>
            <w:tcW w:type="dxa" w:w="8640"/>
            <w:gridSpan w:val="2"/>
            <w:tcBorders>
              <w:top w:val="single" w:color="DDDDDD" w:sz="1"/>
              <w:left w:val="single" w:color="DDDDDD" w:sz="1"/>
              <w:bottom w:val="single" w:color="DDDDDD" w:sz="1"/>
              <w:right w:val="single" w:color="DDDDDD" w:sz="1"/>
            </w:tcBorders>
            <w:shd w:fill="EAF7ED" w:val="clear"/>
            <w:tcMar>
              <w:top w:type="dxa" w:w="100"/>
              <w:left w:type="dxa" w:w="180"/>
              <w:bottom w:type="dxa" w:w="100"/>
              <w:right w:type="dxa" w:w="180"/>
            </w:tcMar>
          </w:tcPr>
          <w:p>
            <w:pPr>
              <w:spacing w:before="0" w:after="20"/>
            </w:pPr>
            <w:r>
              <w:rPr>
                <w:rFonts w:ascii="Arial" w:cs="Arial" w:eastAsia="Arial" w:hAnsi="Arial"/>
                <w:b/>
                <w:bCs/>
                <w:color w:val="155724"/>
                <w:sz w:val="17"/>
                <w:szCs w:val="17"/>
              </w:rPr>
              <w:t xml:space="preserve">Resolution Direction:</w:t>
            </w:r>
          </w:p>
          <w:p>
            <w:pPr>
              <w:spacing w:before="0" w:after="0" w:line="270"/>
            </w:pPr>
            <w:r>
              <w:rPr>
                <w:rFonts w:ascii="Georgia" w:cs="Georgia" w:eastAsia="Georgia" w:hAnsi="Georgia"/>
                <w:color w:val="1A1A2A"/>
                <w:sz w:val="20"/>
                <w:szCs w:val="20"/>
              </w:rPr>
              <w:t xml:space="preserve">This conflict is your benchmark trap argument (Week 3) confirmed empirically by the engineering literature itself. The resolution is discourse-native evaluation tasks + community validation panels, exactly as proposed. CG-CoT proved the existing metrics fail; your proposal provides what should replace them.</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8640"/>
            <w:gridSpan w:val="2"/>
            <w:tcBorders>
              <w:top w:val="single" w:color="DDDDDD" w:sz="1"/>
              <w:left w:val="single" w:color="DDDDDD" w:sz="1"/>
              <w:bottom w:val="single" w:color="DDDDDD" w:sz="1"/>
              <w:right w:val="single" w:color="DDDDDD" w:sz="1"/>
            </w:tcBorders>
            <w:shd w:fill="7A0000" w:val="clear"/>
            <w:tcMar>
              <w:top w:type="dxa" w:w="80"/>
              <w:left w:type="dxa" w:w="180"/>
              <w:bottom w:type="dxa" w:w="80"/>
              <w:right w:type="dxa" w:w="180"/>
            </w:tcMar>
          </w:tcPr>
          <w:p>
            <w:r>
              <w:rPr>
                <w:rFonts w:ascii="Arial" w:cs="Arial" w:eastAsia="Arial" w:hAnsi="Arial"/>
                <w:b/>
                <w:bCs/>
                <w:color w:val="FFFFFF"/>
                <w:sz w:val="18"/>
                <w:szCs w:val="18"/>
              </w:rPr>
              <w:t xml:space="preserve">CONFLICT: Bergen’s simulation semantics: does language ground through simulation or symbolic activation?</w:t>
            </w:r>
          </w:p>
        </w:tc>
      </w:tr>
      <w:tr>
        <w:tc>
          <w:tcPr>
            <w:tcW w:type="dxa" w:w="4320"/>
            <w:tcBorders>
              <w:top w:val="single" w:color="DDDDDD" w:sz="1"/>
              <w:left w:val="single" w:color="DDDDDD" w:sz="1"/>
              <w:bottom w:val="single" w:color="DDDDDD" w:sz="1"/>
              <w:right w:val="single" w:color="DDDDDD" w:sz="1"/>
            </w:tcBorders>
            <w:shd w:fill="FFF0F0" w:val="clear"/>
            <w:tcMar>
              <w:top w:type="dxa" w:w="120"/>
              <w:left w:type="dxa" w:w="160"/>
              <w:bottom w:type="dxa" w:w="120"/>
              <w:right w:type="dxa" w:w="160"/>
            </w:tcMar>
          </w:tcPr>
          <w:p>
            <w:pPr>
              <w:spacing w:before="0" w:after="0" w:line="276"/>
            </w:pPr>
            <w:r>
              <w:rPr>
                <w:rFonts w:ascii="Georgia" w:cs="Georgia" w:eastAsia="Georgia" w:hAnsi="Georgia"/>
                <w:color w:val="1A1A2A"/>
                <w:sz w:val="20"/>
                <w:szCs w:val="20"/>
              </w:rPr>
              <w:t xml:space="preserve">Bergen (2012) and embodied cognition tradition: language understanding requires mental simulation of sensorimotor content. Proverbs that activate pre-existing communal simulations are cognitively more efficient than hypotheticals built from scratch.</w:t>
            </w:r>
          </w:p>
        </w:tc>
        <w:tc>
          <w:tcPr>
            <w:tcW w:type="dxa" w:w="4320"/>
            <w:tcBorders>
              <w:top w:val="single" w:color="DDDDDD" w:sz="1"/>
              <w:left w:val="single" w:color="DDDDDD" w:sz="1"/>
              <w:bottom w:val="single" w:color="DDDDDD" w:sz="1"/>
              <w:right w:val="single" w:color="DDDDDD" w:sz="1"/>
            </w:tcBorders>
            <w:shd w:fill="F0FFF0" w:val="clear"/>
            <w:tcMar>
              <w:top w:type="dxa" w:w="120"/>
              <w:left w:type="dxa" w:w="160"/>
              <w:bottom w:type="dxa" w:w="120"/>
              <w:right w:type="dxa" w:w="160"/>
            </w:tcMar>
          </w:tcPr>
          <w:p>
            <w:pPr>
              <w:spacing w:before="0" w:after="0" w:line="276"/>
            </w:pPr>
            <w:r>
              <w:rPr>
                <w:rFonts w:ascii="Georgia" w:cs="Georgia" w:eastAsia="Georgia" w:hAnsi="Georgia"/>
                <w:color w:val="1A1A2A"/>
                <w:sz w:val="20"/>
                <w:szCs w:val="20"/>
              </w:rPr>
              <w:t xml:space="preserve">Jones, Trott &amp; Bergen (Computational Linguistics 2024): MLLMs show sensitivity to sensorimotor features but cannot fully account for human simulation behavior. The mechanism in LLMs is ambiguous — it may be symbolic correlation, not genuine simulation.</w:t>
            </w:r>
          </w:p>
        </w:tc>
      </w:tr>
      <w:tr>
        <w:tc>
          <w:tcPr>
            <w:tcW w:type="dxa" w:w="8640"/>
            <w:gridSpan w:val="2"/>
            <w:tcBorders>
              <w:top w:val="single" w:color="DDDDDD" w:sz="1"/>
              <w:left w:val="single" w:color="DDDDDD" w:sz="1"/>
              <w:bottom w:val="single" w:color="DDDDDD" w:sz="1"/>
              <w:right w:val="single" w:color="DDDDDD" w:sz="1"/>
            </w:tcBorders>
            <w:shd w:fill="EAF7ED" w:val="clear"/>
            <w:tcMar>
              <w:top w:type="dxa" w:w="100"/>
              <w:left w:type="dxa" w:w="180"/>
              <w:bottom w:type="dxa" w:w="100"/>
              <w:right w:type="dxa" w:w="180"/>
            </w:tcMar>
          </w:tcPr>
          <w:p>
            <w:pPr>
              <w:spacing w:before="0" w:after="20"/>
            </w:pPr>
            <w:r>
              <w:rPr>
                <w:rFonts w:ascii="Arial" w:cs="Arial" w:eastAsia="Arial" w:hAnsi="Arial"/>
                <w:b/>
                <w:bCs/>
                <w:color w:val="155724"/>
                <w:sz w:val="17"/>
                <w:szCs w:val="17"/>
              </w:rPr>
              <w:t xml:space="preserve">Resolution Direction:</w:t>
            </w:r>
          </w:p>
          <w:p>
            <w:pPr>
              <w:spacing w:before="0" w:after="0" w:line="270"/>
            </w:pPr>
            <w:r>
              <w:rPr>
                <w:rFonts w:ascii="Georgia" w:cs="Georgia" w:eastAsia="Georgia" w:hAnsi="Georgia"/>
                <w:color w:val="1A1A2A"/>
                <w:sz w:val="20"/>
                <w:szCs w:val="20"/>
              </w:rPr>
              <w:t xml:space="preserve">This conflict is directly testable with African language users. Does Yoruba proverb comprehension show the simulation advantage over hypotheticals that Bergen’s theory predicts? If yes: simulation semantics extends to oral tradition contexts. If no: the theory requires cultural qualification. Either finding is publishable and significant.</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8640"/>
            <w:gridSpan w:val="2"/>
            <w:tcBorders>
              <w:top w:val="single" w:color="DDDDDD" w:sz="1"/>
              <w:left w:val="single" w:color="DDDDDD" w:sz="1"/>
              <w:bottom w:val="single" w:color="DDDDDD" w:sz="1"/>
              <w:right w:val="single" w:color="DDDDDD" w:sz="1"/>
            </w:tcBorders>
            <w:shd w:fill="7A0000" w:val="clear"/>
            <w:tcMar>
              <w:top w:type="dxa" w:w="80"/>
              <w:left w:type="dxa" w:w="180"/>
              <w:bottom w:type="dxa" w:w="80"/>
              <w:right w:type="dxa" w:w="180"/>
            </w:tcMar>
          </w:tcPr>
          <w:p>
            <w:r>
              <w:rPr>
                <w:rFonts w:ascii="Arial" w:cs="Arial" w:eastAsia="Arial" w:hAnsi="Arial"/>
                <w:b/>
                <w:bCs/>
                <w:color w:val="FFFFFF"/>
                <w:sz w:val="18"/>
                <w:szCs w:val="18"/>
              </w:rPr>
              <w:t xml:space="preserve">CONFLICT: Cultural adaptation: performance signal vs. architectural change</w:t>
            </w:r>
          </w:p>
        </w:tc>
      </w:tr>
      <w:tr>
        <w:tc>
          <w:tcPr>
            <w:tcW w:type="dxa" w:w="4320"/>
            <w:tcBorders>
              <w:top w:val="single" w:color="DDDDDD" w:sz="1"/>
              <w:left w:val="single" w:color="DDDDDD" w:sz="1"/>
              <w:bottom w:val="single" w:color="DDDDDD" w:sz="1"/>
              <w:right w:val="single" w:color="DDDDDD" w:sz="1"/>
            </w:tcBorders>
            <w:shd w:fill="FFF0F0" w:val="clear"/>
            <w:tcMar>
              <w:top w:type="dxa" w:w="120"/>
              <w:left w:type="dxa" w:w="160"/>
              <w:bottom w:type="dxa" w:w="120"/>
              <w:right w:type="dxa" w:w="160"/>
            </w:tcMar>
          </w:tcPr>
          <w:p>
            <w:pPr>
              <w:spacing w:before="0" w:after="0" w:line="276"/>
            </w:pPr>
            <w:r>
              <w:rPr>
                <w:rFonts w:ascii="Georgia" w:cs="Georgia" w:eastAsia="Georgia" w:hAnsi="Georgia"/>
                <w:color w:val="1A1A2A"/>
                <w:sz w:val="20"/>
                <w:szCs w:val="20"/>
              </w:rPr>
              <w:t xml:space="preserve">Cultural math grounding (arXiv 2507.00883): replacing Western cultural referents with local ones produces measurable performance shifts in mathematical reasoning tasks. Adaptation works.</w:t>
            </w:r>
          </w:p>
        </w:tc>
        <w:tc>
          <w:tcPr>
            <w:tcW w:type="dxa" w:w="4320"/>
            <w:tcBorders>
              <w:top w:val="single" w:color="DDDDDD" w:sz="1"/>
              <w:left w:val="single" w:color="DDDDDD" w:sz="1"/>
              <w:bottom w:val="single" w:color="DDDDDD" w:sz="1"/>
              <w:right w:val="single" w:color="DDDDDD" w:sz="1"/>
            </w:tcBorders>
            <w:shd w:fill="F0FFF0" w:val="clear"/>
            <w:tcMar>
              <w:top w:type="dxa" w:w="120"/>
              <w:left w:type="dxa" w:w="160"/>
              <w:bottom w:type="dxa" w:w="120"/>
              <w:right w:type="dxa" w:w="160"/>
            </w:tcMar>
          </w:tcPr>
          <w:p>
            <w:pPr>
              <w:spacing w:before="0" w:after="0" w:line="276"/>
            </w:pPr>
            <w:r>
              <w:rPr>
                <w:rFonts w:ascii="Georgia" w:cs="Georgia" w:eastAsia="Georgia" w:hAnsi="Georgia"/>
                <w:color w:val="1A1A2A"/>
                <w:sz w:val="20"/>
                <w:szCs w:val="20"/>
              </w:rPr>
              <w:t xml:space="preserve">Extrinsic cultural competence evaluation (EMNLP 2024): LLMs show lexical variance when prompted with cultural cues, but cultural values correlation is inconsistent and models default toward Western norms under pressure.</w:t>
            </w:r>
          </w:p>
        </w:tc>
      </w:tr>
      <w:tr>
        <w:tc>
          <w:tcPr>
            <w:tcW w:type="dxa" w:w="8640"/>
            <w:gridSpan w:val="2"/>
            <w:tcBorders>
              <w:top w:val="single" w:color="DDDDDD" w:sz="1"/>
              <w:left w:val="single" w:color="DDDDDD" w:sz="1"/>
              <w:bottom w:val="single" w:color="DDDDDD" w:sz="1"/>
              <w:right w:val="single" w:color="DDDDDD" w:sz="1"/>
            </w:tcBorders>
            <w:shd w:fill="EAF7ED" w:val="clear"/>
            <w:tcMar>
              <w:top w:type="dxa" w:w="100"/>
              <w:left w:type="dxa" w:w="180"/>
              <w:bottom w:type="dxa" w:w="100"/>
              <w:right w:type="dxa" w:w="180"/>
            </w:tcMar>
          </w:tcPr>
          <w:p>
            <w:pPr>
              <w:spacing w:before="0" w:after="20"/>
            </w:pPr>
            <w:r>
              <w:rPr>
                <w:rFonts w:ascii="Arial" w:cs="Arial" w:eastAsia="Arial" w:hAnsi="Arial"/>
                <w:b/>
                <w:bCs/>
                <w:color w:val="155724"/>
                <w:sz w:val="17"/>
                <w:szCs w:val="17"/>
              </w:rPr>
              <w:t xml:space="preserve">Resolution Direction:</w:t>
            </w:r>
          </w:p>
          <w:p>
            <w:pPr>
              <w:spacing w:before="0" w:after="0" w:line="270"/>
            </w:pPr>
            <w:r>
              <w:rPr>
                <w:rFonts w:ascii="Georgia" w:cs="Georgia" w:eastAsia="Georgia" w:hAnsi="Georgia"/>
                <w:color w:val="1A1A2A"/>
                <w:sz w:val="20"/>
                <w:szCs w:val="20"/>
              </w:rPr>
              <w:t xml:space="preserve">The conflict is whether surface cultural adaptation (replace referents) produces real comprehension gains or only superficial variance. The comprehension study (Idea #1) tests exactly this: discourse structure change vs. lexical adaptation. Design the study to separate these two effects.</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8640"/>
            <w:gridSpan w:val="2"/>
            <w:tcBorders>
              <w:top w:val="single" w:color="DDDDDD" w:sz="1"/>
              <w:left w:val="single" w:color="DDDDDD" w:sz="1"/>
              <w:bottom w:val="single" w:color="DDDDDD" w:sz="1"/>
              <w:right w:val="single" w:color="DDDDDD" w:sz="1"/>
            </w:tcBorders>
            <w:shd w:fill="7A0000" w:val="clear"/>
            <w:tcMar>
              <w:top w:type="dxa" w:w="80"/>
              <w:left w:type="dxa" w:w="180"/>
              <w:bottom w:type="dxa" w:w="80"/>
              <w:right w:type="dxa" w:w="180"/>
            </w:tcMar>
          </w:tcPr>
          <w:p>
            <w:r>
              <w:rPr>
                <w:rFonts w:ascii="Arial" w:cs="Arial" w:eastAsia="Arial" w:hAnsi="Arial"/>
                <w:b/>
                <w:bCs/>
                <w:color w:val="FFFFFF"/>
                <w:sz w:val="18"/>
                <w:szCs w:val="18"/>
              </w:rPr>
              <w:t xml:space="preserve">CONFLICT: Oral tradition and AI: metaphor translation vs. discourse deployment</w:t>
            </w:r>
          </w:p>
        </w:tc>
      </w:tr>
      <w:tr>
        <w:tc>
          <w:tcPr>
            <w:tcW w:type="dxa" w:w="4320"/>
            <w:tcBorders>
              <w:top w:val="single" w:color="DDDDDD" w:sz="1"/>
              <w:left w:val="single" w:color="DDDDDD" w:sz="1"/>
              <w:bottom w:val="single" w:color="DDDDDD" w:sz="1"/>
              <w:right w:val="single" w:color="DDDDDD" w:sz="1"/>
            </w:tcBorders>
            <w:shd w:fill="FFF0F0" w:val="clear"/>
            <w:tcMar>
              <w:top w:type="dxa" w:w="120"/>
              <w:left w:type="dxa" w:w="160"/>
              <w:bottom w:type="dxa" w:w="120"/>
              <w:right w:type="dxa" w:w="160"/>
            </w:tcMar>
          </w:tcPr>
          <w:p>
            <w:pPr>
              <w:spacing w:before="0" w:after="0" w:line="276"/>
            </w:pPr>
            <w:r>
              <w:rPr>
                <w:rFonts w:ascii="Georgia" w:cs="Georgia" w:eastAsia="Georgia" w:hAnsi="Georgia"/>
                <w:color w:val="1A1A2A"/>
                <w:sz w:val="20"/>
                <w:szCs w:val="20"/>
              </w:rPr>
              <w:t xml:space="preserve">CG-CoT and ProverbEval both treat proverbs as units to be translated or interpreted — as fixed meaning objects. Performance is measured by whether the model can state what a proverb means.</w:t>
            </w:r>
          </w:p>
        </w:tc>
        <w:tc>
          <w:tcPr>
            <w:tcW w:type="dxa" w:w="4320"/>
            <w:tcBorders>
              <w:top w:val="single" w:color="DDDDDD" w:sz="1"/>
              <w:left w:val="single" w:color="DDDDDD" w:sz="1"/>
              <w:bottom w:val="single" w:color="DDDDDD" w:sz="1"/>
              <w:right w:val="single" w:color="DDDDDD" w:sz="1"/>
            </w:tcBorders>
            <w:shd w:fill="F0FFF0" w:val="clear"/>
            <w:tcMar>
              <w:top w:type="dxa" w:w="120"/>
              <w:left w:type="dxa" w:w="160"/>
              <w:bottom w:type="dxa" w:w="120"/>
              <w:right w:type="dxa" w:w="160"/>
            </w:tcMar>
          </w:tcPr>
          <w:p>
            <w:pPr>
              <w:spacing w:before="0" w:after="0" w:line="276"/>
            </w:pPr>
            <w:r>
              <w:rPr>
                <w:rFonts w:ascii="Georgia" w:cs="Georgia" w:eastAsia="Georgia" w:hAnsi="Georgia"/>
                <w:color w:val="1A1A2A"/>
                <w:sz w:val="20"/>
                <w:szCs w:val="20"/>
              </w:rPr>
              <w:t xml:space="preserve">Yankah (1989), Ehineni (2016), and the five-week series: proverb meaning is inseparable from deployment context. The same proverb deployed at the wrong point in a discourse arc is not just less effective — it is wrong. Meaning is located in the deployment, not the text.</w:t>
            </w:r>
          </w:p>
        </w:tc>
      </w:tr>
      <w:tr>
        <w:tc>
          <w:tcPr>
            <w:tcW w:type="dxa" w:w="8640"/>
            <w:gridSpan w:val="2"/>
            <w:tcBorders>
              <w:top w:val="single" w:color="DDDDDD" w:sz="1"/>
              <w:left w:val="single" w:color="DDDDDD" w:sz="1"/>
              <w:bottom w:val="single" w:color="DDDDDD" w:sz="1"/>
              <w:right w:val="single" w:color="DDDDDD" w:sz="1"/>
            </w:tcBorders>
            <w:shd w:fill="EAF7ED" w:val="clear"/>
            <w:tcMar>
              <w:top w:type="dxa" w:w="100"/>
              <w:left w:type="dxa" w:w="180"/>
              <w:bottom w:type="dxa" w:w="100"/>
              <w:right w:type="dxa" w:w="180"/>
            </w:tcMar>
          </w:tcPr>
          <w:p>
            <w:pPr>
              <w:spacing w:before="0" w:after="20"/>
            </w:pPr>
            <w:r>
              <w:rPr>
                <w:rFonts w:ascii="Arial" w:cs="Arial" w:eastAsia="Arial" w:hAnsi="Arial"/>
                <w:b/>
                <w:bCs/>
                <w:color w:val="155724"/>
                <w:sz w:val="17"/>
                <w:szCs w:val="17"/>
              </w:rPr>
              <w:t xml:space="preserve">Resolution Direction:</w:t>
            </w:r>
          </w:p>
          <w:p>
            <w:pPr>
              <w:spacing w:before="0" w:after="0" w:line="270"/>
            </w:pPr>
            <w:r>
              <w:rPr>
                <w:rFonts w:ascii="Georgia" w:cs="Georgia" w:eastAsia="Georgia" w:hAnsi="Georgia"/>
                <w:color w:val="1A1A2A"/>
                <w:sz w:val="20"/>
                <w:szCs w:val="20"/>
              </w:rPr>
              <w:t xml:space="preserve">This conflict defines the fundamental design choice for the Proverb Activation Library: build a meaning ontology (what the field has) or a deployment ontology (what the series proposes). Both papers can be built. The deployment ontology is the one that doesn’t yet exist and can’t be built from translation.</w:t>
            </w:r>
          </w:p>
        </w:tc>
      </w:tr>
    </w:tbl>
    <w:p>
      <w:pPr>
        <w:spacing w:before="60" w:after="60"/>
      </w:pPr>
      <w:r>
        <w:t xml:space="preserve"/>
      </w:r>
    </w:p>
    <w:p>
      <w:pPr>
        <w:pBdr>
          <w:bottom w:val="single" w:color="7B5000" w:sz="6" w:space="4"/>
        </w:pBdr>
        <w:spacing w:before="400" w:after="60"/>
      </w:pPr>
      <w:r>
        <w:rPr>
          <w:rFonts w:ascii="Arial" w:cs="Arial" w:eastAsia="Arial" w:hAnsi="Arial"/>
          <w:b/>
          <w:bCs/>
          <w:caps/>
          <w:color w:val="7B5000"/>
          <w:spacing w:val="120"/>
          <w:sz w:val="17"/>
          <w:szCs w:val="17"/>
        </w:rPr>
        <w:t xml:space="preserve">Pathway C — Methodology Pivots: Techniques Ready to Transfer</w:t>
      </w:r>
    </w:p>
    <w:p>
      <w:pPr>
        <w:spacing w:before="60" w:after="60"/>
      </w:pPr>
      <w:r>
        <w:t xml:space="preserve"/>
      </w:r>
    </w:p>
    <w:p>
      <w:pPr>
        <w:spacing w:before="0" w:after="200" w:line="286"/>
      </w:pPr>
      <w:r>
        <w:rPr>
          <w:rFonts w:ascii="Georgia" w:cs="Georgia" w:eastAsia="Georgia" w:hAnsi="Georgia"/>
          <w:color w:val="1A1A2A"/>
          <w:sz w:val="24"/>
          <w:szCs w:val="24"/>
        </w:rPr>
        <w:t xml:space="preserve">Four methodology pivots emerged from tracking how successful techniques from adjacent fields map onto the African Cognitive AI research programme. Each pivot identifies a proven method in one domain and a specific untested application in yours.</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7B5000" w:sz="12"/>
              <w:left w:val="single" w:color="DDDDDD" w:sz="2"/>
              <w:bottom w:val="single" w:color="DDDDDD" w:sz="2"/>
              <w:right w:val="single" w:color="DDDDDD" w:sz="2"/>
            </w:tcBorders>
            <w:shd w:fill="FAFAFA" w:val="clear"/>
            <w:tcMar>
              <w:top w:type="dxa" w:w="180"/>
              <w:left w:type="dxa" w:w="280"/>
              <w:bottom w:type="dxa" w:w="180"/>
              <w:right w:type="dxa" w:w="280"/>
            </w:tcMar>
          </w:tcPr>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2600"/>
              <w:gridCol w:w="1370"/>
              <w:gridCol w:w="1370"/>
              <w:gridCol w:w="1370"/>
              <w:gridCol w:w="1370"/>
            </w:tblGrid>
            <w:tr>
              <w:tc>
                <w:tcPr>
                  <w:tcW w:type="dxa" w:w="26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999999"/>
                      <w:sz w:val="16"/>
                      <w:szCs w:val="16"/>
                    </w:rPr>
                    <w:t xml:space="preserve">#7  </w:t>
                  </w:r>
                  <w:r>
                    <w:rPr>
                      <w:rFonts w:ascii="Arial" w:cs="Arial" w:eastAsia="Arial" w:hAnsi="Arial"/>
                      <w:b/>
                      <w:bCs/>
                      <w:color w:val="7B5000"/>
                      <w:sz w:val="22"/>
                      <w:szCs w:val="22"/>
                    </w:rPr>
                    <w:t xml:space="preserve">Cultural Math Grounding → Discourse Explanation Grounding</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N: 8.0</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F: 8.5</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I: 8.5</w:t>
                  </w:r>
                </w:p>
              </w:tc>
              <w:tc>
                <w:tcPr>
                  <w:tcW w:type="dxa" w:w="1370"/>
                  <w:tcBorders>
                    <w:top w:val="none" w:color="FFFFFF" w:sz="0"/>
                    <w:left w:val="single" w:color="DDDDDD" w:sz="4"/>
                    <w:bottom w:val="none" w:color="FFFFFF" w:sz="0"/>
                    <w:right w:val="none" w:color="FFFFFF" w:sz="0"/>
                  </w:tcBorders>
                  <w:shd w:fill="7B5000" w:val="clear"/>
                  <w:tcMar>
                    <w:top w:type="dxa" w:w="40"/>
                    <w:left w:type="dxa" w:w="80"/>
                    <w:bottom w:type="dxa" w:w="40"/>
                    <w:right w:type="dxa" w:w="80"/>
                  </w:tcMar>
                </w:tcPr>
                <w:p>
                  <w:pPr>
                    <w:jc w:val="center"/>
                  </w:pPr>
                  <w:r>
                    <w:rPr>
                      <w:rFonts w:ascii="Arial" w:cs="Arial" w:eastAsia="Arial" w:hAnsi="Arial"/>
                      <w:b/>
                      <w:bCs/>
                      <w:color w:val="FFFFFF"/>
                      <w:sz w:val="22"/>
                      <w:szCs w:val="22"/>
                    </w:rPr>
                    <w:t xml:space="preserve">▲ 8.35</w:t>
                  </w:r>
                </w:p>
              </w:tc>
            </w:tr>
          </w:tbl>
          <w:p>
            <w:pPr>
              <w:spacing w:before="60" w:after="60"/>
            </w:pPr>
            <w:r>
              <w:t xml:space="preserve"/>
            </w:r>
          </w:p>
          <w:p>
            <w:pPr>
              <w:spacing w:before="0" w:after="30"/>
            </w:pPr>
            <w:r>
              <w:rPr>
                <w:rFonts w:ascii="Arial" w:cs="Arial" w:eastAsia="Arial" w:hAnsi="Arial"/>
                <w:b/>
                <w:bCs/>
                <w:caps/>
                <w:color w:val="7B5000"/>
                <w:spacing w:val="80"/>
                <w:sz w:val="17"/>
                <w:szCs w:val="17"/>
              </w:rPr>
              <w:t xml:space="preserve">[ METHODOLOGY PIVOT ]</w:t>
            </w:r>
          </w:p>
          <w:p>
            <w:pPr>
              <w:spacing w:before="0" w:after="120"/>
            </w:pPr>
            <w:r>
              <w:rPr>
                <w:rFonts w:ascii="Arial" w:cs="Arial" w:eastAsia="Arial" w:hAnsi="Arial"/>
                <w:b/>
                <w:bCs/>
                <w:color w:val="1A1A2A"/>
                <w:sz w:val="21"/>
                <w:szCs w:val="21"/>
              </w:rPr>
              <w:t xml:space="preserve">Motivation: </w:t>
            </w:r>
            <w:r>
              <w:rPr>
                <w:rFonts w:ascii="Georgia" w:cs="Georgia" w:eastAsia="Georgia" w:hAnsi="Georgia"/>
                <w:color w:val="1A1A2A"/>
                <w:sz w:val="21"/>
                <w:szCs w:val="21"/>
              </w:rPr>
              <w:t xml:space="preserve">arXiv 2507.00883 built 7,914 culturally grounded math problems by replacing Western referents with local ones across six cultural contexts, then measured how LLM performance shifts. The methodology is clean, replicable, and produced quantifiable cultural performance deltas.</w:t>
            </w:r>
          </w:p>
          <w:p>
            <w:pPr>
              <w:spacing w:before="0" w:after="120"/>
            </w:pPr>
            <w:r>
              <w:rPr>
                <w:rFonts w:ascii="Arial" w:cs="Arial" w:eastAsia="Arial" w:hAnsi="Arial"/>
                <w:b/>
                <w:bCs/>
                <w:color w:val="1A1A2A"/>
                <w:sz w:val="21"/>
                <w:szCs w:val="21"/>
              </w:rPr>
              <w:t xml:space="preserve">Approach: </w:t>
            </w:r>
            <w:r>
              <w:rPr>
                <w:rFonts w:ascii="Georgia" w:cs="Georgia" w:eastAsia="Georgia" w:hAnsi="Georgia"/>
                <w:color w:val="1A1A2A"/>
                <w:sz w:val="21"/>
                <w:szCs w:val="21"/>
              </w:rPr>
              <w:t xml:space="preserve">Apply the same methodology to explanation tasks rather than math tasks. Build matched pairs of Yoruba explanations: one using Western discourse structure (define-evidence-recommend), one using Yoruba discourse structure (story-proverb-crystallize). Keep semantic content identical, vary only structure. Test comprehension outcomes for Yoruba-dominant speakers. This is a more direct test of your core claim than any existing study.</w:t>
            </w:r>
          </w:p>
          <w:p>
            <w:pPr>
              <w:spacing w:before="0" w:after="80"/>
            </w:pPr>
            <w:r>
              <w:rPr>
                <w:rFonts w:ascii="Arial" w:cs="Arial" w:eastAsia="Arial" w:hAnsi="Arial"/>
                <w:b/>
                <w:bCs/>
                <w:color w:val="1A1A2A"/>
                <w:sz w:val="21"/>
                <w:szCs w:val="21"/>
              </w:rPr>
              <w:t xml:space="preserve">Contributions: </w:t>
            </w:r>
            <w:r>
              <w:rPr>
                <w:rFonts w:ascii="Georgia" w:cs="Georgia" w:eastAsia="Georgia" w:hAnsi="Georgia"/>
                <w:color w:val="1A1A2A"/>
                <w:sz w:val="21"/>
                <w:szCs w:val="21"/>
              </w:rPr>
              <w:t xml:space="preserve">(1) Direct empirical comparison isolating discourse structure as the variable. (2) Replicable across Igbo and Hausa with same methodology. (3) Connects to the cultural math grounding literature, broadening citation base. (4) Smaller study than the full 320-participant RCT — buildable in 6 months.</w:t>
            </w:r>
          </w:p>
          <w:p>
            <w:pPr>
              <w:spacing w:before="0" w:after="60"/>
            </w:pPr>
            <w:r>
              <w:rPr>
                <w:rFonts w:ascii="Arial" w:cs="Arial" w:eastAsia="Arial" w:hAnsi="Arial"/>
                <w:b/>
                <w:bCs/>
                <w:color w:val="555566"/>
                <w:sz w:val="18"/>
                <w:szCs w:val="18"/>
              </w:rPr>
              <w:t xml:space="preserve">Key papers: </w:t>
            </w:r>
            <w:r>
              <w:rPr>
                <w:rFonts w:ascii="Arial" w:cs="Arial" w:eastAsia="Arial" w:hAnsi="Arial"/>
                <w:i/>
                <w:iCs/>
                <w:color w:val="555566"/>
                <w:sz w:val="18"/>
                <w:szCs w:val="18"/>
              </w:rPr>
              <w:t xml:space="preserve">arXiv 2507.00883 (cultural math grounding); Agarwal et al. CHI 2025; Owomoyela 2005; Ehineni 2016</w:t>
            </w:r>
          </w:p>
          <w:p>
            <w:pPr>
              <w:spacing w:before="0" w:after="0"/>
            </w:pPr>
            <w:r>
              <w:rPr>
                <w:rFonts w:ascii="Arial" w:cs="Arial" w:eastAsia="Arial" w:hAnsi="Arial"/>
                <w:b/>
                <w:bCs/>
                <w:color w:val="7A0000"/>
                <w:sz w:val="18"/>
                <w:szCs w:val="18"/>
              </w:rPr>
              <w:t xml:space="preserve">Primary risk: </w:t>
            </w:r>
            <w:r>
              <w:rPr>
                <w:rFonts w:ascii="Arial" w:cs="Arial" w:eastAsia="Arial" w:hAnsi="Arial"/>
                <w:color w:val="7A0000"/>
                <w:sz w:val="18"/>
                <w:szCs w:val="18"/>
              </w:rPr>
              <w:t xml:space="preserve">Matched pairs are hard to construct so semantic content is genuinely identical. Requires Yoruba linguist co-author for validation.</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7B5000" w:sz="12"/>
              <w:left w:val="single" w:color="DDDDDD" w:sz="2"/>
              <w:bottom w:val="single" w:color="DDDDDD" w:sz="2"/>
              <w:right w:val="single" w:color="DDDDDD" w:sz="2"/>
            </w:tcBorders>
            <w:shd w:fill="FAFAFA" w:val="clear"/>
            <w:tcMar>
              <w:top w:type="dxa" w:w="180"/>
              <w:left w:type="dxa" w:w="280"/>
              <w:bottom w:type="dxa" w:w="180"/>
              <w:right w:type="dxa" w:w="280"/>
            </w:tcMar>
          </w:tcPr>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2600"/>
              <w:gridCol w:w="1370"/>
              <w:gridCol w:w="1370"/>
              <w:gridCol w:w="1370"/>
              <w:gridCol w:w="1370"/>
            </w:tblGrid>
            <w:tr>
              <w:tc>
                <w:tcPr>
                  <w:tcW w:type="dxa" w:w="26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999999"/>
                      <w:sz w:val="16"/>
                      <w:szCs w:val="16"/>
                    </w:rPr>
                    <w:t xml:space="preserve">#12  </w:t>
                  </w:r>
                  <w:r>
                    <w:rPr>
                      <w:rFonts w:ascii="Arial" w:cs="Arial" w:eastAsia="Arial" w:hAnsi="Arial"/>
                      <w:b/>
                      <w:bCs/>
                      <w:color w:val="7B5000"/>
                      <w:sz w:val="22"/>
                      <w:szCs w:val="22"/>
                    </w:rPr>
                    <w:t xml:space="preserve">CulturePark Multi-Agent → African Oral Tradition Dataset Generation</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N: 8.0</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F: 8.0</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I: 8.0</w:t>
                  </w:r>
                </w:p>
              </w:tc>
              <w:tc>
                <w:tcPr>
                  <w:tcW w:type="dxa" w:w="1370"/>
                  <w:tcBorders>
                    <w:top w:val="none" w:color="FFFFFF" w:sz="0"/>
                    <w:left w:val="single" w:color="DDDDDD" w:sz="4"/>
                    <w:bottom w:val="none" w:color="FFFFFF" w:sz="0"/>
                    <w:right w:val="none" w:color="FFFFFF" w:sz="0"/>
                  </w:tcBorders>
                  <w:shd w:fill="7B5000" w:val="clear"/>
                  <w:tcMar>
                    <w:top w:type="dxa" w:w="40"/>
                    <w:left w:type="dxa" w:w="80"/>
                    <w:bottom w:type="dxa" w:w="40"/>
                    <w:right w:type="dxa" w:w="80"/>
                  </w:tcMar>
                </w:tcPr>
                <w:p>
                  <w:pPr>
                    <w:jc w:val="center"/>
                  </w:pPr>
                  <w:r>
                    <w:rPr>
                      <w:rFonts w:ascii="Arial" w:cs="Arial" w:eastAsia="Arial" w:hAnsi="Arial"/>
                      <w:b/>
                      <w:bCs/>
                      <w:color w:val="FFFFFF"/>
                      <w:sz w:val="22"/>
                      <w:szCs w:val="22"/>
                    </w:rPr>
                    <w:t xml:space="preserve">▲ 8.0</w:t>
                  </w:r>
                </w:p>
              </w:tc>
            </w:tr>
          </w:tbl>
          <w:p>
            <w:pPr>
              <w:spacing w:before="60" w:after="60"/>
            </w:pPr>
            <w:r>
              <w:t xml:space="preserve"/>
            </w:r>
          </w:p>
          <w:p>
            <w:pPr>
              <w:spacing w:before="0" w:after="30"/>
            </w:pPr>
            <w:r>
              <w:rPr>
                <w:rFonts w:ascii="Arial" w:cs="Arial" w:eastAsia="Arial" w:hAnsi="Arial"/>
                <w:b/>
                <w:bCs/>
                <w:caps/>
                <w:color w:val="7B5000"/>
                <w:spacing w:val="80"/>
                <w:sz w:val="17"/>
                <w:szCs w:val="17"/>
              </w:rPr>
              <w:t xml:space="preserve">[ METHODOLOGY PIVOT ]</w:t>
            </w:r>
          </w:p>
          <w:p>
            <w:pPr>
              <w:spacing w:before="0" w:after="120"/>
            </w:pPr>
            <w:r>
              <w:rPr>
                <w:rFonts w:ascii="Arial" w:cs="Arial" w:eastAsia="Arial" w:hAnsi="Arial"/>
                <w:b/>
                <w:bCs/>
                <w:color w:val="1A1A2A"/>
                <w:sz w:val="21"/>
                <w:szCs w:val="21"/>
              </w:rPr>
              <w:t xml:space="preserve">Motivation: </w:t>
            </w:r>
            <w:r>
              <w:rPr>
                <w:rFonts w:ascii="Georgia" w:cs="Georgia" w:eastAsia="Georgia" w:hAnsi="Georgia"/>
                <w:color w:val="1A1A2A"/>
                <w:sz w:val="21"/>
                <w:szCs w:val="21"/>
              </w:rPr>
              <w:t xml:space="preserve">CulturePark uses multi-agent communication to generate culturally diverse datasets. Agents with different cultural backgrounds debate, producing diverse, high-quality cultural outputs. The methodology scales cultural data generation beyond what annotation alone can achieve.</w:t>
            </w:r>
          </w:p>
          <w:p>
            <w:pPr>
              <w:spacing w:before="0" w:after="120"/>
            </w:pPr>
            <w:r>
              <w:rPr>
                <w:rFonts w:ascii="Arial" w:cs="Arial" w:eastAsia="Arial" w:hAnsi="Arial"/>
                <w:b/>
                <w:bCs/>
                <w:color w:val="1A1A2A"/>
                <w:sz w:val="21"/>
                <w:szCs w:val="21"/>
              </w:rPr>
              <w:t xml:space="preserve">Approach: </w:t>
            </w:r>
            <w:r>
              <w:rPr>
                <w:rFonts w:ascii="Georgia" w:cs="Georgia" w:eastAsia="Georgia" w:hAnsi="Georgia"/>
                <w:color w:val="1A1A2A"/>
                <w:sz w:val="21"/>
                <w:szCs w:val="21"/>
              </w:rPr>
              <w:t xml:space="preserve">Build an African oral tradition discourse generation system using the CulturePark architecture. Agents represent different Yoruba discourse registers (elder, trader, community leader, young professional). Given a scenario, they generate explanations in authentic register. Community advisors validate output quality. The generated corpus becomes training data AND a benchmark for discourse-native AI.</w:t>
            </w:r>
          </w:p>
          <w:p>
            <w:pPr>
              <w:spacing w:before="0" w:after="80"/>
            </w:pPr>
            <w:r>
              <w:rPr>
                <w:rFonts w:ascii="Arial" w:cs="Arial" w:eastAsia="Arial" w:hAnsi="Arial"/>
                <w:b/>
                <w:bCs/>
                <w:color w:val="1A1A2A"/>
                <w:sz w:val="21"/>
                <w:szCs w:val="21"/>
              </w:rPr>
              <w:t xml:space="preserve">Contributions: </w:t>
            </w:r>
            <w:r>
              <w:rPr>
                <w:rFonts w:ascii="Georgia" w:cs="Georgia" w:eastAsia="Georgia" w:hAnsi="Georgia"/>
                <w:color w:val="1A1A2A"/>
                <w:sz w:val="21"/>
                <w:szCs w:val="21"/>
              </w:rPr>
              <w:t xml:space="preserve">(1) Scalable method for creating discourse-native African language data. (2) Multi-agent architecture that encodes register knowledge structurally, not just in prompts. (3) Produces research output (the corpus) AND infrastructure (the system). (4) Directly citable: extends CulturePark to sub-Saharan Africa.</w:t>
            </w:r>
          </w:p>
          <w:p>
            <w:pPr>
              <w:spacing w:before="0" w:after="60"/>
            </w:pPr>
            <w:r>
              <w:rPr>
                <w:rFonts w:ascii="Arial" w:cs="Arial" w:eastAsia="Arial" w:hAnsi="Arial"/>
                <w:b/>
                <w:bCs/>
                <w:color w:val="555566"/>
                <w:sz w:val="18"/>
                <w:szCs w:val="18"/>
              </w:rPr>
              <w:t xml:space="preserve">Key papers: </w:t>
            </w:r>
            <w:r>
              <w:rPr>
                <w:rFonts w:ascii="Arial" w:cs="Arial" w:eastAsia="Arial" w:hAnsi="Arial"/>
                <w:i/>
                <w:iCs/>
                <w:color w:val="555566"/>
                <w:sz w:val="18"/>
                <w:szCs w:val="18"/>
              </w:rPr>
              <w:t xml:space="preserve">CulturePark (OpenReview); Li et al. CultureLLM 2024; Owomoyela 2005; Ki et al. MACD 2025</w:t>
            </w:r>
          </w:p>
          <w:p>
            <w:pPr>
              <w:spacing w:before="0" w:after="0"/>
            </w:pPr>
            <w:r>
              <w:rPr>
                <w:rFonts w:ascii="Arial" w:cs="Arial" w:eastAsia="Arial" w:hAnsi="Arial"/>
                <w:b/>
                <w:bCs/>
                <w:color w:val="7A0000"/>
                <w:sz w:val="18"/>
                <w:szCs w:val="18"/>
              </w:rPr>
              <w:t xml:space="preserve">Primary risk: </w:t>
            </w:r>
            <w:r>
              <w:rPr>
                <w:rFonts w:ascii="Arial" w:cs="Arial" w:eastAsia="Arial" w:hAnsi="Arial"/>
                <w:color w:val="7A0000"/>
                <w:sz w:val="18"/>
                <w:szCs w:val="18"/>
              </w:rPr>
              <w:t xml:space="preserve">Agent role design requires deep community consultation. Risk of homogenizing diverse Yoruba registers into stereotyped positions.</w:t>
            </w:r>
          </w:p>
        </w:tc>
      </w:tr>
    </w:tbl>
    <w:p>
      <w:pPr>
        <w:spacing w:before="60" w:after="60"/>
      </w:pPr>
      <w:r>
        <w:t xml:space="preserve"/>
      </w:r>
    </w:p>
    <w:p>
      <w:pPr>
        <w:pBdr>
          <w:bottom w:val="single" w:color="1F4E79" w:sz="6" w:space="4"/>
        </w:pBdr>
        <w:spacing w:before="400" w:after="60"/>
      </w:pPr>
      <w:r>
        <w:rPr>
          <w:rFonts w:ascii="Arial" w:cs="Arial" w:eastAsia="Arial" w:hAnsi="Arial"/>
          <w:b/>
          <w:bCs/>
          <w:caps/>
          <w:color w:val="1F4E79"/>
          <w:spacing w:val="120"/>
          <w:sz w:val="17"/>
          <w:szCs w:val="17"/>
        </w:rPr>
        <w:t xml:space="preserve">Pathway D — Cross-Field Synthesis: Three Bridges Nobody Has Built</w:t>
      </w:r>
    </w:p>
    <w:p>
      <w:pPr>
        <w:spacing w:before="60" w:after="60"/>
      </w:pPr>
      <w:r>
        <w:t xml:space="preserve"/>
      </w:r>
    </w:p>
    <w:p>
      <w:pPr>
        <w:spacing w:before="0" w:after="200" w:line="286"/>
      </w:pPr>
      <w:r>
        <w:rPr>
          <w:rFonts w:ascii="Georgia" w:cs="Georgia" w:eastAsia="Georgia" w:hAnsi="Georgia"/>
          <w:color w:val="1A1A2A"/>
          <w:sz w:val="24"/>
          <w:szCs w:val="24"/>
        </w:rPr>
        <w:t xml:space="preserve">The most important cross-field insights emerged from mapping the narrative theory-LLM literature, the simulation semantics literature, and the agentic AI literature against the African oral tradition scholarship. None of the three combinations exists in the literature. All three are buildable.</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1F4E79" w:sz="12"/>
              <w:left w:val="single" w:color="DDDDDD" w:sz="2"/>
              <w:bottom w:val="single" w:color="DDDDDD" w:sz="2"/>
              <w:right w:val="single" w:color="DDDDDD" w:sz="2"/>
            </w:tcBorders>
            <w:shd w:fill="FAFAFA" w:val="clear"/>
            <w:tcMar>
              <w:top w:type="dxa" w:w="180"/>
              <w:left w:type="dxa" w:w="280"/>
              <w:bottom w:type="dxa" w:w="180"/>
              <w:right w:type="dxa" w:w="280"/>
            </w:tcMar>
          </w:tcPr>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2600"/>
              <w:gridCol w:w="1370"/>
              <w:gridCol w:w="1370"/>
              <w:gridCol w:w="1370"/>
              <w:gridCol w:w="1370"/>
            </w:tblGrid>
            <w:tr>
              <w:tc>
                <w:tcPr>
                  <w:tcW w:type="dxa" w:w="26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999999"/>
                      <w:sz w:val="16"/>
                      <w:szCs w:val="16"/>
                    </w:rPr>
                    <w:t xml:space="preserve">#4  </w:t>
                  </w:r>
                  <w:r>
                    <w:rPr>
                      <w:rFonts w:ascii="Arial" w:cs="Arial" w:eastAsia="Arial" w:hAnsi="Arial"/>
                      <w:b/>
                      <w:bCs/>
                      <w:color w:val="1F4E79"/>
                      <w:sz w:val="22"/>
                      <w:szCs w:val="22"/>
                    </w:rPr>
                    <w:t xml:space="preserve">Bergen Simulation Test: African Proverb vs. Western Hypothetical</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N: 9.5</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F: 7.5</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I: 8.5</w:t>
                  </w:r>
                </w:p>
              </w:tc>
              <w:tc>
                <w:tcPr>
                  <w:tcW w:type="dxa" w:w="1370"/>
                  <w:tcBorders>
                    <w:top w:val="none" w:color="FFFFFF" w:sz="0"/>
                    <w:left w:val="single" w:color="DDDDDD" w:sz="4"/>
                    <w:bottom w:val="none" w:color="FFFFFF" w:sz="0"/>
                    <w:right w:val="none" w:color="FFFFFF" w:sz="0"/>
                  </w:tcBorders>
                  <w:shd w:fill="1F4E79" w:val="clear"/>
                  <w:tcMar>
                    <w:top w:type="dxa" w:w="40"/>
                    <w:left w:type="dxa" w:w="80"/>
                    <w:bottom w:type="dxa" w:w="40"/>
                    <w:right w:type="dxa" w:w="80"/>
                  </w:tcMar>
                </w:tcPr>
                <w:p>
                  <w:pPr>
                    <w:jc w:val="center"/>
                  </w:pPr>
                  <w:r>
                    <w:rPr>
                      <w:rFonts w:ascii="Arial" w:cs="Arial" w:eastAsia="Arial" w:hAnsi="Arial"/>
                      <w:b/>
                      <w:bCs/>
                      <w:color w:val="FFFFFF"/>
                      <w:sz w:val="22"/>
                      <w:szCs w:val="22"/>
                    </w:rPr>
                    <w:t xml:space="preserve">▲ 8.8</w:t>
                  </w:r>
                </w:p>
              </w:tc>
            </w:tr>
          </w:tbl>
          <w:p>
            <w:pPr>
              <w:spacing w:before="60" w:after="60"/>
            </w:pPr>
            <w:r>
              <w:t xml:space="preserve"/>
            </w:r>
          </w:p>
          <w:p>
            <w:pPr>
              <w:spacing w:before="0" w:after="30"/>
            </w:pPr>
            <w:r>
              <w:rPr>
                <w:rFonts w:ascii="Arial" w:cs="Arial" w:eastAsia="Arial" w:hAnsi="Arial"/>
                <w:b/>
                <w:bCs/>
                <w:caps/>
                <w:color w:val="1F4E79"/>
                <w:spacing w:val="80"/>
                <w:sz w:val="17"/>
                <w:szCs w:val="17"/>
              </w:rPr>
              <w:t xml:space="preserve">[ CROSS-FIELD SYNTHESIS ]</w:t>
            </w:r>
          </w:p>
          <w:p>
            <w:pPr>
              <w:spacing w:before="0" w:after="120"/>
            </w:pPr>
            <w:r>
              <w:rPr>
                <w:rFonts w:ascii="Arial" w:cs="Arial" w:eastAsia="Arial" w:hAnsi="Arial"/>
                <w:b/>
                <w:bCs/>
                <w:color w:val="1A1A2A"/>
                <w:sz w:val="21"/>
                <w:szCs w:val="21"/>
              </w:rPr>
              <w:t xml:space="preserve">Motivation: </w:t>
            </w:r>
            <w:r>
              <w:rPr>
                <w:rFonts w:ascii="Georgia" w:cs="Georgia" w:eastAsia="Georgia" w:hAnsi="Georgia"/>
                <w:color w:val="1A1A2A"/>
                <w:sz w:val="21"/>
                <w:szCs w:val="21"/>
              </w:rPr>
              <w:t xml:space="preserve">Bergen’s simulation semantics has never been tested cross-culturally with African oral tradition material. Jones, Trott &amp; Bergen (2024) found MLLMs cannot fully replicate human simulation behavior. But all of Bergen’s human experiments used WEIRD subjects. The question — does Yoruba proverb comprehension show a simulation advantage over constructed hypotheticals? — has never been asked.</w:t>
            </w:r>
          </w:p>
          <w:p>
            <w:pPr>
              <w:spacing w:before="0" w:after="120"/>
            </w:pPr>
            <w:r>
              <w:rPr>
                <w:rFonts w:ascii="Arial" w:cs="Arial" w:eastAsia="Arial" w:hAnsi="Arial"/>
                <w:b/>
                <w:bCs/>
                <w:color w:val="1A1A2A"/>
                <w:sz w:val="21"/>
                <w:szCs w:val="21"/>
              </w:rPr>
              <w:t xml:space="preserve">Approach: </w:t>
            </w:r>
            <w:r>
              <w:rPr>
                <w:rFonts w:ascii="Georgia" w:cs="Georgia" w:eastAsia="Georgia" w:hAnsi="Georgia"/>
                <w:color w:val="1A1A2A"/>
                <w:sz w:val="21"/>
                <w:szCs w:val="21"/>
              </w:rPr>
              <w:t xml:space="preserve">Two-group experiment: Yoruba-dominant speakers read matched explanations (proverb-close vs. hypothetical-close) while cognitive effort is tracked (reading time, eye-tracking where available, subjective effort rating). Primary outcome: does the proverb condition show reduced cognitive effort and enhanced retention consistent with simulation semantics predictions? Secondary: compare human results to MLLM behavior on the same stimuli, using Bergen et al. 2024’s experimental protocol.</w:t>
            </w:r>
          </w:p>
          <w:p>
            <w:pPr>
              <w:spacing w:before="0" w:after="80"/>
            </w:pPr>
            <w:r>
              <w:rPr>
                <w:rFonts w:ascii="Arial" w:cs="Arial" w:eastAsia="Arial" w:hAnsi="Arial"/>
                <w:b/>
                <w:bCs/>
                <w:color w:val="1A1A2A"/>
                <w:sz w:val="21"/>
                <w:szCs w:val="21"/>
              </w:rPr>
              <w:t xml:space="preserve">Contributions: </w:t>
            </w:r>
            <w:r>
              <w:rPr>
                <w:rFonts w:ascii="Georgia" w:cs="Georgia" w:eastAsia="Georgia" w:hAnsi="Georgia"/>
                <w:color w:val="1A1A2A"/>
                <w:sz w:val="21"/>
                <w:szCs w:val="21"/>
              </w:rPr>
              <w:t xml:space="preserve">(1) First test of Bergen’s simulation semantics with African language material. (2) Bridges cognitive linguistics and African NLP — a bridge that has not been built. (3) Directly publishable in Cognition, Psychological Science, or Language. (4) Provides theoretical grounding for every claim in the five-week series.</w:t>
            </w:r>
          </w:p>
          <w:p>
            <w:pPr>
              <w:spacing w:before="0" w:after="60"/>
            </w:pPr>
            <w:r>
              <w:rPr>
                <w:rFonts w:ascii="Arial" w:cs="Arial" w:eastAsia="Arial" w:hAnsi="Arial"/>
                <w:b/>
                <w:bCs/>
                <w:color w:val="555566"/>
                <w:sz w:val="18"/>
                <w:szCs w:val="18"/>
              </w:rPr>
              <w:t xml:space="preserve">Key papers: </w:t>
            </w:r>
            <w:r>
              <w:rPr>
                <w:rFonts w:ascii="Arial" w:cs="Arial" w:eastAsia="Arial" w:hAnsi="Arial"/>
                <w:i/>
                <w:iCs/>
                <w:color w:val="555566"/>
                <w:sz w:val="18"/>
                <w:szCs w:val="18"/>
              </w:rPr>
              <w:t xml:space="preserve">Bergen 2012; Jones, Trott &amp; Bergen, Computational Linguistics 2024; Ehineni 2016; Owomoyela 2005; Pelkey 2023</w:t>
            </w:r>
          </w:p>
          <w:p>
            <w:pPr>
              <w:spacing w:before="0" w:after="0"/>
            </w:pPr>
            <w:r>
              <w:rPr>
                <w:rFonts w:ascii="Arial" w:cs="Arial" w:eastAsia="Arial" w:hAnsi="Arial"/>
                <w:b/>
                <w:bCs/>
                <w:color w:val="7A0000"/>
                <w:sz w:val="18"/>
                <w:szCs w:val="18"/>
              </w:rPr>
              <w:t xml:space="preserve">Primary risk: </w:t>
            </w:r>
            <w:r>
              <w:rPr>
                <w:rFonts w:ascii="Arial" w:cs="Arial" w:eastAsia="Arial" w:hAnsi="Arial"/>
                <w:color w:val="7A0000"/>
                <w:sz w:val="18"/>
                <w:szCs w:val="18"/>
              </w:rPr>
              <w:t xml:space="preserve">Requires cognitive science collaborator and lab infrastructure (eye-tracking optimal but not essential). Core study is doable without eye-tracking.</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1F4E79" w:sz="12"/>
              <w:left w:val="single" w:color="DDDDDD" w:sz="2"/>
              <w:bottom w:val="single" w:color="DDDDDD" w:sz="2"/>
              <w:right w:val="single" w:color="DDDDDD" w:sz="2"/>
            </w:tcBorders>
            <w:shd w:fill="FAFAFA" w:val="clear"/>
            <w:tcMar>
              <w:top w:type="dxa" w:w="180"/>
              <w:left w:type="dxa" w:w="280"/>
              <w:bottom w:type="dxa" w:w="180"/>
              <w:right w:type="dxa" w:w="280"/>
            </w:tcMar>
          </w:tcPr>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2600"/>
              <w:gridCol w:w="1370"/>
              <w:gridCol w:w="1370"/>
              <w:gridCol w:w="1370"/>
              <w:gridCol w:w="1370"/>
            </w:tblGrid>
            <w:tr>
              <w:tc>
                <w:tcPr>
                  <w:tcW w:type="dxa" w:w="26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999999"/>
                      <w:sz w:val="16"/>
                      <w:szCs w:val="16"/>
                    </w:rPr>
                    <w:t xml:space="preserve">#5  </w:t>
                  </w:r>
                  <w:r>
                    <w:rPr>
                      <w:rFonts w:ascii="Arial" w:cs="Arial" w:eastAsia="Arial" w:hAnsi="Arial"/>
                      <w:b/>
                      <w:bCs/>
                      <w:color w:val="1F4E79"/>
                      <w:sz w:val="22"/>
                      <w:szCs w:val="22"/>
                    </w:rPr>
                    <w:t xml:space="preserve">Human-Centered African NLP: First CHI-Grade Study for Yoruba</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N: 9.0</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F: 8.0</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I: 9.0</w:t>
                  </w:r>
                </w:p>
              </w:tc>
              <w:tc>
                <w:tcPr>
                  <w:tcW w:type="dxa" w:w="1370"/>
                  <w:tcBorders>
                    <w:top w:val="none" w:color="FFFFFF" w:sz="0"/>
                    <w:left w:val="single" w:color="DDDDDD" w:sz="4"/>
                    <w:bottom w:val="none" w:color="FFFFFF" w:sz="0"/>
                    <w:right w:val="none" w:color="FFFFFF" w:sz="0"/>
                  </w:tcBorders>
                  <w:shd w:fill="1F4E79" w:val="clear"/>
                  <w:tcMar>
                    <w:top w:type="dxa" w:w="40"/>
                    <w:left w:type="dxa" w:w="80"/>
                    <w:bottom w:type="dxa" w:w="40"/>
                    <w:right w:type="dxa" w:w="80"/>
                  </w:tcMar>
                </w:tcPr>
                <w:p>
                  <w:pPr>
                    <w:jc w:val="center"/>
                  </w:pPr>
                  <w:r>
                    <w:rPr>
                      <w:rFonts w:ascii="Arial" w:cs="Arial" w:eastAsia="Arial" w:hAnsi="Arial"/>
                      <w:b/>
                      <w:bCs/>
                      <w:color w:val="FFFFFF"/>
                      <w:sz w:val="22"/>
                      <w:szCs w:val="22"/>
                    </w:rPr>
                    <w:t xml:space="preserve">▲ 9.0</w:t>
                  </w:r>
                </w:p>
              </w:tc>
            </w:tr>
          </w:tbl>
          <w:p>
            <w:pPr>
              <w:spacing w:before="60" w:after="60"/>
            </w:pPr>
            <w:r>
              <w:t xml:space="preserve"/>
            </w:r>
          </w:p>
          <w:p>
            <w:pPr>
              <w:spacing w:before="0" w:after="30"/>
            </w:pPr>
            <w:r>
              <w:rPr>
                <w:rFonts w:ascii="Arial" w:cs="Arial" w:eastAsia="Arial" w:hAnsi="Arial"/>
                <w:b/>
                <w:bCs/>
                <w:caps/>
                <w:color w:val="1F4E79"/>
                <w:spacing w:val="80"/>
                <w:sz w:val="17"/>
                <w:szCs w:val="17"/>
              </w:rPr>
              <w:t xml:space="preserve">[ CROSS-FIELD SYNTHESIS ]</w:t>
            </w:r>
          </w:p>
          <w:p>
            <w:pPr>
              <w:spacing w:before="0" w:after="120"/>
            </w:pPr>
            <w:r>
              <w:rPr>
                <w:rFonts w:ascii="Arial" w:cs="Arial" w:eastAsia="Arial" w:hAnsi="Arial"/>
                <w:b/>
                <w:bCs/>
                <w:color w:val="1A1A2A"/>
                <w:sz w:val="21"/>
                <w:szCs w:val="21"/>
              </w:rPr>
              <w:t xml:space="preserve">Motivation: </w:t>
            </w:r>
            <w:r>
              <w:rPr>
                <w:rFonts w:ascii="Georgia" w:cs="Georgia" w:eastAsia="Georgia" w:hAnsi="Georgia"/>
                <w:color w:val="1A1A2A"/>
                <w:sz w:val="21"/>
                <w:szCs w:val="21"/>
              </w:rPr>
              <w:t xml:space="preserve">Only 6 CHI-relevant papers on African languages in five years. The HCI + African NLP bridge is almost completely unbuilt. This is the most open real estate in the entire African AI literature.</w:t>
            </w:r>
          </w:p>
          <w:p>
            <w:pPr>
              <w:spacing w:before="0" w:after="120"/>
            </w:pPr>
            <w:r>
              <w:rPr>
                <w:rFonts w:ascii="Arial" w:cs="Arial" w:eastAsia="Arial" w:hAnsi="Arial"/>
                <w:b/>
                <w:bCs/>
                <w:color w:val="1A1A2A"/>
                <w:sz w:val="21"/>
                <w:szCs w:val="21"/>
              </w:rPr>
              <w:t xml:space="preserve">Approach: </w:t>
            </w:r>
            <w:r>
              <w:rPr>
                <w:rFonts w:ascii="Georgia" w:cs="Georgia" w:eastAsia="Georgia" w:hAnsi="Georgia"/>
                <w:color w:val="1A1A2A"/>
                <w:sz w:val="21"/>
                <w:szCs w:val="21"/>
              </w:rPr>
              <w:t xml:space="preserve">Design a CHI-ready study following Agarwal et al.’s methodology: recruit Yoruba-dominant speakers, have them complete real tasks (write a business plan, explain a health condition, resolve a financial dispute) using two AI conditions (standard vs. discourse-native). Measure task completion quality, user modifications, cognitive effort, and post-task trust ratings. Submit to CHI 2027.</w:t>
            </w:r>
          </w:p>
          <w:p>
            <w:pPr>
              <w:spacing w:before="0" w:after="80"/>
            </w:pPr>
            <w:r>
              <w:rPr>
                <w:rFonts w:ascii="Arial" w:cs="Arial" w:eastAsia="Arial" w:hAnsi="Arial"/>
                <w:b/>
                <w:bCs/>
                <w:color w:val="1A1A2A"/>
                <w:sz w:val="21"/>
                <w:szCs w:val="21"/>
              </w:rPr>
              <w:t xml:space="preserve">Contributions: </w:t>
            </w:r>
            <w:r>
              <w:rPr>
                <w:rFonts w:ascii="Georgia" w:cs="Georgia" w:eastAsia="Georgia" w:hAnsi="Georgia"/>
                <w:color w:val="1A1A2A"/>
                <w:sz w:val="21"/>
                <w:szCs w:val="21"/>
              </w:rPr>
              <w:t xml:space="preserve">(1) First CHI paper on discourse-native AI for African languages. (2) Connects African NLP to HCI community — a new citation network. (3) Practical outcomes applicable to product design. (4) Positions this research programme in both NLP and HCI venues.</w:t>
            </w:r>
          </w:p>
          <w:p>
            <w:pPr>
              <w:spacing w:before="0" w:after="60"/>
            </w:pPr>
            <w:r>
              <w:rPr>
                <w:rFonts w:ascii="Arial" w:cs="Arial" w:eastAsia="Arial" w:hAnsi="Arial"/>
                <w:b/>
                <w:bCs/>
                <w:color w:val="555566"/>
                <w:sz w:val="18"/>
                <w:szCs w:val="18"/>
              </w:rPr>
              <w:t xml:space="preserve">Key papers: </w:t>
            </w:r>
            <w:r>
              <w:rPr>
                <w:rFonts w:ascii="Arial" w:cs="Arial" w:eastAsia="Arial" w:hAnsi="Arial"/>
                <w:i/>
                <w:iCs/>
                <w:color w:val="555566"/>
                <w:sz w:val="18"/>
                <w:szCs w:val="18"/>
              </w:rPr>
              <w:t xml:space="preserve">Agarwal, Naaman &amp; Vashistha CHI 2025; Alabi et al. EMNLP 2025; Soni et al. 2024 (human-centric NLP); Adelani et al. 2024</w:t>
            </w:r>
          </w:p>
          <w:p>
            <w:pPr>
              <w:spacing w:before="0" w:after="0"/>
            </w:pPr>
            <w:r>
              <w:rPr>
                <w:rFonts w:ascii="Arial" w:cs="Arial" w:eastAsia="Arial" w:hAnsi="Arial"/>
                <w:b/>
                <w:bCs/>
                <w:color w:val="7A0000"/>
                <w:sz w:val="18"/>
                <w:szCs w:val="18"/>
              </w:rPr>
              <w:t xml:space="preserve">Primary risk: </w:t>
            </w:r>
            <w:r>
              <w:rPr>
                <w:rFonts w:ascii="Arial" w:cs="Arial" w:eastAsia="Arial" w:hAnsi="Arial"/>
                <w:color w:val="7A0000"/>
                <w:sz w:val="18"/>
                <w:szCs w:val="18"/>
              </w:rPr>
              <w:t xml:space="preserve">CHI requires user study ethics approval, participant compensation, and HCI co-author. Timeline is 18 months minimum.</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1F4E79" w:sz="12"/>
              <w:left w:val="single" w:color="DDDDDD" w:sz="2"/>
              <w:bottom w:val="single" w:color="DDDDDD" w:sz="2"/>
              <w:right w:val="single" w:color="DDDDDD" w:sz="2"/>
            </w:tcBorders>
            <w:shd w:fill="FAFAFA" w:val="clear"/>
            <w:tcMar>
              <w:top w:type="dxa" w:w="180"/>
              <w:left w:type="dxa" w:w="280"/>
              <w:bottom w:type="dxa" w:w="180"/>
              <w:right w:type="dxa" w:w="280"/>
            </w:tcMar>
          </w:tcPr>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2600"/>
              <w:gridCol w:w="1370"/>
              <w:gridCol w:w="1370"/>
              <w:gridCol w:w="1370"/>
              <w:gridCol w:w="1370"/>
            </w:tblGrid>
            <w:tr>
              <w:tc>
                <w:tcPr>
                  <w:tcW w:type="dxa" w:w="26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999999"/>
                      <w:sz w:val="16"/>
                      <w:szCs w:val="16"/>
                    </w:rPr>
                    <w:t xml:space="preserve">#17  </w:t>
                  </w:r>
                  <w:r>
                    <w:rPr>
                      <w:rFonts w:ascii="Arial" w:cs="Arial" w:eastAsia="Arial" w:hAnsi="Arial"/>
                      <w:b/>
                      <w:bCs/>
                      <w:color w:val="1F4E79"/>
                      <w:sz w:val="22"/>
                      <w:szCs w:val="22"/>
                    </w:rPr>
                    <w:t xml:space="preserve">Narrative Theory-LLM: Oral Histoire-Discourse System for Yoruba</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N: 8.0</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F: 6.5</w:t>
                  </w:r>
                </w:p>
              </w:tc>
              <w:tc>
                <w:tcPr>
                  <w:tcW w:type="dxa" w:w="1370"/>
                  <w:tcBorders>
                    <w:top w:val="none" w:color="FFFFFF" w:sz="0"/>
                    <w:left w:val="single" w:color="DDDDDD" w:sz="4"/>
                    <w:bottom w:val="none" w:color="FFFFFF" w:sz="0"/>
                    <w:right w:val="none" w:color="FFFFFF" w:sz="0"/>
                  </w:tcBorders>
                  <w:shd w:fill="F5F5F5" w:val="clear"/>
                  <w:tcMar>
                    <w:top w:type="dxa" w:w="40"/>
                    <w:left w:type="dxa" w:w="80"/>
                    <w:bottom w:type="dxa" w:w="40"/>
                    <w:right w:type="dxa" w:w="80"/>
                  </w:tcMar>
                </w:tcPr>
                <w:p>
                  <w:pPr>
                    <w:jc w:val="center"/>
                  </w:pPr>
                  <w:r>
                    <w:rPr>
                      <w:rFonts w:ascii="Arial" w:cs="Arial" w:eastAsia="Arial" w:hAnsi="Arial"/>
                      <w:b/>
                      <w:bCs/>
                      <w:color w:val="555566"/>
                      <w:sz w:val="18"/>
                      <w:szCs w:val="18"/>
                    </w:rPr>
                    <w:t xml:space="preserve">I: 8.0</w:t>
                  </w:r>
                </w:p>
              </w:tc>
              <w:tc>
                <w:tcPr>
                  <w:tcW w:type="dxa" w:w="1370"/>
                  <w:tcBorders>
                    <w:top w:val="none" w:color="FFFFFF" w:sz="0"/>
                    <w:left w:val="single" w:color="DDDDDD" w:sz="4"/>
                    <w:bottom w:val="none" w:color="FFFFFF" w:sz="0"/>
                    <w:right w:val="none" w:color="FFFFFF" w:sz="0"/>
                  </w:tcBorders>
                  <w:shd w:fill="1F4E79" w:val="clear"/>
                  <w:tcMar>
                    <w:top w:type="dxa" w:w="40"/>
                    <w:left w:type="dxa" w:w="80"/>
                    <w:bottom w:type="dxa" w:w="40"/>
                    <w:right w:type="dxa" w:w="80"/>
                  </w:tcMar>
                </w:tcPr>
                <w:p>
                  <w:pPr>
                    <w:jc w:val="center"/>
                  </w:pPr>
                  <w:r>
                    <w:rPr>
                      <w:rFonts w:ascii="Arial" w:cs="Arial" w:eastAsia="Arial" w:hAnsi="Arial"/>
                      <w:b/>
                      <w:bCs/>
                      <w:color w:val="FFFFFF"/>
                      <w:sz w:val="22"/>
                      <w:szCs w:val="22"/>
                    </w:rPr>
                    <w:t xml:space="preserve">▲ 7.65</w:t>
                  </w:r>
                </w:p>
              </w:tc>
            </w:tr>
          </w:tbl>
          <w:p>
            <w:pPr>
              <w:spacing w:before="60" w:after="60"/>
            </w:pPr>
            <w:r>
              <w:t xml:space="preserve"/>
            </w:r>
          </w:p>
          <w:p>
            <w:pPr>
              <w:spacing w:before="0" w:after="30"/>
            </w:pPr>
            <w:r>
              <w:rPr>
                <w:rFonts w:ascii="Arial" w:cs="Arial" w:eastAsia="Arial" w:hAnsi="Arial"/>
                <w:b/>
                <w:bCs/>
                <w:caps/>
                <w:color w:val="1F4E79"/>
                <w:spacing w:val="80"/>
                <w:sz w:val="17"/>
                <w:szCs w:val="17"/>
              </w:rPr>
              <w:t xml:space="preserve">[ CROSS-FIELD SYNTHESIS ]</w:t>
            </w:r>
          </w:p>
          <w:p>
            <w:pPr>
              <w:spacing w:before="0" w:after="120"/>
            </w:pPr>
            <w:r>
              <w:rPr>
                <w:rFonts w:ascii="Arial" w:cs="Arial" w:eastAsia="Arial" w:hAnsi="Arial"/>
                <w:b/>
                <w:bCs/>
                <w:color w:val="1A1A2A"/>
                <w:sz w:val="21"/>
                <w:szCs w:val="21"/>
              </w:rPr>
              <w:t xml:space="preserve">Motivation: </w:t>
            </w:r>
            <w:r>
              <w:rPr>
                <w:rFonts w:ascii="Georgia" w:cs="Georgia" w:eastAsia="Georgia" w:hAnsi="Georgia"/>
                <w:color w:val="1A1A2A"/>
                <w:sz w:val="21"/>
                <w:szCs w:val="21"/>
              </w:rPr>
              <w:t xml:space="preserve">Narrative theory-driven LLM research (arXiv 2602.15851) separates narrative into histoire (what happened) and discourse (how it is told). Yu et al. 2025 built a multi-agent system where character agents handle histoire and a narrator agent handles discourse. African oral tradition has an extraordinarily rich discourse layer — the griotic tradition, the discourse arc of Yoruba explanation, the role of the proverb as discourse-level crystallizer. This framework has never been applied.</w:t>
            </w:r>
          </w:p>
          <w:p>
            <w:pPr>
              <w:spacing w:before="0" w:after="120"/>
            </w:pPr>
            <w:r>
              <w:rPr>
                <w:rFonts w:ascii="Arial" w:cs="Arial" w:eastAsia="Arial" w:hAnsi="Arial"/>
                <w:b/>
                <w:bCs/>
                <w:color w:val="1A1A2A"/>
                <w:sz w:val="21"/>
                <w:szCs w:val="21"/>
              </w:rPr>
              <w:t xml:space="preserve">Approach: </w:t>
            </w:r>
            <w:r>
              <w:rPr>
                <w:rFonts w:ascii="Georgia" w:cs="Georgia" w:eastAsia="Georgia" w:hAnsi="Georgia"/>
                <w:color w:val="1A1A2A"/>
                <w:sz w:val="21"/>
                <w:szCs w:val="21"/>
              </w:rPr>
              <w:t xml:space="preserve">Build a Yoruba oral explanation generator that separates content agents (what to say) from discourse agents (how to say it in Yoruba oral tradition terms). The discourse agent holds the Proverb Activation Library ontology and makes structural decisions: story opening, community reference, proverb selection, crystallization point. Evaluate against human-generated explanations on fluency and discourse-appropriateness.</w:t>
            </w:r>
          </w:p>
          <w:p>
            <w:pPr>
              <w:spacing w:before="0" w:after="80"/>
            </w:pPr>
            <w:r>
              <w:rPr>
                <w:rFonts w:ascii="Arial" w:cs="Arial" w:eastAsia="Arial" w:hAnsi="Arial"/>
                <w:b/>
                <w:bCs/>
                <w:color w:val="1A1A2A"/>
                <w:sz w:val="21"/>
                <w:szCs w:val="21"/>
              </w:rPr>
              <w:t xml:space="preserve">Contributions: </w:t>
            </w:r>
            <w:r>
              <w:rPr>
                <w:rFonts w:ascii="Georgia" w:cs="Georgia" w:eastAsia="Georgia" w:hAnsi="Georgia"/>
                <w:color w:val="1A1A2A"/>
                <w:sz w:val="21"/>
                <w:szCs w:val="21"/>
              </w:rPr>
              <w:t xml:space="preserve">(1) First application of histoire-discourse framework to African oral tradition. (2) Architectural proof of concept for the Week 5 multi-agent system. (3) Connects to emerging narrative AI literature with immediate citation opportunities.</w:t>
            </w:r>
          </w:p>
          <w:p>
            <w:pPr>
              <w:spacing w:before="0" w:after="60"/>
            </w:pPr>
            <w:r>
              <w:rPr>
                <w:rFonts w:ascii="Arial" w:cs="Arial" w:eastAsia="Arial" w:hAnsi="Arial"/>
                <w:b/>
                <w:bCs/>
                <w:color w:val="555566"/>
                <w:sz w:val="18"/>
                <w:szCs w:val="18"/>
              </w:rPr>
              <w:t xml:space="preserve">Key papers: </w:t>
            </w:r>
            <w:r>
              <w:rPr>
                <w:rFonts w:ascii="Arial" w:cs="Arial" w:eastAsia="Arial" w:hAnsi="Arial"/>
                <w:i/>
                <w:iCs/>
                <w:color w:val="555566"/>
                <w:sz w:val="18"/>
                <w:szCs w:val="18"/>
              </w:rPr>
              <w:t xml:space="preserve">Narrative Theory-Driven LLMs (arXiv 2602.15851); Yu et al. 2025; Owomoyela 2005; Ehineni 2016; Ki et al. MACD arXiv:2601.12091</w:t>
            </w:r>
          </w:p>
          <w:p>
            <w:pPr>
              <w:spacing w:before="0" w:after="0"/>
            </w:pPr>
            <w:r>
              <w:rPr>
                <w:rFonts w:ascii="Arial" w:cs="Arial" w:eastAsia="Arial" w:hAnsi="Arial"/>
                <w:b/>
                <w:bCs/>
                <w:color w:val="7A0000"/>
                <w:sz w:val="18"/>
                <w:szCs w:val="18"/>
              </w:rPr>
              <w:t xml:space="preserve">Primary risk: </w:t>
            </w:r>
            <w:r>
              <w:rPr>
                <w:rFonts w:ascii="Arial" w:cs="Arial" w:eastAsia="Arial" w:hAnsi="Arial"/>
                <w:color w:val="7A0000"/>
                <w:sz w:val="18"/>
                <w:szCs w:val="18"/>
              </w:rPr>
              <w:t xml:space="preserve">Requires both narrative AI expertise and African discourse linguistics expertise — a rare combination. Strong case for interdisciplinary collaboration.</w:t>
            </w:r>
          </w:p>
        </w:tc>
      </w:tr>
    </w:tbl>
    <w:p>
      <w:pPr>
        <w:spacing w:before="60" w:after="60"/>
      </w:pPr>
      <w:r>
        <w:t xml:space="preserve"/>
      </w:r>
    </w:p>
    <w:p>
      <w:pPr>
        <w:pBdr>
          <w:bottom w:val="single" w:color="1F4E79" w:sz="6" w:space="4"/>
        </w:pBdr>
        <w:spacing w:before="400" w:after="60"/>
      </w:pPr>
      <w:r>
        <w:rPr>
          <w:rFonts w:ascii="Arial" w:cs="Arial" w:eastAsia="Arial" w:hAnsi="Arial"/>
          <w:b/>
          <w:bCs/>
          <w:caps/>
          <w:color w:val="1F4E79"/>
          <w:spacing w:val="120"/>
          <w:sz w:val="17"/>
          <w:szCs w:val="17"/>
        </w:rPr>
        <w:t xml:space="preserve">Execution Order — What to Build and When</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B5000" w:sz="16"/>
              <w:bottom w:val="none" w:color="FFFFFF" w:sz="0"/>
              <w:right w:val="none" w:color="FFFFFF" w:sz="0"/>
            </w:tcBorders>
            <w:shd w:fill="F9F9F9" w:val="clear"/>
            <w:tcMar>
              <w:top w:type="dxa" w:w="160"/>
              <w:left w:type="dxa" w:w="340"/>
              <w:bottom w:type="dxa" w:w="160"/>
              <w:right w:type="dxa" w:w="200"/>
            </w:tcMar>
          </w:tcPr>
          <w:p>
            <w:r>
              <w:rPr>
                <w:rFonts w:ascii="Georgia" w:cs="Georgia" w:eastAsia="Georgia" w:hAnsi="Georgia"/>
                <w:b/>
                <w:bCs/>
                <w:i/>
                <w:iCs/>
                <w:color w:val="7B5000"/>
                <w:sz w:val="28"/>
                <w:szCs w:val="28"/>
              </w:rPr>
              <w:t xml:space="preserve">The ideas in this document are not a wish list. They are a build sequence. The ontology unlocks the comprehension study. The comprehension study validates the ontology’s design choices. The methodology pivots produce output while the long-horizon studies run.</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1400"/>
        <w:gridCol w:w="1640"/>
      </w:tblGrid>
      <w:tr>
        <w:trPr>
          <w:tblHeader/>
        </w:trPr>
        <w:tc>
          <w:tcPr>
            <w:tcW w:type="dxa" w:w="1200"/>
            <w:tcBorders>
              <w:top w:val="single" w:color="DDDDDD" w:sz="1"/>
              <w:left w:val="single" w:color="DDDDDD" w:sz="1"/>
              <w:bottom w:val="single" w:color="DDDDDD" w:sz="1"/>
              <w:right w:val="single" w:color="DDDDDD"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When</w:t>
            </w:r>
          </w:p>
        </w:tc>
        <w:tc>
          <w:tcPr>
            <w:tcW w:type="dxa" w:w="26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Action</w:t>
            </w:r>
          </w:p>
        </w:tc>
        <w:tc>
          <w:tcPr>
            <w:tcW w:type="dxa" w:w="18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Unlocks</w:t>
            </w:r>
          </w:p>
        </w:tc>
        <w:tc>
          <w:tcPr>
            <w:tcW w:type="dxa" w:w="14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Target venue</w:t>
            </w:r>
          </w:p>
        </w:tc>
        <w:tc>
          <w:tcPr>
            <w:tcW w:type="dxa" w:w="1640"/>
            <w:tcBorders>
              <w:top w:val="single" w:color="DDDDDD" w:sz="1"/>
              <w:left w:val="single" w:color="DDDDDD" w:sz="1"/>
              <w:bottom w:val="single" w:color="DDDDDD" w:sz="1"/>
              <w:right w:val="single" w:color="DDDDDD" w:sz="1"/>
            </w:tcBorders>
            <w:shd w:fill="1F4E7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Priority</w:t>
            </w:r>
          </w:p>
        </w:tc>
      </w:tr>
      <w:tr>
        <w:tc>
          <w:tcPr>
            <w:tcW w:type="dxa" w:w="1200"/>
            <w:tcBorders>
              <w:top w:val="single" w:color="DDDDDD" w:sz="1"/>
              <w:left w:val="single" w:color="DDDDDD" w:sz="1"/>
              <w:bottom w:val="single" w:color="DDDDDD" w:sz="1"/>
              <w:right w:val="single" w:color="DDDDDD" w:sz="1"/>
            </w:tcBorders>
            <w:shd w:fill="005555" w:val="clear"/>
            <w:tcMar>
              <w:top w:type="dxa" w:w="90"/>
              <w:left w:type="dxa" w:w="100"/>
              <w:bottom w:type="dxa" w:w="90"/>
              <w:right w:type="dxa" w:w="100"/>
            </w:tcMar>
          </w:tcPr>
          <w:p>
            <w:r>
              <w:rPr>
                <w:rFonts w:ascii="Arial" w:cs="Arial" w:eastAsia="Arial" w:hAnsi="Arial"/>
                <w:b/>
                <w:bCs/>
                <w:color w:val="FFFFFF"/>
                <w:sz w:val="18"/>
                <w:szCs w:val="18"/>
              </w:rPr>
              <w:t xml:space="preserve">Now (Month 1–3)</w:t>
            </w:r>
          </w:p>
        </w:tc>
        <w:tc>
          <w:tcPr>
            <w:tcW w:type="dxa" w:w="260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pPr>
              <w:spacing w:before="0" w:after="0" w:line="270"/>
            </w:pPr>
            <w:r>
              <w:rPr>
                <w:rFonts w:ascii="Georgia" w:cs="Georgia" w:eastAsia="Georgia" w:hAnsi="Georgia"/>
                <w:color w:val="1A1A2A"/>
                <w:sz w:val="20"/>
                <w:szCs w:val="20"/>
              </w:rPr>
              <w:t xml:space="preserve">Reach out to CG-CoT authors (Stanford NLP): propose Proverb Deployment Ontology as natural extension of their future work</w:t>
            </w:r>
          </w:p>
        </w:tc>
        <w:tc>
          <w:tcPr>
            <w:tcW w:type="dxa" w:w="180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pPr>
              <w:spacing w:before="0" w:after="0" w:line="270"/>
            </w:pPr>
            <w:r>
              <w:rPr>
                <w:rFonts w:ascii="Arial" w:cs="Arial" w:eastAsia="Arial" w:hAnsi="Arial"/>
                <w:i/>
                <w:iCs/>
                <w:color w:val="555566"/>
                <w:sz w:val="18"/>
                <w:szCs w:val="18"/>
              </w:rPr>
              <w:t xml:space="preserve">Collaboration + shared credit</w:t>
            </w:r>
          </w:p>
        </w:tc>
        <w:tc>
          <w:tcPr>
            <w:tcW w:type="dxa" w:w="140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r>
              <w:rPr>
                <w:rFonts w:ascii="Arial" w:cs="Arial" w:eastAsia="Arial" w:hAnsi="Arial"/>
                <w:color w:val="1F4E79"/>
                <w:sz w:val="18"/>
                <w:szCs w:val="18"/>
              </w:rPr>
              <w:t xml:space="preserve">EMNLP / ACL 2026</w:t>
            </w:r>
          </w:p>
        </w:tc>
        <w:tc>
          <w:tcPr>
            <w:tcW w:type="dxa" w:w="1640"/>
            <w:tcBorders>
              <w:top w:val="single" w:color="DDDDDD" w:sz="1"/>
              <w:left w:val="single" w:color="DDDDDD" w:sz="1"/>
              <w:bottom w:val="single" w:color="DDDDDD" w:sz="1"/>
              <w:right w:val="single" w:color="DDDDDD" w:sz="1"/>
            </w:tcBorders>
            <w:shd w:fill="005555" w:val="clear"/>
            <w:tcMar>
              <w:top w:type="dxa" w:w="90"/>
              <w:left w:type="dxa" w:w="80"/>
              <w:bottom w:type="dxa" w:w="90"/>
              <w:right w:type="dxa" w:w="80"/>
            </w:tcMar>
          </w:tcPr>
          <w:p>
            <w:pPr>
              <w:jc w:val="center"/>
            </w:pPr>
            <w:r>
              <w:rPr>
                <w:rFonts w:ascii="Arial" w:cs="Arial" w:eastAsia="Arial" w:hAnsi="Arial"/>
                <w:b/>
                <w:bCs/>
                <w:color w:val="FFFFFF"/>
                <w:sz w:val="17"/>
                <w:szCs w:val="17"/>
              </w:rPr>
              <w:t xml:space="preserve">NOW</w:t>
            </w:r>
          </w:p>
        </w:tc>
      </w:tr>
      <w:tr>
        <w:tc>
          <w:tcPr>
            <w:tcW w:type="dxa" w:w="1200"/>
            <w:tcBorders>
              <w:top w:val="single" w:color="DDDDDD" w:sz="1"/>
              <w:left w:val="single" w:color="DDDDDD" w:sz="1"/>
              <w:bottom w:val="single" w:color="DDDDDD" w:sz="1"/>
              <w:right w:val="single" w:color="DDDDDD" w:sz="1"/>
            </w:tcBorders>
            <w:shd w:fill="005555" w:val="clear"/>
            <w:tcMar>
              <w:top w:type="dxa" w:w="90"/>
              <w:left w:type="dxa" w:w="100"/>
              <w:bottom w:type="dxa" w:w="90"/>
              <w:right w:type="dxa" w:w="100"/>
            </w:tcMar>
          </w:tcPr>
          <w:p>
            <w:r>
              <w:rPr>
                <w:rFonts w:ascii="Arial" w:cs="Arial" w:eastAsia="Arial" w:hAnsi="Arial"/>
                <w:b/>
                <w:bCs/>
                <w:color w:val="FFFFFF"/>
                <w:sz w:val="18"/>
                <w:szCs w:val="18"/>
              </w:rPr>
              <w:t xml:space="preserve">Now (Month 1–6)</w:t>
            </w:r>
          </w:p>
        </w:tc>
        <w:tc>
          <w:tcPr>
            <w:tcW w:type="dxa" w:w="26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0"/>
            </w:pPr>
            <w:r>
              <w:rPr>
                <w:rFonts w:ascii="Georgia" w:cs="Georgia" w:eastAsia="Georgia" w:hAnsi="Georgia"/>
                <w:color w:val="1A1A2A"/>
                <w:sz w:val="20"/>
                <w:szCs w:val="20"/>
              </w:rPr>
              <w:t xml:space="preserve">Build Proverb Activation Library: Owomoyela corpus + Ehineni annotation + community panels</w:t>
            </w:r>
          </w:p>
        </w:tc>
        <w:tc>
          <w:tcPr>
            <w:tcW w:type="dxa" w:w="18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0"/>
            </w:pPr>
            <w:r>
              <w:rPr>
                <w:rFonts w:ascii="Arial" w:cs="Arial" w:eastAsia="Arial" w:hAnsi="Arial"/>
                <w:i/>
                <w:iCs/>
                <w:color w:val="555566"/>
                <w:sz w:val="18"/>
                <w:szCs w:val="18"/>
              </w:rPr>
              <w:t xml:space="preserve">Unlocks ideas #1, 2, 3, 6, 8, 14, 18</w:t>
            </w:r>
          </w:p>
        </w:tc>
        <w:tc>
          <w:tcPr>
            <w:tcW w:type="dxa" w:w="14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color w:val="1F4E79"/>
                <w:sz w:val="18"/>
                <w:szCs w:val="18"/>
              </w:rPr>
              <w:t xml:space="preserve">LREC / AfricaNLP 2026</w:t>
            </w:r>
          </w:p>
        </w:tc>
        <w:tc>
          <w:tcPr>
            <w:tcW w:type="dxa" w:w="1640"/>
            <w:tcBorders>
              <w:top w:val="single" w:color="DDDDDD" w:sz="1"/>
              <w:left w:val="single" w:color="DDDDDD" w:sz="1"/>
              <w:bottom w:val="single" w:color="DDDDDD" w:sz="1"/>
              <w:right w:val="single" w:color="DDDDDD" w:sz="1"/>
            </w:tcBorders>
            <w:shd w:fill="005555" w:val="clear"/>
            <w:tcMar>
              <w:top w:type="dxa" w:w="90"/>
              <w:left w:type="dxa" w:w="80"/>
              <w:bottom w:type="dxa" w:w="90"/>
              <w:right w:type="dxa" w:w="80"/>
            </w:tcMar>
          </w:tcPr>
          <w:p>
            <w:pPr>
              <w:jc w:val="center"/>
            </w:pPr>
            <w:r>
              <w:rPr>
                <w:rFonts w:ascii="Arial" w:cs="Arial" w:eastAsia="Arial" w:hAnsi="Arial"/>
                <w:b/>
                <w:bCs/>
                <w:color w:val="FFFFFF"/>
                <w:sz w:val="17"/>
                <w:szCs w:val="17"/>
              </w:rPr>
              <w:t xml:space="preserve">NOW</w:t>
            </w:r>
          </w:p>
        </w:tc>
      </w:tr>
      <w:tr>
        <w:tc>
          <w:tcPr>
            <w:tcW w:type="dxa" w:w="1200"/>
            <w:tcBorders>
              <w:top w:val="single" w:color="DDDDDD" w:sz="1"/>
              <w:left w:val="single" w:color="DDDDDD" w:sz="1"/>
              <w:bottom w:val="single" w:color="DDDDDD" w:sz="1"/>
              <w:right w:val="single" w:color="DDDDDD" w:sz="1"/>
            </w:tcBorders>
            <w:shd w:fill="380070" w:val="clear"/>
            <w:tcMar>
              <w:top w:type="dxa" w:w="90"/>
              <w:left w:type="dxa" w:w="100"/>
              <w:bottom w:type="dxa" w:w="90"/>
              <w:right w:type="dxa" w:w="100"/>
            </w:tcMar>
          </w:tcPr>
          <w:p>
            <w:r>
              <w:rPr>
                <w:rFonts w:ascii="Arial" w:cs="Arial" w:eastAsia="Arial" w:hAnsi="Arial"/>
                <w:b/>
                <w:bCs/>
                <w:color w:val="FFFFFF"/>
                <w:sz w:val="18"/>
                <w:szCs w:val="18"/>
              </w:rPr>
              <w:t xml:space="preserve">Months 3–6</w:t>
            </w:r>
          </w:p>
        </w:tc>
        <w:tc>
          <w:tcPr>
            <w:tcW w:type="dxa" w:w="260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pPr>
              <w:spacing w:before="0" w:after="0" w:line="270"/>
            </w:pPr>
            <w:r>
              <w:rPr>
                <w:rFonts w:ascii="Georgia" w:cs="Georgia" w:eastAsia="Georgia" w:hAnsi="Georgia"/>
                <w:color w:val="1A1A2A"/>
                <w:sz w:val="20"/>
                <w:szCs w:val="20"/>
              </w:rPr>
              <w:t xml:space="preserve">Run cultural math grounding pivot study: matched discourse pairs, 40 Yoruba speakers, 3 weeks</w:t>
            </w:r>
          </w:p>
        </w:tc>
        <w:tc>
          <w:tcPr>
            <w:tcW w:type="dxa" w:w="180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pPr>
              <w:spacing w:before="0" w:after="0" w:line="270"/>
            </w:pPr>
            <w:r>
              <w:rPr>
                <w:rFonts w:ascii="Arial" w:cs="Arial" w:eastAsia="Arial" w:hAnsi="Arial"/>
                <w:i/>
                <w:iCs/>
                <w:color w:val="555566"/>
                <w:sz w:val="18"/>
                <w:szCs w:val="18"/>
              </w:rPr>
              <w:t xml:space="preserve">Proof-of-concept for comprehension effect</w:t>
            </w:r>
          </w:p>
        </w:tc>
        <w:tc>
          <w:tcPr>
            <w:tcW w:type="dxa" w:w="140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r>
              <w:rPr>
                <w:rFonts w:ascii="Arial" w:cs="Arial" w:eastAsia="Arial" w:hAnsi="Arial"/>
                <w:color w:val="1F4E79"/>
                <w:sz w:val="18"/>
                <w:szCs w:val="18"/>
              </w:rPr>
              <w:t xml:space="preserve">EMNLP findings 2026</w:t>
            </w:r>
          </w:p>
        </w:tc>
        <w:tc>
          <w:tcPr>
            <w:tcW w:type="dxa" w:w="1640"/>
            <w:tcBorders>
              <w:top w:val="single" w:color="DDDDDD" w:sz="1"/>
              <w:left w:val="single" w:color="DDDDDD" w:sz="1"/>
              <w:bottom w:val="single" w:color="DDDDDD" w:sz="1"/>
              <w:right w:val="single" w:color="DDDDDD" w:sz="1"/>
            </w:tcBorders>
            <w:shd w:fill="380070" w:val="clear"/>
            <w:tcMar>
              <w:top w:type="dxa" w:w="90"/>
              <w:left w:type="dxa" w:w="80"/>
              <w:bottom w:type="dxa" w:w="90"/>
              <w:right w:type="dxa" w:w="80"/>
            </w:tcMar>
          </w:tcPr>
          <w:p>
            <w:pPr>
              <w:jc w:val="center"/>
            </w:pPr>
            <w:r>
              <w:rPr>
                <w:rFonts w:ascii="Arial" w:cs="Arial" w:eastAsia="Arial" w:hAnsi="Arial"/>
                <w:b/>
                <w:bCs/>
                <w:color w:val="FFFFFF"/>
                <w:sz w:val="17"/>
                <w:szCs w:val="17"/>
              </w:rPr>
              <w:t xml:space="preserve">FAST</w:t>
            </w:r>
          </w:p>
        </w:tc>
      </w:tr>
      <w:tr>
        <w:tc>
          <w:tcPr>
            <w:tcW w:type="dxa" w:w="1200"/>
            <w:tcBorders>
              <w:top w:val="single" w:color="DDDDDD" w:sz="1"/>
              <w:left w:val="single" w:color="DDDDDD" w:sz="1"/>
              <w:bottom w:val="single" w:color="DDDDDD" w:sz="1"/>
              <w:right w:val="single" w:color="DDDDDD" w:sz="1"/>
            </w:tcBorders>
            <w:shd w:fill="380070" w:val="clear"/>
            <w:tcMar>
              <w:top w:type="dxa" w:w="90"/>
              <w:left w:type="dxa" w:w="100"/>
              <w:bottom w:type="dxa" w:w="90"/>
              <w:right w:type="dxa" w:w="100"/>
            </w:tcMar>
          </w:tcPr>
          <w:p>
            <w:r>
              <w:rPr>
                <w:rFonts w:ascii="Arial" w:cs="Arial" w:eastAsia="Arial" w:hAnsi="Arial"/>
                <w:b/>
                <w:bCs/>
                <w:color w:val="FFFFFF"/>
                <w:sz w:val="18"/>
                <w:szCs w:val="18"/>
              </w:rPr>
              <w:t xml:space="preserve">Months 6– 12</w:t>
            </w:r>
          </w:p>
        </w:tc>
        <w:tc>
          <w:tcPr>
            <w:tcW w:type="dxa" w:w="26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0"/>
            </w:pPr>
            <w:r>
              <w:rPr>
                <w:rFonts w:ascii="Georgia" w:cs="Georgia" w:eastAsia="Georgia" w:hAnsi="Georgia"/>
                <w:color w:val="1A1A2A"/>
                <w:sz w:val="20"/>
                <w:szCs w:val="20"/>
              </w:rPr>
              <w:t xml:space="preserve">Extend ProverbEval: add deployment tasks (proverb selection given discourse context)</w:t>
            </w:r>
          </w:p>
        </w:tc>
        <w:tc>
          <w:tcPr>
            <w:tcW w:type="dxa" w:w="18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0"/>
            </w:pPr>
            <w:r>
              <w:rPr>
                <w:rFonts w:ascii="Arial" w:cs="Arial" w:eastAsia="Arial" w:hAnsi="Arial"/>
                <w:i/>
                <w:iCs/>
                <w:color w:val="555566"/>
                <w:sz w:val="18"/>
                <w:szCs w:val="18"/>
              </w:rPr>
              <w:t xml:space="preserve">Concrete benchmark contribution</w:t>
            </w:r>
          </w:p>
        </w:tc>
        <w:tc>
          <w:tcPr>
            <w:tcW w:type="dxa" w:w="14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color w:val="1F4E79"/>
                <w:sz w:val="18"/>
                <w:szCs w:val="18"/>
              </w:rPr>
              <w:t xml:space="preserve">NAACL / ACL 2027</w:t>
            </w:r>
          </w:p>
        </w:tc>
        <w:tc>
          <w:tcPr>
            <w:tcW w:type="dxa" w:w="1640"/>
            <w:tcBorders>
              <w:top w:val="single" w:color="DDDDDD" w:sz="1"/>
              <w:left w:val="single" w:color="DDDDDD" w:sz="1"/>
              <w:bottom w:val="single" w:color="DDDDDD" w:sz="1"/>
              <w:right w:val="single" w:color="DDDDDD" w:sz="1"/>
            </w:tcBorders>
            <w:shd w:fill="380070" w:val="clear"/>
            <w:tcMar>
              <w:top w:type="dxa" w:w="90"/>
              <w:left w:type="dxa" w:w="80"/>
              <w:bottom w:type="dxa" w:w="90"/>
              <w:right w:type="dxa" w:w="80"/>
            </w:tcMar>
          </w:tcPr>
          <w:p>
            <w:pPr>
              <w:jc w:val="center"/>
            </w:pPr>
            <w:r>
              <w:rPr>
                <w:rFonts w:ascii="Arial" w:cs="Arial" w:eastAsia="Arial" w:hAnsi="Arial"/>
                <w:b/>
                <w:bCs/>
                <w:color w:val="FFFFFF"/>
                <w:sz w:val="17"/>
                <w:szCs w:val="17"/>
              </w:rPr>
              <w:t xml:space="preserve">FAST</w:t>
            </w:r>
          </w:p>
        </w:tc>
      </w:tr>
      <w:tr>
        <w:tc>
          <w:tcPr>
            <w:tcW w:type="dxa" w:w="1200"/>
            <w:tcBorders>
              <w:top w:val="single" w:color="DDDDDD" w:sz="1"/>
              <w:left w:val="single" w:color="DDDDDD" w:sz="1"/>
              <w:bottom w:val="single" w:color="DDDDDD" w:sz="1"/>
              <w:right w:val="single" w:color="DDDDDD" w:sz="1"/>
            </w:tcBorders>
            <w:shd w:fill="7B5000" w:val="clear"/>
            <w:tcMar>
              <w:top w:type="dxa" w:w="90"/>
              <w:left w:type="dxa" w:w="100"/>
              <w:bottom w:type="dxa" w:w="90"/>
              <w:right w:type="dxa" w:w="100"/>
            </w:tcMar>
          </w:tcPr>
          <w:p>
            <w:r>
              <w:rPr>
                <w:rFonts w:ascii="Arial" w:cs="Arial" w:eastAsia="Arial" w:hAnsi="Arial"/>
                <w:b/>
                <w:bCs/>
                <w:color w:val="FFFFFF"/>
                <w:sz w:val="18"/>
                <w:szCs w:val="18"/>
              </w:rPr>
              <w:t xml:space="preserve">Months 6–18</w:t>
            </w:r>
          </w:p>
        </w:tc>
        <w:tc>
          <w:tcPr>
            <w:tcW w:type="dxa" w:w="260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pPr>
              <w:spacing w:before="0" w:after="0" w:line="270"/>
            </w:pPr>
            <w:r>
              <w:rPr>
                <w:rFonts w:ascii="Georgia" w:cs="Georgia" w:eastAsia="Georgia" w:hAnsi="Georgia"/>
                <w:color w:val="1A1A2A"/>
                <w:sz w:val="20"/>
                <w:szCs w:val="20"/>
              </w:rPr>
              <w:t xml:space="preserve">Full comprehension study (IRB, 320 participants, University of Ibadan/Lagos)</w:t>
            </w:r>
          </w:p>
        </w:tc>
        <w:tc>
          <w:tcPr>
            <w:tcW w:type="dxa" w:w="180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pPr>
              <w:spacing w:before="0" w:after="0" w:line="270"/>
            </w:pPr>
            <w:r>
              <w:rPr>
                <w:rFonts w:ascii="Arial" w:cs="Arial" w:eastAsia="Arial" w:hAnsi="Arial"/>
                <w:i/>
                <w:iCs/>
                <w:color w:val="555566"/>
                <w:sz w:val="18"/>
                <w:szCs w:val="18"/>
              </w:rPr>
              <w:t xml:space="preserve">Empirical foundation for entire series</w:t>
            </w:r>
          </w:p>
        </w:tc>
        <w:tc>
          <w:tcPr>
            <w:tcW w:type="dxa" w:w="140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r>
              <w:rPr>
                <w:rFonts w:ascii="Arial" w:cs="Arial" w:eastAsia="Arial" w:hAnsi="Arial"/>
                <w:color w:val="1F4E79"/>
                <w:sz w:val="18"/>
                <w:szCs w:val="18"/>
              </w:rPr>
              <w:t xml:space="preserve">Cognition / CHI 2027</w:t>
            </w:r>
          </w:p>
        </w:tc>
        <w:tc>
          <w:tcPr>
            <w:tcW w:type="dxa" w:w="1640"/>
            <w:tcBorders>
              <w:top w:val="single" w:color="DDDDDD" w:sz="1"/>
              <w:left w:val="single" w:color="DDDDDD" w:sz="1"/>
              <w:bottom w:val="single" w:color="DDDDDD" w:sz="1"/>
              <w:right w:val="single" w:color="DDDDDD" w:sz="1"/>
            </w:tcBorders>
            <w:shd w:fill="7B5000" w:val="clear"/>
            <w:tcMar>
              <w:top w:type="dxa" w:w="90"/>
              <w:left w:type="dxa" w:w="80"/>
              <w:bottom w:type="dxa" w:w="90"/>
              <w:right w:type="dxa" w:w="80"/>
            </w:tcMar>
          </w:tcPr>
          <w:p>
            <w:pPr>
              <w:jc w:val="center"/>
            </w:pPr>
            <w:r>
              <w:rPr>
                <w:rFonts w:ascii="Arial" w:cs="Arial" w:eastAsia="Arial" w:hAnsi="Arial"/>
                <w:b/>
                <w:bCs/>
                <w:color w:val="FFFFFF"/>
                <w:sz w:val="17"/>
                <w:szCs w:val="17"/>
              </w:rPr>
              <w:t xml:space="preserve">CORE</w:t>
            </w:r>
          </w:p>
        </w:tc>
      </w:tr>
      <w:tr>
        <w:tc>
          <w:tcPr>
            <w:tcW w:type="dxa" w:w="1200"/>
            <w:tcBorders>
              <w:top w:val="single" w:color="DDDDDD" w:sz="1"/>
              <w:left w:val="single" w:color="DDDDDD" w:sz="1"/>
              <w:bottom w:val="single" w:color="DDDDDD" w:sz="1"/>
              <w:right w:val="single" w:color="DDDDDD" w:sz="1"/>
            </w:tcBorders>
            <w:shd w:fill="7B5000" w:val="clear"/>
            <w:tcMar>
              <w:top w:type="dxa" w:w="90"/>
              <w:left w:type="dxa" w:w="100"/>
              <w:bottom w:type="dxa" w:w="90"/>
              <w:right w:type="dxa" w:w="100"/>
            </w:tcMar>
          </w:tcPr>
          <w:p>
            <w:r>
              <w:rPr>
                <w:rFonts w:ascii="Arial" w:cs="Arial" w:eastAsia="Arial" w:hAnsi="Arial"/>
                <w:b/>
                <w:bCs/>
                <w:color w:val="FFFFFF"/>
                <w:sz w:val="18"/>
                <w:szCs w:val="18"/>
              </w:rPr>
              <w:t xml:space="preserve">Months 12–24</w:t>
            </w:r>
          </w:p>
        </w:tc>
        <w:tc>
          <w:tcPr>
            <w:tcW w:type="dxa" w:w="26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0"/>
            </w:pPr>
            <w:r>
              <w:rPr>
                <w:rFonts w:ascii="Georgia" w:cs="Georgia" w:eastAsia="Georgia" w:hAnsi="Georgia"/>
                <w:color w:val="1A1A2A"/>
                <w:sz w:val="20"/>
                <w:szCs w:val="20"/>
              </w:rPr>
              <w:t xml:space="preserve">Bergen simulation test: African proverb vs. hypothetical, eye-tracking</w:t>
            </w:r>
          </w:p>
        </w:tc>
        <w:tc>
          <w:tcPr>
            <w:tcW w:type="dxa" w:w="18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0"/>
            </w:pPr>
            <w:r>
              <w:rPr>
                <w:rFonts w:ascii="Arial" w:cs="Arial" w:eastAsia="Arial" w:hAnsi="Arial"/>
                <w:i/>
                <w:iCs/>
                <w:color w:val="555566"/>
                <w:sz w:val="18"/>
                <w:szCs w:val="18"/>
              </w:rPr>
              <w:t xml:space="preserve">Cross-domain publication, theory validation</w:t>
            </w:r>
          </w:p>
        </w:tc>
        <w:tc>
          <w:tcPr>
            <w:tcW w:type="dxa" w:w="14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color w:val="1F4E79"/>
                <w:sz w:val="18"/>
                <w:szCs w:val="18"/>
              </w:rPr>
              <w:t xml:space="preserve">Language / Psychological Science</w:t>
            </w:r>
          </w:p>
        </w:tc>
        <w:tc>
          <w:tcPr>
            <w:tcW w:type="dxa" w:w="1640"/>
            <w:tcBorders>
              <w:top w:val="single" w:color="DDDDDD" w:sz="1"/>
              <w:left w:val="single" w:color="DDDDDD" w:sz="1"/>
              <w:bottom w:val="single" w:color="DDDDDD" w:sz="1"/>
              <w:right w:val="single" w:color="DDDDDD" w:sz="1"/>
            </w:tcBorders>
            <w:shd w:fill="7B5000" w:val="clear"/>
            <w:tcMar>
              <w:top w:type="dxa" w:w="90"/>
              <w:left w:type="dxa" w:w="80"/>
              <w:bottom w:type="dxa" w:w="90"/>
              <w:right w:type="dxa" w:w="80"/>
            </w:tcMar>
          </w:tcPr>
          <w:p>
            <w:pPr>
              <w:jc w:val="center"/>
            </w:pPr>
            <w:r>
              <w:rPr>
                <w:rFonts w:ascii="Arial" w:cs="Arial" w:eastAsia="Arial" w:hAnsi="Arial"/>
                <w:b/>
                <w:bCs/>
                <w:color w:val="FFFFFF"/>
                <w:sz w:val="17"/>
                <w:szCs w:val="17"/>
              </w:rPr>
              <w:t xml:space="preserve">CORE</w:t>
            </w:r>
          </w:p>
        </w:tc>
      </w:tr>
      <w:tr>
        <w:tc>
          <w:tcPr>
            <w:tcW w:type="dxa" w:w="1200"/>
            <w:tcBorders>
              <w:top w:val="single" w:color="DDDDDD" w:sz="1"/>
              <w:left w:val="single" w:color="DDDDDD" w:sz="1"/>
              <w:bottom w:val="single" w:color="DDDDDD" w:sz="1"/>
              <w:right w:val="single" w:color="DDDDDD" w:sz="1"/>
            </w:tcBorders>
            <w:shd w:fill="1F4E79" w:val="clear"/>
            <w:tcMar>
              <w:top w:type="dxa" w:w="90"/>
              <w:left w:type="dxa" w:w="100"/>
              <w:bottom w:type="dxa" w:w="90"/>
              <w:right w:type="dxa" w:w="100"/>
            </w:tcMar>
          </w:tcPr>
          <w:p>
            <w:r>
              <w:rPr>
                <w:rFonts w:ascii="Arial" w:cs="Arial" w:eastAsia="Arial" w:hAnsi="Arial"/>
                <w:b/>
                <w:bCs/>
                <w:color w:val="FFFFFF"/>
                <w:sz w:val="18"/>
                <w:szCs w:val="18"/>
              </w:rPr>
              <w:t xml:space="preserve">Months 18–30</w:t>
            </w:r>
          </w:p>
        </w:tc>
        <w:tc>
          <w:tcPr>
            <w:tcW w:type="dxa" w:w="260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pPr>
              <w:spacing w:before="0" w:after="0" w:line="270"/>
            </w:pPr>
            <w:r>
              <w:rPr>
                <w:rFonts w:ascii="Georgia" w:cs="Georgia" w:eastAsia="Georgia" w:hAnsi="Georgia"/>
                <w:color w:val="1A1A2A"/>
                <w:sz w:val="20"/>
                <w:szCs w:val="20"/>
              </w:rPr>
              <w:t xml:space="preserve">CHI-grade user study: task-based, discourse-native vs. standard AI</w:t>
            </w:r>
          </w:p>
        </w:tc>
        <w:tc>
          <w:tcPr>
            <w:tcW w:type="dxa" w:w="180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pPr>
              <w:spacing w:before="0" w:after="0" w:line="270"/>
            </w:pPr>
            <w:r>
              <w:rPr>
                <w:rFonts w:ascii="Arial" w:cs="Arial" w:eastAsia="Arial" w:hAnsi="Arial"/>
                <w:i/>
                <w:iCs/>
                <w:color w:val="555566"/>
                <w:sz w:val="18"/>
                <w:szCs w:val="18"/>
              </w:rPr>
              <w:t xml:space="preserve">HCI community entry + applied results</w:t>
            </w:r>
          </w:p>
        </w:tc>
        <w:tc>
          <w:tcPr>
            <w:tcW w:type="dxa" w:w="140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r>
              <w:rPr>
                <w:rFonts w:ascii="Arial" w:cs="Arial" w:eastAsia="Arial" w:hAnsi="Arial"/>
                <w:color w:val="1F4E79"/>
                <w:sz w:val="18"/>
                <w:szCs w:val="18"/>
              </w:rPr>
              <w:t xml:space="preserve">CHI 2027/2028</w:t>
            </w:r>
          </w:p>
        </w:tc>
        <w:tc>
          <w:tcPr>
            <w:tcW w:type="dxa" w:w="1640"/>
            <w:tcBorders>
              <w:top w:val="single" w:color="DDDDDD" w:sz="1"/>
              <w:left w:val="single" w:color="DDDDDD" w:sz="1"/>
              <w:bottom w:val="single" w:color="DDDDDD" w:sz="1"/>
              <w:right w:val="single" w:color="DDDDDD" w:sz="1"/>
            </w:tcBorders>
            <w:shd w:fill="1F4E79" w:val="clear"/>
            <w:tcMar>
              <w:top w:type="dxa" w:w="90"/>
              <w:left w:type="dxa" w:w="80"/>
              <w:bottom w:type="dxa" w:w="90"/>
              <w:right w:type="dxa" w:w="80"/>
            </w:tcMar>
          </w:tcPr>
          <w:p>
            <w:pPr>
              <w:jc w:val="center"/>
            </w:pPr>
            <w:r>
              <w:rPr>
                <w:rFonts w:ascii="Arial" w:cs="Arial" w:eastAsia="Arial" w:hAnsi="Arial"/>
                <w:b/>
                <w:bCs/>
                <w:color w:val="FFFFFF"/>
                <w:sz w:val="17"/>
                <w:szCs w:val="17"/>
              </w:rPr>
              <w:t xml:space="preserve">LONG</w:t>
            </w:r>
          </w:p>
        </w:tc>
      </w:tr>
    </w:tbl>
    <w:p>
      <w:pPr>
        <w:spacing w:before="60" w:after="60"/>
      </w:pPr>
      <w:r>
        <w:t xml:space="preserve"/>
      </w:r>
    </w:p>
    <w:p>
      <w:pPr>
        <w:pBdr>
          <w:bottom w:val="single" w:color="7B5000" w:sz="6" w:space="1"/>
        </w:pBdr>
        <w:spacing w:before="80" w:after="80"/>
      </w:pPr>
      <w:r>
        <w:t xml:space="preserve"/>
      </w:r>
    </w:p>
    <w:p>
      <w:pPr>
        <w:spacing w:before="200" w:after="200"/>
      </w:pPr>
      <w:r>
        <w:t xml:space="preserve"/>
      </w:r>
    </w:p>
    <w:p>
      <w:pPr>
        <w:spacing w:before="0" w:after="80"/>
      </w:pPr>
      <w:r>
        <w:rPr>
          <w:rFonts w:ascii="Arial" w:cs="Arial" w:eastAsia="Arial" w:hAnsi="Arial"/>
          <w:b/>
          <w:bCs/>
          <w:color w:val="1F4E79"/>
          <w:sz w:val="20"/>
          <w:szCs w:val="20"/>
        </w:rPr>
        <w:t xml:space="preserve">Papers Referenced in This Analysis</w:t>
      </w:r>
    </w:p>
    <w:p>
      <w:pPr>
        <w:pBdr>
          <w:bottom w:val="single" w:color="1F4E79" w:sz="2" w:space="1"/>
        </w:pBdr>
        <w:spacing w:before="80" w:after="80"/>
      </w:pPr>
      <w:r>
        <w:t xml:space="preserve"/>
      </w:r>
    </w:p>
    <w:p>
      <w:pPr>
        <w:spacing w:before="60" w:after="60"/>
      </w:pPr>
      <w:r>
        <w:t xml:space="preserve"/>
      </w:r>
    </w:p>
    <w:p>
      <w:pPr>
        <w:spacing w:before="80" w:after="20"/>
      </w:pPr>
      <w:r>
        <w:rPr>
          <w:rFonts w:ascii="Arial" w:cs="Arial" w:eastAsia="Arial" w:hAnsi="Arial"/>
          <w:b/>
          <w:bCs/>
          <w:color w:val="1F4E79"/>
          <w:sz w:val="19"/>
          <w:szCs w:val="19"/>
        </w:rPr>
        <w:t xml:space="preserve">Live papers mined (2024–2025):</w:t>
      </w:r>
    </w:p>
    <w:p>
      <w:pPr>
        <w:spacing w:before="0" w:after="100" w:line="260"/>
      </w:pPr>
      <w:r>
        <w:rPr>
          <w:rFonts w:ascii="Arial" w:cs="Arial" w:eastAsia="Arial" w:hAnsi="Arial"/>
          <w:color w:val="555566"/>
          <w:sz w:val="17"/>
          <w:szCs w:val="17"/>
        </w:rPr>
        <w:t xml:space="preserve">Alabi, Hedderich, Adelani &amp; Klakow (2025). Charting the Landscape of African NLP. EMNLP 2025 (884 papers, 5 years). — CG-CoT: Culturally-Grounded Chain-of-Thought for Yoruba proverbs. arXiv:2506.01190, June 2025. — ProverbEval: Exploring LLM Evaluation Challenges for Low-Resource Languages. NAACL 2025. — Jones, Trott &amp; Bergen (2024). Do MLLMs and Humans Ground Language Similarly? Computational Linguistics, MIT Press. — Cultural math grounding: arXiv:2507.00883, July 2025. — Investigating Cultural Alignment of LLMs. ACL 2024. — CulturePark: Boosting Cross-cultural Understanding in LLMs. OpenReview. — Extrinsic Evaluation of Cultural Competence in LLMs. EMNLP 2024. — Narrative Theory-Driven LLM Methods. arXiv:2602.15851. — Y-NQ: English-Yoruba evaluation dataset. ACL 2025. — AfricaNLP Workshop 2024 (ICLR) and 2025 (ACL). — State of LLMs for African Languages. arXiv:2506.02280. — Senegalese NLP survey. arXiv:2601.09716.</w:t>
      </w:r>
    </w:p>
    <w:p>
      <w:pPr>
        <w:spacing w:before="80" w:after="20"/>
      </w:pPr>
      <w:r>
        <w:rPr>
          <w:rFonts w:ascii="Arial" w:cs="Arial" w:eastAsia="Arial" w:hAnsi="Arial"/>
          <w:b/>
          <w:bCs/>
          <w:color w:val="1F4E79"/>
          <w:sz w:val="19"/>
          <w:szCs w:val="19"/>
        </w:rPr>
        <w:t xml:space="preserve">Foundational scholarship:</w:t>
      </w:r>
    </w:p>
    <w:p>
      <w:pPr>
        <w:spacing w:before="0" w:after="100" w:line="260"/>
      </w:pPr>
      <w:r>
        <w:rPr>
          <w:rFonts w:ascii="Arial" w:cs="Arial" w:eastAsia="Arial" w:hAnsi="Arial"/>
          <w:color w:val="555566"/>
          <w:sz w:val="17"/>
          <w:szCs w:val="17"/>
        </w:rPr>
        <w:t xml:space="preserve">Bergen, B.K. (2012). Louder Than Words. Basic Books. — Owomoyela, O. (2005). Yorùbá Proverbs. University of Nebraska Press. — Ehineni, T.O. (2016). Discourse-Structural Analysis of Yorùbá Proverbs. Colombian Applied Linguistics Journal. — Yankah, K. (1989). A theory of proverb praxis. — Mhlambi, S. (2020). From Rationality to Relationality. Harvard Carr Center. — Eglash, R. (1999). African Fractals. Rutgers UP. — Lewis et al. (2024). Abundant Intelligences. Springer AI &amp; Society.</w:t>
      </w:r>
    </w:p>
    <w:p>
      <w:pPr>
        <w:spacing w:before="80" w:after="20"/>
      </w:pPr>
      <w:r>
        <w:rPr>
          <w:rFonts w:ascii="Arial" w:cs="Arial" w:eastAsia="Arial" w:hAnsi="Arial"/>
          <w:b/>
          <w:bCs/>
          <w:color w:val="1F4E79"/>
          <w:sz w:val="19"/>
          <w:szCs w:val="19"/>
        </w:rPr>
        <w:t xml:space="preserve">Author’s prior work (the origin):</w:t>
      </w:r>
    </w:p>
    <w:p>
      <w:pPr>
        <w:spacing w:before="0" w:after="100" w:line="260"/>
      </w:pPr>
      <w:r>
        <w:rPr>
          <w:rFonts w:ascii="Arial" w:cs="Arial" w:eastAsia="Arial" w:hAnsi="Arial"/>
          <w:color w:val="555566"/>
          <w:sz w:val="17"/>
          <w:szCs w:val="17"/>
        </w:rPr>
        <w:t xml:space="preserve">Consciousness in Code and Algorithmic Animism: Exploring Olugbohun and AI through the Lens of Yoruba Spiritual Practices (Logo M., 2025). — Building AI That Thinks in African Languages: Weeks 1–5 (Logo M., 2026). — Agentic AI Frameworks in SMMEs: Research Audit (Logo M., 2026). — Notes Toward a Future: Personal Intellectual Positioning (Logo M., 2026).</w:t>
      </w:r>
    </w:p>
    <w:sectPr>
      <w:pgSz w:w="12240" w:h="15840" w:orient="portrait"/>
      <w:pgMar w:top="1440" w:right="170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2026-03-22T01:24:57.929Z</dcterms:created>
  <dcterms:modified xsi:type="dcterms:W3CDTF">2026-03-22T01:24:57.930Z</dcterms:modified>
</cp:coreProperties>
</file>

<file path=docProps/custom.xml><?xml version="1.0" encoding="utf-8"?>
<Properties xmlns="http://schemas.openxmlformats.org/officeDocument/2006/custom-properties" xmlns:vt="http://schemas.openxmlformats.org/officeDocument/2006/docPropsVTypes"/>
</file>