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DDDDDD" w:sz="1"/>
              <w:left w:val="single" w:color="DDDDDD" w:sz="1"/>
              <w:bottom w:val="single" w:color="8B0000" w:sz="16"/>
              <w:right w:val="single" w:color="DDDDDD" w:sz="1"/>
            </w:tcBorders>
            <w:shd w:fill="1F4E79" w:val="clear"/>
            <w:tcMar>
              <w:top w:type="dxa" w:w="400"/>
              <w:left w:type="dxa" w:w="560"/>
              <w:bottom w:type="dxa" w:w="400"/>
              <w:right w:type="dxa" w:w="560"/>
            </w:tcMar>
          </w:tcPr>
          <w:p>
            <w:pPr>
              <w:spacing w:before="0" w:after="40"/>
              <w:jc w:val="center"/>
            </w:pPr>
            <w:r>
              <w:rPr>
                <w:rFonts w:ascii="Arial" w:cs="Arial" w:eastAsia="Arial" w:hAnsi="Arial"/>
                <w:b/>
                <w:bCs/>
                <w:caps/>
                <w:color w:val="7799BB"/>
                <w:spacing w:val="180"/>
                <w:sz w:val="14"/>
                <w:szCs w:val="14"/>
              </w:rPr>
              <w:t xml:space="preserve">COMPLIANCE AUDIT  ·  INTERNAL REVIEW DOCUMENT</w:t>
            </w:r>
          </w:p>
          <w:p>
            <w:pPr>
              <w:spacing w:before="0" w:after="60"/>
              <w:jc w:val="center"/>
            </w:pPr>
            <w:r>
              <w:rPr>
                <w:rFonts w:ascii="Arial" w:cs="Arial" w:eastAsia="Arial" w:hAnsi="Arial"/>
                <w:b/>
                <w:bCs/>
                <w:color w:val="FFFFFF"/>
                <w:sz w:val="44"/>
                <w:szCs w:val="44"/>
              </w:rPr>
              <w:t xml:space="preserve">Does Our Proposal Pass?</w:t>
            </w:r>
          </w:p>
          <w:p>
            <w:pPr>
              <w:spacing w:before="0" w:after="60"/>
              <w:jc w:val="center"/>
            </w:pPr>
            <w:r>
              <w:rPr>
                <w:rFonts w:ascii="Georgia" w:cs="Georgia" w:eastAsia="Georgia" w:hAnsi="Georgia"/>
                <w:i/>
                <w:iCs/>
                <w:color w:val="CCE0FF"/>
                <w:sz w:val="20"/>
                <w:szCs w:val="20"/>
              </w:rPr>
              <w:t xml:space="preserve">Schmidt Sciences 2026 Interpretability RFP · Line-by-line verification of fit, gaps, and required revisions</w:t>
            </w:r>
          </w:p>
          <w:p>
            <w:pPr>
              <w:spacing w:before="60" w:after="0"/>
              <w:jc w:val="center"/>
            </w:pPr>
            <w:r>
              <w:rPr>
                <w:rFonts w:ascii="Arial" w:cs="Arial" w:eastAsia="Arial" w:hAnsi="Arial"/>
                <w:color w:val="7799BB"/>
                <w:sz w:val="16"/>
                <w:szCs w:val="16"/>
              </w:rPr>
              <w:t xml:space="preserve">Logo M. · LOG_ON AI · March 2026  ·  For internal revision before May 26 submission</w:t>
            </w:r>
          </w:p>
        </w:tc>
      </w:tr>
    </w:tbl>
    <w:p>
      <w:pPr>
        <w:spacing w:before="60"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8B0000" w:sz="10"/>
              <w:left w:val="single" w:color="DDDDDD" w:sz="1"/>
              <w:bottom w:val="single" w:color="DDDDDD" w:sz="1"/>
              <w:right w:val="single" w:color="DDDDDD" w:sz="1"/>
            </w:tcBorders>
            <w:shd w:fill="FFF0F0" w:val="clear"/>
            <w:tcMar>
              <w:top w:type="dxa" w:w="180"/>
              <w:left w:type="dxa" w:w="260"/>
              <w:bottom w:type="dxa" w:w="180"/>
              <w:right w:type="dxa" w:w="260"/>
            </w:tcMar>
          </w:tcPr>
          <w:p>
            <w:pPr>
              <w:spacing w:before="0" w:after="60"/>
            </w:pPr>
            <w:r>
              <w:rPr>
                <w:rFonts w:ascii="Arial" w:cs="Arial" w:eastAsia="Arial" w:hAnsi="Arial"/>
                <w:b/>
                <w:bCs/>
                <w:color w:val="8B0000"/>
                <w:sz w:val="18"/>
                <w:szCs w:val="18"/>
              </w:rPr>
              <w:t xml:space="preserve">Audit Verdict</w:t>
            </w:r>
          </w:p>
          <w:p>
            <w:pPr>
              <w:spacing w:before="0" w:after="0" w:line="286"/>
            </w:pPr>
            <w:r>
              <w:rPr>
                <w:rFonts w:ascii="Georgia" w:cs="Georgia" w:eastAsia="Georgia" w:hAnsi="Georgia"/>
                <w:color w:val="8B0000"/>
                <w:sz w:val="22"/>
                <w:szCs w:val="22"/>
              </w:rPr>
              <w:t xml:space="preserve">The proposal is competitive but not yet submission-ready. The core insight — African deployment as a cross-lingual deception stress test — is genuinely novel and well-matched to Schmidt’s research agenda. However, four specific problems must be fixed before May 26: (1) Track 3 as currently framed will likely be classified as out-of-scope; (2) the mechanistic argument for why whitebox probes outperform blackbox at the translation layer is asserted but not demonstrated; (3) Schmidt’s definition of deception requires the model to internally represent the truth — this requirement is not explicitly met for all six deception categories; (4) no named people with interpretability publication records are identified. These are fixable problems. None of them requires rebuilding the proposal. All four require specific, targeted additions.</w:t>
            </w:r>
          </w:p>
        </w:tc>
      </w:tr>
    </w:tbl>
    <w:p>
      <w:pPr>
        <w:spacing w:before="60" w:after="60"/>
      </w:pPr>
      <w:r>
        <w:t xml:space="preserve"/>
      </w:r>
    </w:p>
    <w:p>
      <w:pPr>
        <w:pBdr>
          <w:bottom w:val="single" w:color="7B5000" w:sz="6" w:space="1"/>
        </w:pBdr>
        <w:spacing w:before="80" w:after="80"/>
      </w:pPr>
      <w:r>
        <w:t xml:space="preserve"/>
      </w:r>
    </w:p>
    <w:p>
      <w:pPr>
        <w:spacing w:before="60" w:after="60"/>
      </w:pPr>
      <w:r>
        <w:t xml:space="preserve"/>
      </w:r>
    </w:p>
    <w:p>
      <w:pPr>
        <w:pBdr>
          <w:bottom w:val="single" w:color="7B5000" w:sz="6" w:space="4"/>
        </w:pBdr>
        <w:spacing w:before="360" w:after="60"/>
      </w:pPr>
      <w:r>
        <w:rPr>
          <w:rFonts w:ascii="Arial" w:cs="Arial" w:eastAsia="Arial" w:hAnsi="Arial"/>
          <w:b/>
          <w:bCs/>
          <w:caps/>
          <w:color w:val="7B5000"/>
          <w:spacing w:val="100"/>
          <w:sz w:val="17"/>
          <w:szCs w:val="17"/>
        </w:rPr>
        <w:t xml:space="preserve">Section 1 — Compliance Scorecard</w:t>
      </w:r>
    </w:p>
    <w:p>
      <w:pPr>
        <w:spacing w:before="60"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1200"/>
        <w:gridCol w:w="3240"/>
      </w:tblGrid>
      <w:tr>
        <w:trPr>
          <w:tblHeader/>
        </w:trPr>
        <w:tc>
          <w:tcPr>
            <w:tcW w:type="dxa" w:w="3200"/>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15"/>
                <w:szCs w:val="15"/>
              </w:rPr>
              <w:t xml:space="preserve">Criterion</w:t>
            </w:r>
          </w:p>
        </w:tc>
        <w:tc>
          <w:tcPr>
            <w:tcW w:type="dxa" w:w="1000"/>
            <w:tcBorders>
              <w:top w:val="single" w:color="DDDDDD" w:sz="1"/>
              <w:left w:val="single" w:color="DDDDDD" w:sz="1"/>
              <w:bottom w:val="single" w:color="DDDDDD" w:sz="1"/>
              <w:right w:val="single" w:color="DDDDDD" w:sz="1"/>
            </w:tcBorders>
            <w:shd w:fill="1F4E79" w:val="clear"/>
            <w:tcMar>
              <w:top w:type="dxa" w:w="80"/>
              <w:left w:type="dxa" w:w="80"/>
              <w:bottom w:type="dxa" w:w="80"/>
              <w:right w:type="dxa" w:w="80"/>
            </w:tcMar>
          </w:tcPr>
          <w:p>
            <w:pPr>
              <w:jc w:val="center"/>
            </w:pPr>
            <w:r>
              <w:rPr>
                <w:rFonts w:ascii="Arial" w:cs="Arial" w:eastAsia="Arial" w:hAnsi="Arial"/>
                <w:b/>
                <w:bCs/>
                <w:color w:val="FFFFFF"/>
                <w:sz w:val="15"/>
                <w:szCs w:val="15"/>
              </w:rPr>
              <w:t xml:space="preserve">Score</w:t>
            </w:r>
          </w:p>
        </w:tc>
        <w:tc>
          <w:tcPr>
            <w:tcW w:type="dxa" w:w="1200"/>
            <w:tcBorders>
              <w:top w:val="single" w:color="DDDDDD" w:sz="1"/>
              <w:left w:val="single" w:color="DDDDDD" w:sz="1"/>
              <w:bottom w:val="single" w:color="DDDDDD" w:sz="1"/>
              <w:right w:val="single" w:color="DDDDDD" w:sz="1"/>
            </w:tcBorders>
            <w:shd w:fill="1F4E79" w:val="clear"/>
            <w:tcMar>
              <w:top w:type="dxa" w:w="80"/>
              <w:left w:type="dxa" w:w="80"/>
              <w:bottom w:type="dxa" w:w="80"/>
              <w:right w:type="dxa" w:w="80"/>
            </w:tcMar>
          </w:tcPr>
          <w:p>
            <w:pPr>
              <w:jc w:val="center"/>
            </w:pPr>
            <w:r>
              <w:rPr>
                <w:rFonts w:ascii="Arial" w:cs="Arial" w:eastAsia="Arial" w:hAnsi="Arial"/>
                <w:b/>
                <w:bCs/>
                <w:color w:val="FFFFFF"/>
                <w:sz w:val="15"/>
                <w:szCs w:val="15"/>
              </w:rPr>
              <w:t xml:space="preserve">Status</w:t>
            </w:r>
          </w:p>
        </w:tc>
        <w:tc>
          <w:tcPr>
            <w:tcW w:type="dxa" w:w="3240"/>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15"/>
                <w:szCs w:val="15"/>
              </w:rPr>
              <w:t xml:space="preserve">Key finding</w:t>
            </w:r>
          </w:p>
        </w:tc>
      </w:tr>
      <w:tr>
        <w:tc>
          <w:tcPr>
            <w:tcW w:type="dxa" w:w="3200"/>
            <w:tcBorders>
              <w:top w:val="single" w:color="DDDDDD" w:sz="1"/>
              <w:left w:val="single" w:color="DDDDDD" w:sz="1"/>
              <w:bottom w:val="single" w:color="DDDDDD" w:sz="1"/>
              <w:right w:val="single" w:color="DDDDDD" w:sz="1"/>
            </w:tcBorders>
            <w:shd w:fill="F5F5F5" w:val="clear"/>
            <w:tcMar>
              <w:top w:type="dxa" w:w="90"/>
              <w:left w:type="dxa" w:w="120"/>
              <w:bottom w:type="dxa" w:w="90"/>
              <w:right w:type="dxa" w:w="120"/>
            </w:tcMar>
          </w:tcPr>
          <w:p>
            <w:r>
              <w:rPr>
                <w:rFonts w:ascii="Georgia" w:cs="Georgia" w:eastAsia="Georgia" w:hAnsi="Georgia"/>
                <w:b/>
                <w:bCs/>
                <w:color w:val="1F4E79"/>
                <w:sz w:val="20"/>
                <w:szCs w:val="20"/>
              </w:rPr>
              <w:t xml:space="preserve">Fit with Research Agenda</w:t>
            </w:r>
          </w:p>
        </w:tc>
        <w:tc>
          <w:tcPr>
            <w:tcW w:type="dxa" w:w="1000"/>
            <w:tcBorders>
              <w:top w:val="single" w:color="DDDDDD" w:sz="1"/>
              <w:left w:val="single" w:color="DDDDDD" w:sz="1"/>
              <w:bottom w:val="single" w:color="DDDDDD" w:sz="1"/>
              <w:right w:val="single" w:color="DDDDDD" w:sz="1"/>
            </w:tcBorders>
            <w:shd w:fill="8B5000" w:val="clear"/>
            <w:tcMar>
              <w:top w:type="dxa" w:w="90"/>
              <w:left w:type="dxa" w:w="80"/>
              <w:bottom w:type="dxa" w:w="90"/>
              <w:right w:type="dxa" w:w="80"/>
            </w:tcMar>
          </w:tcPr>
          <w:p>
            <w:pPr>
              <w:jc w:val="center"/>
            </w:pPr>
            <w:r>
              <w:rPr>
                <w:rFonts w:ascii="Arial" w:cs="Arial" w:eastAsia="Arial" w:hAnsi="Arial"/>
                <w:b/>
                <w:bCs/>
                <w:color w:val="FFFFFF"/>
                <w:sz w:val="20"/>
                <w:szCs w:val="20"/>
              </w:rPr>
              <w:t xml:space="preserve">7/10</w:t>
            </w:r>
          </w:p>
        </w:tc>
        <w:tc>
          <w:tcPr>
            <w:tcW w:type="dxa" w:w="1200"/>
            <w:tcBorders>
              <w:top w:val="single" w:color="DDDDDD" w:sz="1"/>
              <w:left w:val="single" w:color="DDDDDD" w:sz="1"/>
              <w:bottom w:val="single" w:color="DDDDDD" w:sz="1"/>
              <w:right w:val="single" w:color="DDDDDD" w:sz="1"/>
            </w:tcBorders>
            <w:shd w:fill="8B5000" w:val="clear"/>
            <w:tcMar>
              <w:top w:type="dxa" w:w="90"/>
              <w:left w:type="dxa" w:w="80"/>
              <w:bottom w:type="dxa" w:w="90"/>
              <w:right w:type="dxa" w:w="80"/>
            </w:tcMar>
          </w:tcPr>
          <w:p>
            <w:pPr>
              <w:jc w:val="center"/>
            </w:pPr>
            <w:r>
              <w:rPr>
                <w:rFonts w:ascii="Arial" w:cs="Arial" w:eastAsia="Arial" w:hAnsi="Arial"/>
                <w:b/>
                <w:bCs/>
                <w:color w:val="FFFFFF"/>
                <w:sz w:val="17"/>
                <w:szCs w:val="17"/>
              </w:rPr>
              <w:t xml:space="preserve">AMBER</w:t>
            </w:r>
          </w:p>
        </w:tc>
        <w:tc>
          <w:tcPr>
            <w:tcW w:type="dxa" w:w="3240"/>
            <w:tcBorders>
              <w:top w:val="single" w:color="DDDDDD" w:sz="1"/>
              <w:left w:val="single" w:color="DDDDDD" w:sz="1"/>
              <w:bottom w:val="single" w:color="DDDDDD" w:sz="1"/>
              <w:right w:val="single" w:color="DDDDDD" w:sz="1"/>
            </w:tcBorders>
            <w:shd w:fill="F5F5F5" w:val="clear"/>
            <w:tcMar>
              <w:top w:type="dxa" w:w="90"/>
              <w:left w:type="dxa" w:w="120"/>
              <w:bottom w:type="dxa" w:w="90"/>
              <w:right w:type="dxa" w:w="120"/>
            </w:tcMar>
          </w:tcPr>
          <w:p>
            <w:pPr>
              <w:spacing w:before="0" w:after="0" w:line="270"/>
            </w:pPr>
            <w:r>
              <w:rPr>
                <w:rFonts w:ascii="Arial" w:cs="Arial" w:eastAsia="Arial" w:hAnsi="Arial"/>
                <w:color w:val="555566"/>
                <w:sz w:val="19"/>
                <w:szCs w:val="19"/>
              </w:rPr>
              <w:t xml:space="preserve">Strong core. One critical framing risk on Track 3.</w:t>
            </w:r>
          </w:p>
        </w:tc>
      </w:tr>
      <w:tr>
        <w:tc>
          <w:tcPr>
            <w:tcW w:type="dxa" w:w="32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r>
              <w:rPr>
                <w:rFonts w:ascii="Georgia" w:cs="Georgia" w:eastAsia="Georgia" w:hAnsi="Georgia"/>
                <w:b/>
                <w:bCs/>
                <w:color w:val="1F4E79"/>
                <w:sz w:val="20"/>
                <w:szCs w:val="20"/>
              </w:rPr>
              <w:t xml:space="preserve">Scientific Quality &amp; Rigor</w:t>
            </w:r>
          </w:p>
        </w:tc>
        <w:tc>
          <w:tcPr>
            <w:tcW w:type="dxa" w:w="1000"/>
            <w:tcBorders>
              <w:top w:val="single" w:color="DDDDDD" w:sz="1"/>
              <w:left w:val="single" w:color="DDDDDD" w:sz="1"/>
              <w:bottom w:val="single" w:color="DDDDDD" w:sz="1"/>
              <w:right w:val="single" w:color="DDDDDD" w:sz="1"/>
            </w:tcBorders>
            <w:shd w:fill="8B0000" w:val="clear"/>
            <w:tcMar>
              <w:top w:type="dxa" w:w="90"/>
              <w:left w:type="dxa" w:w="80"/>
              <w:bottom w:type="dxa" w:w="90"/>
              <w:right w:type="dxa" w:w="80"/>
            </w:tcMar>
          </w:tcPr>
          <w:p>
            <w:pPr>
              <w:jc w:val="center"/>
            </w:pPr>
            <w:r>
              <w:rPr>
                <w:rFonts w:ascii="Arial" w:cs="Arial" w:eastAsia="Arial" w:hAnsi="Arial"/>
                <w:b/>
                <w:bCs/>
                <w:color w:val="FFFFFF"/>
                <w:sz w:val="20"/>
                <w:szCs w:val="20"/>
              </w:rPr>
              <w:t xml:space="preserve">6/10</w:t>
            </w:r>
          </w:p>
        </w:tc>
        <w:tc>
          <w:tcPr>
            <w:tcW w:type="dxa" w:w="1200"/>
            <w:tcBorders>
              <w:top w:val="single" w:color="DDDDDD" w:sz="1"/>
              <w:left w:val="single" w:color="DDDDDD" w:sz="1"/>
              <w:bottom w:val="single" w:color="DDDDDD" w:sz="1"/>
              <w:right w:val="single" w:color="DDDDDD" w:sz="1"/>
            </w:tcBorders>
            <w:shd w:fill="8B0000" w:val="clear"/>
            <w:tcMar>
              <w:top w:type="dxa" w:w="90"/>
              <w:left w:type="dxa" w:w="80"/>
              <w:bottom w:type="dxa" w:w="90"/>
              <w:right w:type="dxa" w:w="80"/>
            </w:tcMar>
          </w:tcPr>
          <w:p>
            <w:pPr>
              <w:jc w:val="center"/>
            </w:pPr>
            <w:r>
              <w:rPr>
                <w:rFonts w:ascii="Arial" w:cs="Arial" w:eastAsia="Arial" w:hAnsi="Arial"/>
                <w:b/>
                <w:bCs/>
                <w:color w:val="FFFFFF"/>
                <w:sz w:val="17"/>
                <w:szCs w:val="17"/>
              </w:rPr>
              <w:t xml:space="preserve">RED</w:t>
            </w:r>
          </w:p>
        </w:tc>
        <w:tc>
          <w:tcPr>
            <w:tcW w:type="dxa" w:w="324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spacing w:before="0" w:after="0" w:line="270"/>
            </w:pPr>
            <w:r>
              <w:rPr>
                <w:rFonts w:ascii="Arial" w:cs="Arial" w:eastAsia="Arial" w:hAnsi="Arial"/>
                <w:color w:val="555566"/>
                <w:sz w:val="19"/>
                <w:szCs w:val="19"/>
              </w:rPr>
              <w:t xml:space="preserve">Missing: explicit mechanistic argument for WHY whitebox &gt; blackbox at translation layer. Missing: threat model specification.</w:t>
            </w:r>
          </w:p>
        </w:tc>
      </w:tr>
      <w:tr>
        <w:tc>
          <w:tcPr>
            <w:tcW w:type="dxa" w:w="3200"/>
            <w:tcBorders>
              <w:top w:val="single" w:color="DDDDDD" w:sz="1"/>
              <w:left w:val="single" w:color="DDDDDD" w:sz="1"/>
              <w:bottom w:val="single" w:color="DDDDDD" w:sz="1"/>
              <w:right w:val="single" w:color="DDDDDD" w:sz="1"/>
            </w:tcBorders>
            <w:shd w:fill="F5F5F5" w:val="clear"/>
            <w:tcMar>
              <w:top w:type="dxa" w:w="90"/>
              <w:left w:type="dxa" w:w="120"/>
              <w:bottom w:type="dxa" w:w="90"/>
              <w:right w:type="dxa" w:w="120"/>
            </w:tcMar>
          </w:tcPr>
          <w:p>
            <w:r>
              <w:rPr>
                <w:rFonts w:ascii="Georgia" w:cs="Georgia" w:eastAsia="Georgia" w:hAnsi="Georgia"/>
                <w:b/>
                <w:bCs/>
                <w:color w:val="1F4E79"/>
                <w:sz w:val="20"/>
                <w:szCs w:val="20"/>
              </w:rPr>
              <w:t xml:space="preserve">Potential Impact</w:t>
            </w:r>
          </w:p>
        </w:tc>
        <w:tc>
          <w:tcPr>
            <w:tcW w:type="dxa" w:w="1000"/>
            <w:tcBorders>
              <w:top w:val="single" w:color="DDDDDD" w:sz="1"/>
              <w:left w:val="single" w:color="DDDDDD" w:sz="1"/>
              <w:bottom w:val="single" w:color="DDDDDD" w:sz="1"/>
              <w:right w:val="single" w:color="DDDDDD" w:sz="1"/>
            </w:tcBorders>
            <w:shd w:fill="155724" w:val="clear"/>
            <w:tcMar>
              <w:top w:type="dxa" w:w="90"/>
              <w:left w:type="dxa" w:w="80"/>
              <w:bottom w:type="dxa" w:w="90"/>
              <w:right w:type="dxa" w:w="80"/>
            </w:tcMar>
          </w:tcPr>
          <w:p>
            <w:pPr>
              <w:jc w:val="center"/>
            </w:pPr>
            <w:r>
              <w:rPr>
                <w:rFonts w:ascii="Arial" w:cs="Arial" w:eastAsia="Arial" w:hAnsi="Arial"/>
                <w:b/>
                <w:bCs/>
                <w:color w:val="FFFFFF"/>
                <w:sz w:val="20"/>
                <w:szCs w:val="20"/>
              </w:rPr>
              <w:t xml:space="preserve">8/10</w:t>
            </w:r>
          </w:p>
        </w:tc>
        <w:tc>
          <w:tcPr>
            <w:tcW w:type="dxa" w:w="1200"/>
            <w:tcBorders>
              <w:top w:val="single" w:color="DDDDDD" w:sz="1"/>
              <w:left w:val="single" w:color="DDDDDD" w:sz="1"/>
              <w:bottom w:val="single" w:color="DDDDDD" w:sz="1"/>
              <w:right w:val="single" w:color="DDDDDD" w:sz="1"/>
            </w:tcBorders>
            <w:shd w:fill="155724" w:val="clear"/>
            <w:tcMar>
              <w:top w:type="dxa" w:w="90"/>
              <w:left w:type="dxa" w:w="80"/>
              <w:bottom w:type="dxa" w:w="90"/>
              <w:right w:type="dxa" w:w="80"/>
            </w:tcMar>
          </w:tcPr>
          <w:p>
            <w:pPr>
              <w:jc w:val="center"/>
            </w:pPr>
            <w:r>
              <w:rPr>
                <w:rFonts w:ascii="Arial" w:cs="Arial" w:eastAsia="Arial" w:hAnsi="Arial"/>
                <w:b/>
                <w:bCs/>
                <w:color w:val="FFFFFF"/>
                <w:sz w:val="17"/>
                <w:szCs w:val="17"/>
              </w:rPr>
              <w:t xml:space="preserve">GREEN</w:t>
            </w:r>
          </w:p>
        </w:tc>
        <w:tc>
          <w:tcPr>
            <w:tcW w:type="dxa" w:w="3240"/>
            <w:tcBorders>
              <w:top w:val="single" w:color="DDDDDD" w:sz="1"/>
              <w:left w:val="single" w:color="DDDDDD" w:sz="1"/>
              <w:bottom w:val="single" w:color="DDDDDD" w:sz="1"/>
              <w:right w:val="single" w:color="DDDDDD" w:sz="1"/>
            </w:tcBorders>
            <w:shd w:fill="F5F5F5" w:val="clear"/>
            <w:tcMar>
              <w:top w:type="dxa" w:w="90"/>
              <w:left w:type="dxa" w:w="120"/>
              <w:bottom w:type="dxa" w:w="90"/>
              <w:right w:type="dxa" w:w="120"/>
            </w:tcMar>
          </w:tcPr>
          <w:p>
            <w:pPr>
              <w:spacing w:before="0" w:after="0" w:line="270"/>
            </w:pPr>
            <w:r>
              <w:rPr>
                <w:rFonts w:ascii="Arial" w:cs="Arial" w:eastAsia="Arial" w:hAnsi="Arial"/>
                <w:color w:val="555566"/>
                <w:sz w:val="19"/>
                <w:szCs w:val="19"/>
              </w:rPr>
              <w:t xml:space="preserve">African deployment as stress test is genuinely novel. Field-shaping potential is credible.</w:t>
            </w:r>
          </w:p>
        </w:tc>
      </w:tr>
      <w:tr>
        <w:tc>
          <w:tcPr>
            <w:tcW w:type="dxa" w:w="32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r>
              <w:rPr>
                <w:rFonts w:ascii="Georgia" w:cs="Georgia" w:eastAsia="Georgia" w:hAnsi="Georgia"/>
                <w:b/>
                <w:bCs/>
                <w:color w:val="1F4E79"/>
                <w:sz w:val="20"/>
                <w:szCs w:val="20"/>
              </w:rPr>
              <w:t xml:space="preserve">Feasibility &amp; Scope</w:t>
            </w:r>
          </w:p>
        </w:tc>
        <w:tc>
          <w:tcPr>
            <w:tcW w:type="dxa" w:w="1000"/>
            <w:tcBorders>
              <w:top w:val="single" w:color="DDDDDD" w:sz="1"/>
              <w:left w:val="single" w:color="DDDDDD" w:sz="1"/>
              <w:bottom w:val="single" w:color="DDDDDD" w:sz="1"/>
              <w:right w:val="single" w:color="DDDDDD" w:sz="1"/>
            </w:tcBorders>
            <w:shd w:fill="8B5000" w:val="clear"/>
            <w:tcMar>
              <w:top w:type="dxa" w:w="90"/>
              <w:left w:type="dxa" w:w="80"/>
              <w:bottom w:type="dxa" w:w="90"/>
              <w:right w:type="dxa" w:w="80"/>
            </w:tcMar>
          </w:tcPr>
          <w:p>
            <w:pPr>
              <w:jc w:val="center"/>
            </w:pPr>
            <w:r>
              <w:rPr>
                <w:rFonts w:ascii="Arial" w:cs="Arial" w:eastAsia="Arial" w:hAnsi="Arial"/>
                <w:b/>
                <w:bCs/>
                <w:color w:val="FFFFFF"/>
                <w:sz w:val="20"/>
                <w:szCs w:val="20"/>
              </w:rPr>
              <w:t xml:space="preserve">7/10</w:t>
            </w:r>
          </w:p>
        </w:tc>
        <w:tc>
          <w:tcPr>
            <w:tcW w:type="dxa" w:w="1200"/>
            <w:tcBorders>
              <w:top w:val="single" w:color="DDDDDD" w:sz="1"/>
              <w:left w:val="single" w:color="DDDDDD" w:sz="1"/>
              <w:bottom w:val="single" w:color="DDDDDD" w:sz="1"/>
              <w:right w:val="single" w:color="DDDDDD" w:sz="1"/>
            </w:tcBorders>
            <w:shd w:fill="8B5000" w:val="clear"/>
            <w:tcMar>
              <w:top w:type="dxa" w:w="90"/>
              <w:left w:type="dxa" w:w="80"/>
              <w:bottom w:type="dxa" w:w="90"/>
              <w:right w:type="dxa" w:w="80"/>
            </w:tcMar>
          </w:tcPr>
          <w:p>
            <w:pPr>
              <w:jc w:val="center"/>
            </w:pPr>
            <w:r>
              <w:rPr>
                <w:rFonts w:ascii="Arial" w:cs="Arial" w:eastAsia="Arial" w:hAnsi="Arial"/>
                <w:b/>
                <w:bCs/>
                <w:color w:val="FFFFFF"/>
                <w:sz w:val="17"/>
                <w:szCs w:val="17"/>
              </w:rPr>
              <w:t xml:space="preserve">AMBER</w:t>
            </w:r>
          </w:p>
        </w:tc>
        <w:tc>
          <w:tcPr>
            <w:tcW w:type="dxa" w:w="324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spacing w:before="0" w:after="0" w:line="270"/>
            </w:pPr>
            <w:r>
              <w:rPr>
                <w:rFonts w:ascii="Arial" w:cs="Arial" w:eastAsia="Arial" w:hAnsi="Arial"/>
                <w:color w:val="555566"/>
                <w:sz w:val="19"/>
                <w:szCs w:val="19"/>
              </w:rPr>
              <w:t xml:space="preserve">WP4 Lagos study is well-scoped. WP2 probe generalization claim (≥15% F1) needs pre-registered power analysis.</w:t>
            </w:r>
          </w:p>
        </w:tc>
      </w:tr>
      <w:tr>
        <w:tc>
          <w:tcPr>
            <w:tcW w:type="dxa" w:w="3200"/>
            <w:tcBorders>
              <w:top w:val="single" w:color="DDDDDD" w:sz="1"/>
              <w:left w:val="single" w:color="DDDDDD" w:sz="1"/>
              <w:bottom w:val="single" w:color="DDDDDD" w:sz="1"/>
              <w:right w:val="single" w:color="DDDDDD" w:sz="1"/>
            </w:tcBorders>
            <w:shd w:fill="F5F5F5" w:val="clear"/>
            <w:tcMar>
              <w:top w:type="dxa" w:w="90"/>
              <w:left w:type="dxa" w:w="120"/>
              <w:bottom w:type="dxa" w:w="90"/>
              <w:right w:type="dxa" w:w="120"/>
            </w:tcMar>
          </w:tcPr>
          <w:p>
            <w:r>
              <w:rPr>
                <w:rFonts w:ascii="Georgia" w:cs="Georgia" w:eastAsia="Georgia" w:hAnsi="Georgia"/>
                <w:b/>
                <w:bCs/>
                <w:color w:val="1F4E79"/>
                <w:sz w:val="20"/>
                <w:szCs w:val="20"/>
              </w:rPr>
              <w:t xml:space="preserve">Team Expertise</w:t>
            </w:r>
          </w:p>
        </w:tc>
        <w:tc>
          <w:tcPr>
            <w:tcW w:type="dxa" w:w="1000"/>
            <w:tcBorders>
              <w:top w:val="single" w:color="DDDDDD" w:sz="1"/>
              <w:left w:val="single" w:color="DDDDDD" w:sz="1"/>
              <w:bottom w:val="single" w:color="DDDDDD" w:sz="1"/>
              <w:right w:val="single" w:color="DDDDDD" w:sz="1"/>
            </w:tcBorders>
            <w:shd w:fill="8B5000" w:val="clear"/>
            <w:tcMar>
              <w:top w:type="dxa" w:w="90"/>
              <w:left w:type="dxa" w:w="80"/>
              <w:bottom w:type="dxa" w:w="90"/>
              <w:right w:type="dxa" w:w="80"/>
            </w:tcMar>
          </w:tcPr>
          <w:p>
            <w:pPr>
              <w:jc w:val="center"/>
            </w:pPr>
            <w:r>
              <w:rPr>
                <w:rFonts w:ascii="Arial" w:cs="Arial" w:eastAsia="Arial" w:hAnsi="Arial"/>
                <w:b/>
                <w:bCs/>
                <w:color w:val="FFFFFF"/>
                <w:sz w:val="20"/>
                <w:szCs w:val="20"/>
              </w:rPr>
              <w:t xml:space="preserve">6/10</w:t>
            </w:r>
          </w:p>
        </w:tc>
        <w:tc>
          <w:tcPr>
            <w:tcW w:type="dxa" w:w="1200"/>
            <w:tcBorders>
              <w:top w:val="single" w:color="DDDDDD" w:sz="1"/>
              <w:left w:val="single" w:color="DDDDDD" w:sz="1"/>
              <w:bottom w:val="single" w:color="DDDDDD" w:sz="1"/>
              <w:right w:val="single" w:color="DDDDDD" w:sz="1"/>
            </w:tcBorders>
            <w:shd w:fill="8B5000" w:val="clear"/>
            <w:tcMar>
              <w:top w:type="dxa" w:w="90"/>
              <w:left w:type="dxa" w:w="80"/>
              <w:bottom w:type="dxa" w:w="90"/>
              <w:right w:type="dxa" w:w="80"/>
            </w:tcMar>
          </w:tcPr>
          <w:p>
            <w:pPr>
              <w:jc w:val="center"/>
            </w:pPr>
            <w:r>
              <w:rPr>
                <w:rFonts w:ascii="Arial" w:cs="Arial" w:eastAsia="Arial" w:hAnsi="Arial"/>
                <w:b/>
                <w:bCs/>
                <w:color w:val="FFFFFF"/>
                <w:sz w:val="17"/>
                <w:szCs w:val="17"/>
              </w:rPr>
              <w:t xml:space="preserve">AMBER</w:t>
            </w:r>
          </w:p>
        </w:tc>
        <w:tc>
          <w:tcPr>
            <w:tcW w:type="dxa" w:w="3240"/>
            <w:tcBorders>
              <w:top w:val="single" w:color="DDDDDD" w:sz="1"/>
              <w:left w:val="single" w:color="DDDDDD" w:sz="1"/>
              <w:bottom w:val="single" w:color="DDDDDD" w:sz="1"/>
              <w:right w:val="single" w:color="DDDDDD" w:sz="1"/>
            </w:tcBorders>
            <w:shd w:fill="F5F5F5" w:val="clear"/>
            <w:tcMar>
              <w:top w:type="dxa" w:w="90"/>
              <w:left w:type="dxa" w:w="120"/>
              <w:bottom w:type="dxa" w:w="90"/>
              <w:right w:type="dxa" w:w="120"/>
            </w:tcMar>
          </w:tcPr>
          <w:p>
            <w:pPr>
              <w:spacing w:before="0" w:after="0" w:line="270"/>
            </w:pPr>
            <w:r>
              <w:rPr>
                <w:rFonts w:ascii="Arial" w:cs="Arial" w:eastAsia="Arial" w:hAnsi="Arial"/>
                <w:color w:val="555566"/>
                <w:sz w:val="19"/>
                <w:szCs w:val="19"/>
              </w:rPr>
              <w:t xml:space="preserve">Proposal doesn't yet name specific people with interpretability/probing publication records. This will be scored hard.</w:t>
            </w:r>
          </w:p>
        </w:tc>
      </w:tr>
      <w:tr>
        <w:tc>
          <w:tcPr>
            <w:tcW w:type="dxa" w:w="32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r>
              <w:rPr>
                <w:rFonts w:ascii="Georgia" w:cs="Georgia" w:eastAsia="Georgia" w:hAnsi="Georgia"/>
                <w:b/>
                <w:bCs/>
                <w:color w:val="1F4E79"/>
                <w:sz w:val="20"/>
                <w:szCs w:val="20"/>
              </w:rPr>
              <w:t xml:space="preserve">Cost Effectiveness</w:t>
            </w:r>
          </w:p>
        </w:tc>
        <w:tc>
          <w:tcPr>
            <w:tcW w:type="dxa" w:w="1000"/>
            <w:tcBorders>
              <w:top w:val="single" w:color="DDDDDD" w:sz="1"/>
              <w:left w:val="single" w:color="DDDDDD" w:sz="1"/>
              <w:bottom w:val="single" w:color="DDDDDD" w:sz="1"/>
              <w:right w:val="single" w:color="DDDDDD" w:sz="1"/>
            </w:tcBorders>
            <w:shd w:fill="155724" w:val="clear"/>
            <w:tcMar>
              <w:top w:type="dxa" w:w="90"/>
              <w:left w:type="dxa" w:w="80"/>
              <w:bottom w:type="dxa" w:w="90"/>
              <w:right w:type="dxa" w:w="80"/>
            </w:tcMar>
          </w:tcPr>
          <w:p>
            <w:pPr>
              <w:jc w:val="center"/>
            </w:pPr>
            <w:r>
              <w:rPr>
                <w:rFonts w:ascii="Arial" w:cs="Arial" w:eastAsia="Arial" w:hAnsi="Arial"/>
                <w:b/>
                <w:bCs/>
                <w:color w:val="FFFFFF"/>
                <w:sz w:val="20"/>
                <w:szCs w:val="20"/>
              </w:rPr>
              <w:t xml:space="preserve">8/10</w:t>
            </w:r>
          </w:p>
        </w:tc>
        <w:tc>
          <w:tcPr>
            <w:tcW w:type="dxa" w:w="1200"/>
            <w:tcBorders>
              <w:top w:val="single" w:color="DDDDDD" w:sz="1"/>
              <w:left w:val="single" w:color="DDDDDD" w:sz="1"/>
              <w:bottom w:val="single" w:color="DDDDDD" w:sz="1"/>
              <w:right w:val="single" w:color="DDDDDD" w:sz="1"/>
            </w:tcBorders>
            <w:shd w:fill="155724" w:val="clear"/>
            <w:tcMar>
              <w:top w:type="dxa" w:w="90"/>
              <w:left w:type="dxa" w:w="80"/>
              <w:bottom w:type="dxa" w:w="90"/>
              <w:right w:type="dxa" w:w="80"/>
            </w:tcMar>
          </w:tcPr>
          <w:p>
            <w:pPr>
              <w:jc w:val="center"/>
            </w:pPr>
            <w:r>
              <w:rPr>
                <w:rFonts w:ascii="Arial" w:cs="Arial" w:eastAsia="Arial" w:hAnsi="Arial"/>
                <w:b/>
                <w:bCs/>
                <w:color w:val="FFFFFF"/>
                <w:sz w:val="17"/>
                <w:szCs w:val="17"/>
              </w:rPr>
              <w:t xml:space="preserve">GREEN</w:t>
            </w:r>
          </w:p>
        </w:tc>
        <w:tc>
          <w:tcPr>
            <w:tcW w:type="dxa" w:w="324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spacing w:before="0" w:after="0" w:line="270"/>
            </w:pPr>
            <w:r>
              <w:rPr>
                <w:rFonts w:ascii="Arial" w:cs="Arial" w:eastAsia="Arial" w:hAnsi="Arial"/>
                <w:color w:val="555566"/>
                <w:sz w:val="19"/>
                <w:szCs w:val="19"/>
              </w:rPr>
              <w:t xml:space="preserve">$884k at 9.9% overhead, personnel at 79% — all defensible. Budget table is solid.</w:t>
            </w:r>
          </w:p>
        </w:tc>
      </w:tr>
      <w:tr>
        <w:tc>
          <w:tcPr>
            <w:tcW w:type="dxa" w:w="3200"/>
            <w:tcBorders>
              <w:top w:val="single" w:color="DDDDDD" w:sz="1"/>
              <w:left w:val="single" w:color="DDDDDD" w:sz="1"/>
              <w:bottom w:val="single" w:color="DDDDDD" w:sz="1"/>
              <w:right w:val="single" w:color="DDDDDD" w:sz="1"/>
            </w:tcBorders>
            <w:shd w:fill="F5F5F5" w:val="clear"/>
            <w:tcMar>
              <w:top w:type="dxa" w:w="90"/>
              <w:left w:type="dxa" w:w="120"/>
              <w:bottom w:type="dxa" w:w="90"/>
              <w:right w:type="dxa" w:w="120"/>
            </w:tcMar>
          </w:tcPr>
          <w:p>
            <w:r>
              <w:rPr>
                <w:rFonts w:ascii="Georgia" w:cs="Georgia" w:eastAsia="Georgia" w:hAnsi="Georgia"/>
                <w:b/>
                <w:bCs/>
                <w:color w:val="1F4E79"/>
                <w:sz w:val="20"/>
                <w:szCs w:val="20"/>
              </w:rPr>
              <w:t xml:space="preserve">Out-of-Scope Risk</w:t>
            </w:r>
          </w:p>
        </w:tc>
        <w:tc>
          <w:tcPr>
            <w:tcW w:type="dxa" w:w="1000"/>
            <w:tcBorders>
              <w:top w:val="single" w:color="DDDDDD" w:sz="1"/>
              <w:left w:val="single" w:color="DDDDDD" w:sz="1"/>
              <w:bottom w:val="single" w:color="DDDDDD" w:sz="1"/>
              <w:right w:val="single" w:color="DDDDDD" w:sz="1"/>
            </w:tcBorders>
            <w:shd w:fill="8B0000" w:val="clear"/>
            <w:tcMar>
              <w:top w:type="dxa" w:w="90"/>
              <w:left w:type="dxa" w:w="80"/>
              <w:bottom w:type="dxa" w:w="90"/>
              <w:right w:type="dxa" w:w="80"/>
            </w:tcMar>
          </w:tcPr>
          <w:p>
            <w:pPr>
              <w:jc w:val="center"/>
            </w:pPr>
            <w:r>
              <w:rPr>
                <w:rFonts w:ascii="Arial" w:cs="Arial" w:eastAsia="Arial" w:hAnsi="Arial"/>
                <w:b/>
                <w:bCs/>
                <w:color w:val="FFFFFF"/>
                <w:sz w:val="20"/>
                <w:szCs w:val="20"/>
              </w:rPr>
              <w:t xml:space="preserve">CRITICAL</w:t>
            </w:r>
          </w:p>
        </w:tc>
        <w:tc>
          <w:tcPr>
            <w:tcW w:type="dxa" w:w="1200"/>
            <w:tcBorders>
              <w:top w:val="single" w:color="DDDDDD" w:sz="1"/>
              <w:left w:val="single" w:color="DDDDDD" w:sz="1"/>
              <w:bottom w:val="single" w:color="DDDDDD" w:sz="1"/>
              <w:right w:val="single" w:color="DDDDDD" w:sz="1"/>
            </w:tcBorders>
            <w:shd w:fill="8B0000" w:val="clear"/>
            <w:tcMar>
              <w:top w:type="dxa" w:w="90"/>
              <w:left w:type="dxa" w:w="80"/>
              <w:bottom w:type="dxa" w:w="90"/>
              <w:right w:type="dxa" w:w="80"/>
            </w:tcMar>
          </w:tcPr>
          <w:p>
            <w:pPr>
              <w:jc w:val="center"/>
            </w:pPr>
            <w:r>
              <w:rPr>
                <w:rFonts w:ascii="Arial" w:cs="Arial" w:eastAsia="Arial" w:hAnsi="Arial"/>
                <w:b/>
                <w:bCs/>
                <w:color w:val="FFFFFF"/>
                <w:sz w:val="17"/>
                <w:szCs w:val="17"/>
              </w:rPr>
              <w:t xml:space="preserve">RED</w:t>
            </w:r>
          </w:p>
        </w:tc>
        <w:tc>
          <w:tcPr>
            <w:tcW w:type="dxa" w:w="3240"/>
            <w:tcBorders>
              <w:top w:val="single" w:color="DDDDDD" w:sz="1"/>
              <w:left w:val="single" w:color="DDDDDD" w:sz="1"/>
              <w:bottom w:val="single" w:color="DDDDDD" w:sz="1"/>
              <w:right w:val="single" w:color="DDDDDD" w:sz="1"/>
            </w:tcBorders>
            <w:shd w:fill="F5F5F5" w:val="clear"/>
            <w:tcMar>
              <w:top w:type="dxa" w:w="90"/>
              <w:left w:type="dxa" w:w="120"/>
              <w:bottom w:type="dxa" w:w="90"/>
              <w:right w:type="dxa" w:w="120"/>
            </w:tcMar>
          </w:tcPr>
          <w:p>
            <w:pPr>
              <w:spacing w:before="0" w:after="0" w:line="270"/>
            </w:pPr>
            <w:r>
              <w:rPr>
                <w:rFonts w:ascii="Arial" w:cs="Arial" w:eastAsia="Arial" w:hAnsi="Arial"/>
                <w:color w:val="555566"/>
                <w:sz w:val="19"/>
                <w:szCs w:val="19"/>
              </w:rPr>
              <w:t xml:space="preserve">Track 3 as currently framed risks hitting two explicit out-of-scope items. Must reframe before submission.</w:t>
            </w:r>
          </w:p>
        </w:tc>
      </w:tr>
      <w:tr>
        <w:tc>
          <w:tcPr>
            <w:tcW w:type="dxa" w:w="32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r>
              <w:rPr>
                <w:rFonts w:ascii="Georgia" w:cs="Georgia" w:eastAsia="Georgia" w:hAnsi="Georgia"/>
                <w:b/>
                <w:bCs/>
                <w:color w:val="1F4E79"/>
                <w:sz w:val="20"/>
                <w:szCs w:val="20"/>
              </w:rPr>
              <w:t xml:space="preserve">Core Definition Alignment</w:t>
            </w:r>
          </w:p>
        </w:tc>
        <w:tc>
          <w:tcPr>
            <w:tcW w:type="dxa" w:w="1000"/>
            <w:tcBorders>
              <w:top w:val="single" w:color="DDDDDD" w:sz="1"/>
              <w:left w:val="single" w:color="DDDDDD" w:sz="1"/>
              <w:bottom w:val="single" w:color="DDDDDD" w:sz="1"/>
              <w:right w:val="single" w:color="DDDDDD" w:sz="1"/>
            </w:tcBorders>
            <w:shd w:fill="8B5000" w:val="clear"/>
            <w:tcMar>
              <w:top w:type="dxa" w:w="90"/>
              <w:left w:type="dxa" w:w="80"/>
              <w:bottom w:type="dxa" w:w="90"/>
              <w:right w:type="dxa" w:w="80"/>
            </w:tcMar>
          </w:tcPr>
          <w:p>
            <w:pPr>
              <w:jc w:val="center"/>
            </w:pPr>
            <w:r>
              <w:rPr>
                <w:rFonts w:ascii="Arial" w:cs="Arial" w:eastAsia="Arial" w:hAnsi="Arial"/>
                <w:b/>
                <w:bCs/>
                <w:color w:val="FFFFFF"/>
                <w:sz w:val="20"/>
                <w:szCs w:val="20"/>
              </w:rPr>
              <w:t xml:space="preserve">6/10</w:t>
            </w:r>
          </w:p>
        </w:tc>
        <w:tc>
          <w:tcPr>
            <w:tcW w:type="dxa" w:w="1200"/>
            <w:tcBorders>
              <w:top w:val="single" w:color="DDDDDD" w:sz="1"/>
              <w:left w:val="single" w:color="DDDDDD" w:sz="1"/>
              <w:bottom w:val="single" w:color="DDDDDD" w:sz="1"/>
              <w:right w:val="single" w:color="DDDDDD" w:sz="1"/>
            </w:tcBorders>
            <w:shd w:fill="8B5000" w:val="clear"/>
            <w:tcMar>
              <w:top w:type="dxa" w:w="90"/>
              <w:left w:type="dxa" w:w="80"/>
              <w:bottom w:type="dxa" w:w="90"/>
              <w:right w:type="dxa" w:w="80"/>
            </w:tcMar>
          </w:tcPr>
          <w:p>
            <w:pPr>
              <w:jc w:val="center"/>
            </w:pPr>
            <w:r>
              <w:rPr>
                <w:rFonts w:ascii="Arial" w:cs="Arial" w:eastAsia="Arial" w:hAnsi="Arial"/>
                <w:b/>
                <w:bCs/>
                <w:color w:val="FFFFFF"/>
                <w:sz w:val="17"/>
                <w:szCs w:val="17"/>
              </w:rPr>
              <w:t xml:space="preserve">AMBER</w:t>
            </w:r>
          </w:p>
        </w:tc>
        <w:tc>
          <w:tcPr>
            <w:tcW w:type="dxa" w:w="324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spacing w:before="0" w:after="0" w:line="270"/>
            </w:pPr>
            <w:r>
              <w:rPr>
                <w:rFonts w:ascii="Arial" w:cs="Arial" w:eastAsia="Arial" w:hAnsi="Arial"/>
                <w:color w:val="555566"/>
                <w:sz w:val="19"/>
                <w:szCs w:val="19"/>
              </w:rPr>
              <w:t xml:space="preserve">Model 'knows' it's being deceptive — need mechanistic evidence this is true for translation-layer behaviors.</w:t>
            </w:r>
          </w:p>
        </w:tc>
      </w:tr>
    </w:tbl>
    <w:p>
      <w:pPr>
        <w:spacing w:before="60" w:after="60"/>
      </w:pPr>
      <w:r>
        <w:t xml:space="preserve"/>
      </w:r>
    </w:p>
    <w:p>
      <w:pPr>
        <w:pBdr>
          <w:bottom w:val="single" w:color="8B0000" w:sz="6" w:space="4"/>
        </w:pBdr>
        <w:spacing w:before="360" w:after="60"/>
      </w:pPr>
      <w:r>
        <w:rPr>
          <w:rFonts w:ascii="Arial" w:cs="Arial" w:eastAsia="Arial" w:hAnsi="Arial"/>
          <w:b/>
          <w:bCs/>
          <w:caps/>
          <w:color w:val="8B0000"/>
          <w:spacing w:val="100"/>
          <w:sz w:val="17"/>
          <w:szCs w:val="17"/>
        </w:rPr>
        <w:t xml:space="preserve">Critical Issue 1 — Schmidt’s Definition Requires the Model to ‘Know’ It Is Deceiving</w:t>
      </w:r>
    </w:p>
    <w:p>
      <w:pPr>
        <w:spacing w:before="60" w:after="60"/>
      </w:pPr>
      <w:r>
        <w:t xml:space="preserve"/>
      </w:r>
    </w:p>
    <w:p>
      <w:pPr>
        <w:spacing w:before="0" w:after="200" w:line="288"/>
      </w:pPr>
      <w:r>
        <w:rPr>
          <w:rFonts w:ascii="Georgia" w:cs="Georgia" w:eastAsia="Georgia" w:hAnsi="Georgia"/>
          <w:color w:val="1A1A1A"/>
          <w:sz w:val="24"/>
          <w:szCs w:val="24"/>
        </w:rPr>
        <w:t xml:space="preserve">This is the most important alignment issue in the proposal. Schmidt defines deceptive behavior as cases where there is 'a contradiction between what a model says (or does) and what it internally represents to be true.'</w:t>
      </w:r>
    </w:p>
    <w:p>
      <w:pPr>
        <w:spacing w:before="0" w:after="200" w:line="288"/>
      </w:pPr>
      <w:r>
        <w:rPr>
          <w:rFonts w:ascii="Georgia" w:cs="Georgia" w:eastAsia="Georgia" w:hAnsi="Georgia"/>
          <w:color w:val="1A1A1A"/>
          <w:sz w:val="24"/>
          <w:szCs w:val="24"/>
        </w:rPr>
        <w:t xml:space="preserve">That is a specific and demanding definition. It requires that the model holds an internal representation of the truth while producing a different output. It is not sufficient to show that the output is wrong. It requires showing that the internal state represents something different from what the output claims.</w:t>
      </w:r>
    </w:p>
    <w:p>
      <w:pPr>
        <w:spacing w:before="0" w:after="200" w:line="288"/>
      </w:pPr>
      <w:r>
        <w:rPr>
          <w:rFonts w:ascii="Georgia" w:cs="Georgia" w:eastAsia="Georgia" w:hAnsi="Georgia"/>
          <w:color w:val="1A1A1A"/>
          <w:sz w:val="24"/>
          <w:szCs w:val="24"/>
        </w:rPr>
        <w:t xml:space="preserve">The proposal maps six deception categories to African deployment failures. Not all six satisfy this definition with equal strength. Here is the honest assessment:</w:t>
      </w:r>
    </w:p>
    <w:p>
      <w:pPr>
        <w:spacing w:before="60"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040"/>
      </w:tblGrid>
      <w:tr>
        <w:trPr>
          <w:tblHeader/>
        </w:trPr>
        <w:tc>
          <w:tcPr>
            <w:tcW w:type="dxa" w:w="1800"/>
            <w:tcBorders>
              <w:top w:val="single" w:color="DDDDDD" w:sz="1"/>
              <w:left w:val="single" w:color="DDDDDD" w:sz="1"/>
              <w:bottom w:val="single" w:color="DDDDDD" w:sz="1"/>
              <w:right w:val="single" w:color="DDDDDD" w:sz="1"/>
            </w:tcBorders>
            <w:shd w:fill="1F4E79" w:val="clear"/>
            <w:tcMar>
              <w:top w:type="dxa" w:w="80"/>
              <w:left w:type="dxa" w:w="110"/>
              <w:bottom w:type="dxa" w:w="80"/>
              <w:right w:type="dxa" w:w="110"/>
            </w:tcMar>
          </w:tcPr>
          <w:p>
            <w:r>
              <w:rPr>
                <w:rFonts w:ascii="Arial" w:cs="Arial" w:eastAsia="Arial" w:hAnsi="Arial"/>
                <w:b/>
                <w:bCs/>
                <w:color w:val="FFFFFF"/>
                <w:sz w:val="15"/>
                <w:szCs w:val="15"/>
              </w:rPr>
              <w:t xml:space="preserve">Category</w:t>
            </w:r>
          </w:p>
        </w:tc>
        <w:tc>
          <w:tcPr>
            <w:tcW w:type="dxa" w:w="2400"/>
            <w:tcBorders>
              <w:top w:val="single" w:color="DDDDDD" w:sz="1"/>
              <w:left w:val="single" w:color="DDDDDD" w:sz="1"/>
              <w:bottom w:val="single" w:color="DDDDDD" w:sz="1"/>
              <w:right w:val="single" w:color="DDDDDD" w:sz="1"/>
            </w:tcBorders>
            <w:shd w:fill="1F4E79" w:val="clear"/>
            <w:tcMar>
              <w:top w:type="dxa" w:w="80"/>
              <w:left w:type="dxa" w:w="110"/>
              <w:bottom w:type="dxa" w:w="80"/>
              <w:right w:type="dxa" w:w="110"/>
            </w:tcMar>
          </w:tcPr>
          <w:p>
            <w:r>
              <w:rPr>
                <w:rFonts w:ascii="Arial" w:cs="Arial" w:eastAsia="Arial" w:hAnsi="Arial"/>
                <w:b/>
                <w:bCs/>
                <w:color w:val="FFFFFF"/>
                <w:sz w:val="15"/>
                <w:szCs w:val="15"/>
              </w:rPr>
              <w:t xml:space="preserve">Schmidt definition fit</w:t>
            </w:r>
          </w:p>
        </w:tc>
        <w:tc>
          <w:tcPr>
            <w:tcW w:type="dxa" w:w="2400"/>
            <w:tcBorders>
              <w:top w:val="single" w:color="DDDDDD" w:sz="1"/>
              <w:left w:val="single" w:color="DDDDDD" w:sz="1"/>
              <w:bottom w:val="single" w:color="DDDDDD" w:sz="1"/>
              <w:right w:val="single" w:color="DDDDDD" w:sz="1"/>
            </w:tcBorders>
            <w:shd w:fill="1F4E79" w:val="clear"/>
            <w:tcMar>
              <w:top w:type="dxa" w:w="80"/>
              <w:left w:type="dxa" w:w="110"/>
              <w:bottom w:type="dxa" w:w="80"/>
              <w:right w:type="dxa" w:w="110"/>
            </w:tcMar>
          </w:tcPr>
          <w:p>
            <w:r>
              <w:rPr>
                <w:rFonts w:ascii="Arial" w:cs="Arial" w:eastAsia="Arial" w:hAnsi="Arial"/>
                <w:b/>
                <w:bCs/>
                <w:color w:val="FFFFFF"/>
                <w:sz w:val="15"/>
                <w:szCs w:val="15"/>
              </w:rPr>
              <w:t xml:space="preserve">Problem</w:t>
            </w:r>
          </w:p>
        </w:tc>
        <w:tc>
          <w:tcPr>
            <w:tcW w:type="dxa" w:w="2040"/>
            <w:tcBorders>
              <w:top w:val="single" w:color="DDDDDD" w:sz="1"/>
              <w:left w:val="single" w:color="DDDDDD" w:sz="1"/>
              <w:bottom w:val="single" w:color="DDDDDD" w:sz="1"/>
              <w:right w:val="single" w:color="DDDDDD" w:sz="1"/>
            </w:tcBorders>
            <w:shd w:fill="1F4E79" w:val="clear"/>
            <w:tcMar>
              <w:top w:type="dxa" w:w="80"/>
              <w:left w:type="dxa" w:w="110"/>
              <w:bottom w:type="dxa" w:w="80"/>
              <w:right w:type="dxa" w:w="110"/>
            </w:tcMar>
          </w:tcPr>
          <w:p>
            <w:r>
              <w:rPr>
                <w:rFonts w:ascii="Arial" w:cs="Arial" w:eastAsia="Arial" w:hAnsi="Arial"/>
                <w:b/>
                <w:bCs/>
                <w:color w:val="FFFFFF"/>
                <w:sz w:val="15"/>
                <w:szCs w:val="15"/>
              </w:rPr>
              <w:t xml:space="preserve">Required fix</w:t>
            </w:r>
          </w:p>
        </w:tc>
      </w:tr>
      <w:tr>
        <w:tc>
          <w:tcPr>
            <w:tcW w:type="dxa" w:w="1800"/>
            <w:tcBorders>
              <w:top w:val="single" w:color="DDDDDD" w:sz="1"/>
              <w:left w:val="single" w:color="DDDDDD" w:sz="1"/>
              <w:bottom w:val="single" w:color="DDDDDD" w:sz="1"/>
              <w:right w:val="single" w:color="DDDDDD" w:sz="1"/>
            </w:tcBorders>
            <w:shd w:fill="155724" w:val="clear"/>
            <w:tcMar>
              <w:top w:type="dxa" w:w="90"/>
              <w:left w:type="dxa" w:w="110"/>
              <w:bottom w:type="dxa" w:w="90"/>
              <w:right w:type="dxa" w:w="110"/>
            </w:tcMar>
          </w:tcPr>
          <w:p>
            <w:pPr>
              <w:spacing w:before="0" w:after="20"/>
            </w:pPr>
            <w:r>
              <w:rPr>
                <w:rFonts w:ascii="Arial" w:cs="Arial" w:eastAsia="Arial" w:hAnsi="Arial"/>
                <w:b/>
                <w:bCs/>
                <w:color w:val="FFFFFF"/>
                <w:sz w:val="16"/>
                <w:szCs w:val="16"/>
              </w:rPr>
              <w:t xml:space="preserve">STRONG FIT</w:t>
            </w:r>
          </w:p>
          <w:p>
            <w:r>
              <w:rPr>
                <w:rFonts w:ascii="Georgia" w:cs="Georgia" w:eastAsia="Georgia" w:hAnsi="Georgia"/>
                <w:color w:val="FFFFFF"/>
                <w:sz w:val="18"/>
                <w:szCs w:val="18"/>
              </w:rPr>
              <w:t xml:space="preserve">D6 — Capability self-misrepresentation</w:t>
            </w:r>
          </w:p>
        </w:tc>
        <w:tc>
          <w:tcPr>
            <w:tcW w:type="dxa" w:w="2400"/>
            <w:tcBorders>
              <w:top w:val="single" w:color="DDDDDD" w:sz="1"/>
              <w:left w:val="single" w:color="DDDDDD" w:sz="1"/>
              <w:bottom w:val="single" w:color="DDDDDD" w:sz="1"/>
              <w:right w:val="single" w:color="DDDDDD" w:sz="1"/>
            </w:tcBorders>
            <w:shd w:fill="F8F8F8" w:val="clear"/>
            <w:tcMar>
              <w:top w:type="dxa" w:w="90"/>
              <w:left w:type="dxa" w:w="110"/>
              <w:bottom w:type="dxa" w:w="90"/>
              <w:right w:type="dxa" w:w="110"/>
            </w:tcMar>
          </w:tcPr>
          <w:p>
            <w:pPr>
              <w:spacing w:before="0" w:after="0" w:line="272"/>
            </w:pPr>
            <w:r>
              <w:rPr>
                <w:rFonts w:ascii="Georgia" w:cs="Georgia" w:eastAsia="Georgia" w:hAnsi="Georgia"/>
                <w:color w:val="1A1A1A"/>
                <w:sz w:val="19"/>
                <w:szCs w:val="19"/>
              </w:rPr>
              <w:t xml:space="preserve">Model 'internally represents' (via its own capability-assessment circuits) that it is weak in Yoruba, while claiming implicitly through confident generation that it is capable. Hagendorff (PNAS 2024) directly documents this.</w:t>
            </w:r>
          </w:p>
        </w:tc>
        <w:tc>
          <w:tcPr>
            <w:tcW w:type="dxa" w:w="2040"/>
            <w:tcBorders>
              <w:top w:val="single" w:color="DDDDDD" w:sz="1"/>
              <w:left w:val="single" w:color="DDDDDD" w:sz="1"/>
              <w:bottom w:val="single" w:color="DDDDDD" w:sz="1"/>
              <w:right w:val="single" w:color="DDDDDD" w:sz="1"/>
            </w:tcBorders>
            <w:shd w:fill="EFF6EF" w:val="clear"/>
            <w:tcMar>
              <w:top w:type="dxa" w:w="90"/>
              <w:left w:type="dxa" w:w="110"/>
              <w:bottom w:type="dxa" w:w="90"/>
              <w:right w:type="dxa" w:w="110"/>
            </w:tcMar>
          </w:tcPr>
          <w:p>
            <w:pPr>
              <w:spacing w:before="0" w:after="0" w:line="272"/>
            </w:pPr>
            <w:r>
              <w:rPr>
                <w:rFonts w:ascii="Georgia" w:cs="Georgia" w:eastAsia="Georgia" w:hAnsi="Georgia"/>
                <w:color w:val="005555"/>
                <w:sz w:val="19"/>
                <w:szCs w:val="19"/>
              </w:rPr>
              <w:t xml:space="preserve">None. This is the strongest category. Lead with it.</w:t>
            </w:r>
          </w:p>
        </w:tc>
      </w:tr>
      <w:tr>
        <w:tc>
          <w:tcPr>
            <w:tcW w:type="dxa" w:w="1800"/>
            <w:tcBorders>
              <w:top w:val="single" w:color="DDDDDD" w:sz="1"/>
              <w:left w:val="single" w:color="DDDDDD" w:sz="1"/>
              <w:bottom w:val="single" w:color="DDDDDD" w:sz="1"/>
              <w:right w:val="single" w:color="DDDDDD" w:sz="1"/>
            </w:tcBorders>
            <w:shd w:fill="155724" w:val="clear"/>
            <w:tcMar>
              <w:top w:type="dxa" w:w="90"/>
              <w:left w:type="dxa" w:w="110"/>
              <w:bottom w:type="dxa" w:w="90"/>
              <w:right w:type="dxa" w:w="110"/>
            </w:tcMar>
          </w:tcPr>
          <w:p>
            <w:pPr>
              <w:spacing w:before="0" w:after="20"/>
            </w:pPr>
            <w:r>
              <w:rPr>
                <w:rFonts w:ascii="Arial" w:cs="Arial" w:eastAsia="Arial" w:hAnsi="Arial"/>
                <w:b/>
                <w:bCs/>
                <w:color w:val="FFFFFF"/>
                <w:sz w:val="16"/>
                <w:szCs w:val="16"/>
              </w:rPr>
              <w:t xml:space="preserve">STRONG FIT</w:t>
            </w:r>
          </w:p>
          <w:p>
            <w:r>
              <w:rPr>
                <w:rFonts w:ascii="Georgia" w:cs="Georgia" w:eastAsia="Georgia" w:hAnsi="Georgia"/>
                <w:color w:val="FFFFFF"/>
                <w:sz w:val="18"/>
                <w:szCs w:val="18"/>
              </w:rPr>
              <w:t xml:space="preserve">D3 — Context misrepresentation via translation backend</w:t>
            </w:r>
          </w:p>
        </w:tc>
        <w:tc>
          <w:tcPr>
            <w:tcW w:type="dxa" w:w="2400"/>
            <w:tcBorders>
              <w:top w:val="single" w:color="DDDDDD" w:sz="1"/>
              <w:left w:val="single" w:color="DDDDDD" w:sz="1"/>
              <w:bottom w:val="single" w:color="DDDDDD" w:sz="1"/>
              <w:right w:val="single" w:color="DDDDDD" w:sz="1"/>
            </w:tcBorders>
            <w:shd w:fill="FFFFFF" w:val="clear"/>
            <w:tcMar>
              <w:top w:type="dxa" w:w="90"/>
              <w:left w:type="dxa" w:w="110"/>
              <w:bottom w:type="dxa" w:w="90"/>
              <w:right w:type="dxa" w:w="110"/>
            </w:tcMar>
          </w:tcPr>
          <w:p>
            <w:pPr>
              <w:spacing w:before="0" w:after="0" w:line="272"/>
            </w:pPr>
            <w:r>
              <w:rPr>
                <w:rFonts w:ascii="Georgia" w:cs="Georgia" w:eastAsia="Georgia" w:hAnsi="Georgia"/>
                <w:color w:val="1A1A1A"/>
                <w:sz w:val="19"/>
                <w:szCs w:val="19"/>
              </w:rPr>
              <w:t xml:space="preserve">Wendler et al. (2024) and Zhao et al. (2023) document that the model processes Yoruba through English representations. The model 'represents' the interaction as English internally while claiming to the user it is engaging in Yoruba. This is a contradiction between internal state and output claim.</w:t>
            </w:r>
          </w:p>
        </w:tc>
        <w:tc>
          <w:tcPr>
            <w:tcW w:type="dxa" w:w="2040"/>
            <w:tcBorders>
              <w:top w:val="single" w:color="DDDDDD" w:sz="1"/>
              <w:left w:val="single" w:color="DDDDDD" w:sz="1"/>
              <w:bottom w:val="single" w:color="DDDDDD" w:sz="1"/>
              <w:right w:val="single" w:color="DDDDDD" w:sz="1"/>
            </w:tcBorders>
            <w:shd w:fill="FFFFFF" w:val="clear"/>
            <w:tcMar>
              <w:top w:type="dxa" w:w="90"/>
              <w:left w:type="dxa" w:w="110"/>
              <w:bottom w:type="dxa" w:w="90"/>
              <w:right w:type="dxa" w:w="110"/>
            </w:tcMar>
          </w:tcPr>
          <w:p>
            <w:pPr>
              <w:spacing w:before="0" w:after="0" w:line="272"/>
            </w:pPr>
            <w:r>
              <w:rPr>
                <w:rFonts w:ascii="Georgia" w:cs="Georgia" w:eastAsia="Georgia" w:hAnsi="Georgia"/>
                <w:color w:val="005555"/>
                <w:sz w:val="19"/>
                <w:szCs w:val="19"/>
              </w:rPr>
              <w:t xml:space="preserve">Cite Wendler and Zhao explicitly as the mechanistic grounding for D3. The internal representation evidence is already in the literature.</w:t>
            </w:r>
          </w:p>
        </w:tc>
      </w:tr>
      <w:tr>
        <w:tc>
          <w:tcPr>
            <w:tcW w:type="dxa" w:w="1800"/>
            <w:tcBorders>
              <w:top w:val="single" w:color="DDDDDD" w:sz="1"/>
              <w:left w:val="single" w:color="DDDDDD" w:sz="1"/>
              <w:bottom w:val="single" w:color="DDDDDD" w:sz="1"/>
              <w:right w:val="single" w:color="DDDDDD" w:sz="1"/>
            </w:tcBorders>
            <w:shd w:fill="8B5000" w:val="clear"/>
            <w:tcMar>
              <w:top w:type="dxa" w:w="90"/>
              <w:left w:type="dxa" w:w="110"/>
              <w:bottom w:type="dxa" w:w="90"/>
              <w:right w:type="dxa" w:w="110"/>
            </w:tcMar>
          </w:tcPr>
          <w:p>
            <w:pPr>
              <w:spacing w:before="0" w:after="20"/>
            </w:pPr>
            <w:r>
              <w:rPr>
                <w:rFonts w:ascii="Arial" w:cs="Arial" w:eastAsia="Arial" w:hAnsi="Arial"/>
                <w:b/>
                <w:bCs/>
                <w:color w:val="FFFFFF"/>
                <w:sz w:val="16"/>
                <w:szCs w:val="16"/>
              </w:rPr>
              <w:t xml:space="preserve">MODERATE FIT</w:t>
            </w:r>
          </w:p>
          <w:p>
            <w:r>
              <w:rPr>
                <w:rFonts w:ascii="Georgia" w:cs="Georgia" w:eastAsia="Georgia" w:hAnsi="Georgia"/>
                <w:color w:val="FFFFFF"/>
                <w:sz w:val="18"/>
                <w:szCs w:val="18"/>
              </w:rPr>
              <w:t xml:space="preserve">D2 — Confidence miscalibration</w:t>
            </w:r>
          </w:p>
        </w:tc>
        <w:tc>
          <w:tcPr>
            <w:tcW w:type="dxa" w:w="2400"/>
            <w:tcBorders>
              <w:top w:val="single" w:color="DDDDDD" w:sz="1"/>
              <w:left w:val="single" w:color="DDDDDD" w:sz="1"/>
              <w:bottom w:val="single" w:color="DDDDDD" w:sz="1"/>
              <w:right w:val="single" w:color="DDDDDD" w:sz="1"/>
            </w:tcBorders>
            <w:shd w:fill="F8F8F8" w:val="clear"/>
            <w:tcMar>
              <w:top w:type="dxa" w:w="90"/>
              <w:left w:type="dxa" w:w="110"/>
              <w:bottom w:type="dxa" w:w="90"/>
              <w:right w:type="dxa" w:w="110"/>
            </w:tcMar>
          </w:tcPr>
          <w:p>
            <w:pPr>
              <w:spacing w:before="0" w:after="0" w:line="272"/>
            </w:pPr>
            <w:r>
              <w:rPr>
                <w:rFonts w:ascii="Georgia" w:cs="Georgia" w:eastAsia="Georgia" w:hAnsi="Georgia"/>
                <w:color w:val="1A1A1A"/>
                <w:sz w:val="19"/>
                <w:szCs w:val="19"/>
              </w:rPr>
              <w:t xml:space="preserve">The model produces English-calibrated confidence. But does it 'internally represent' a different confidence level for the Yoruba query? This requires mechanistic evidence: is there a layer where the model encodes uncertainty about the low-resource language before generating the confident output?</w:t>
            </w:r>
          </w:p>
        </w:tc>
        <w:tc>
          <w:tcPr>
            <w:tcW w:type="dxa" w:w="2040"/>
            <w:tcBorders>
              <w:top w:val="single" w:color="DDDDDD" w:sz="1"/>
              <w:left w:val="single" w:color="DDDDDD" w:sz="1"/>
              <w:bottom w:val="single" w:color="DDDDDD" w:sz="1"/>
              <w:right w:val="single" w:color="DDDDDD" w:sz="1"/>
            </w:tcBorders>
            <w:shd w:fill="EFF6EF" w:val="clear"/>
            <w:tcMar>
              <w:top w:type="dxa" w:w="90"/>
              <w:left w:type="dxa" w:w="110"/>
              <w:bottom w:type="dxa" w:w="90"/>
              <w:right w:type="dxa" w:w="110"/>
            </w:tcMar>
          </w:tcPr>
          <w:p>
            <w:pPr>
              <w:spacing w:before="0" w:after="0" w:line="272"/>
            </w:pPr>
            <w:r>
              <w:rPr>
                <w:rFonts w:ascii="Georgia" w:cs="Georgia" w:eastAsia="Georgia" w:hAnsi="Georgia"/>
                <w:color w:val="005555"/>
                <w:sz w:val="19"/>
                <w:szCs w:val="19"/>
              </w:rPr>
              <w:t xml:space="preserve">Add: Datta et al. (2026) found internal uncertainty signals exist. This is the mechanistic evidence that internal representation differs from output. Cite it explicitly as proving D2 fit.</w:t>
            </w:r>
          </w:p>
        </w:tc>
      </w:tr>
      <w:tr>
        <w:tc>
          <w:tcPr>
            <w:tcW w:type="dxa" w:w="1800"/>
            <w:tcBorders>
              <w:top w:val="single" w:color="DDDDDD" w:sz="1"/>
              <w:left w:val="single" w:color="DDDDDD" w:sz="1"/>
              <w:bottom w:val="single" w:color="DDDDDD" w:sz="1"/>
              <w:right w:val="single" w:color="DDDDDD" w:sz="1"/>
            </w:tcBorders>
            <w:shd w:fill="8B5000" w:val="clear"/>
            <w:tcMar>
              <w:top w:type="dxa" w:w="90"/>
              <w:left w:type="dxa" w:w="110"/>
              <w:bottom w:type="dxa" w:w="90"/>
              <w:right w:type="dxa" w:w="110"/>
            </w:tcMar>
          </w:tcPr>
          <w:p>
            <w:pPr>
              <w:spacing w:before="0" w:after="20"/>
            </w:pPr>
            <w:r>
              <w:rPr>
                <w:rFonts w:ascii="Arial" w:cs="Arial" w:eastAsia="Arial" w:hAnsi="Arial"/>
                <w:b/>
                <w:bCs/>
                <w:color w:val="FFFFFF"/>
                <w:sz w:val="16"/>
                <w:szCs w:val="16"/>
              </w:rPr>
              <w:t xml:space="preserve">PARTIAL FIT</w:t>
            </w:r>
          </w:p>
          <w:p>
            <w:r>
              <w:rPr>
                <w:rFonts w:ascii="Georgia" w:cs="Georgia" w:eastAsia="Georgia" w:hAnsi="Georgia"/>
                <w:color w:val="FFFFFF"/>
                <w:sz w:val="18"/>
                <w:szCs w:val="18"/>
              </w:rPr>
              <w:t xml:space="preserve">D4 — Selective omission</w:t>
            </w:r>
          </w:p>
        </w:tc>
        <w:tc>
          <w:tcPr>
            <w:tcW w:type="dxa" w:w="2400"/>
            <w:tcBorders>
              <w:top w:val="single" w:color="DDDDDD" w:sz="1"/>
              <w:left w:val="single" w:color="DDDDDD" w:sz="1"/>
              <w:bottom w:val="single" w:color="DDDDDD" w:sz="1"/>
              <w:right w:val="single" w:color="DDDDDD" w:sz="1"/>
            </w:tcBorders>
            <w:shd w:fill="FFFFFF" w:val="clear"/>
            <w:tcMar>
              <w:top w:type="dxa" w:w="90"/>
              <w:left w:type="dxa" w:w="110"/>
              <w:bottom w:type="dxa" w:w="90"/>
              <w:right w:type="dxa" w:w="110"/>
            </w:tcMar>
          </w:tcPr>
          <w:p>
            <w:pPr>
              <w:spacing w:before="0" w:after="0" w:line="272"/>
            </w:pPr>
            <w:r>
              <w:rPr>
                <w:rFonts w:ascii="Georgia" w:cs="Georgia" w:eastAsia="Georgia" w:hAnsi="Georgia"/>
                <w:color w:val="1A1A1A"/>
                <w:sz w:val="19"/>
                <w:szCs w:val="19"/>
              </w:rPr>
              <w:t xml:space="preserve">Harder to frame as 'model knows' vs capability limitation. The model may not have the African-specific information in any layer to omit. If it is not present, this is ignorance, not deception.</w:t>
            </w:r>
          </w:p>
        </w:tc>
        <w:tc>
          <w:tcPr>
            <w:tcW w:type="dxa" w:w="2040"/>
            <w:tcBorders>
              <w:top w:val="single" w:color="DDDDDD" w:sz="1"/>
              <w:left w:val="single" w:color="DDDDDD" w:sz="1"/>
              <w:bottom w:val="single" w:color="DDDDDD" w:sz="1"/>
              <w:right w:val="single" w:color="DDDDDD" w:sz="1"/>
            </w:tcBorders>
            <w:shd w:fill="FFFFFF" w:val="clear"/>
            <w:tcMar>
              <w:top w:type="dxa" w:w="90"/>
              <w:left w:type="dxa" w:w="110"/>
              <w:bottom w:type="dxa" w:w="90"/>
              <w:right w:type="dxa" w:w="110"/>
            </w:tcMar>
          </w:tcPr>
          <w:p>
            <w:pPr>
              <w:spacing w:before="0" w:after="0" w:line="272"/>
            </w:pPr>
            <w:r>
              <w:rPr>
                <w:rFonts w:ascii="Georgia" w:cs="Georgia" w:eastAsia="Georgia" w:hAnsi="Georgia"/>
                <w:color w:val="005555"/>
                <w:sz w:val="19"/>
                <w:szCs w:val="19"/>
              </w:rPr>
              <w:t xml:space="preserve">Either: (a) remove D4 from primary claims and use only where specific evidence shows the model has region-specific information in training data but fails to activate it, OR (b) reframe as sycophancy-linked: model omits information that would contradict user expectations.</w:t>
            </w:r>
          </w:p>
        </w:tc>
      </w:tr>
      <w:tr>
        <w:tc>
          <w:tcPr>
            <w:tcW w:type="dxa" w:w="1800"/>
            <w:tcBorders>
              <w:top w:val="single" w:color="DDDDDD" w:sz="1"/>
              <w:left w:val="single" w:color="DDDDDD" w:sz="1"/>
              <w:bottom w:val="single" w:color="DDDDDD" w:sz="1"/>
              <w:right w:val="single" w:color="DDDDDD" w:sz="1"/>
            </w:tcBorders>
            <w:shd w:fill="8B0000" w:val="clear"/>
            <w:tcMar>
              <w:top w:type="dxa" w:w="90"/>
              <w:left w:type="dxa" w:w="110"/>
              <w:bottom w:type="dxa" w:w="90"/>
              <w:right w:type="dxa" w:w="110"/>
            </w:tcMar>
          </w:tcPr>
          <w:p>
            <w:pPr>
              <w:spacing w:before="0" w:after="20"/>
            </w:pPr>
            <w:r>
              <w:rPr>
                <w:rFonts w:ascii="Arial" w:cs="Arial" w:eastAsia="Arial" w:hAnsi="Arial"/>
                <w:b/>
                <w:bCs/>
                <w:color w:val="FFFFFF"/>
                <w:sz w:val="16"/>
                <w:szCs w:val="16"/>
              </w:rPr>
              <w:t xml:space="preserve">WEAKEST FIT</w:t>
            </w:r>
          </w:p>
          <w:p>
            <w:r>
              <w:rPr>
                <w:rFonts w:ascii="Georgia" w:cs="Georgia" w:eastAsia="Georgia" w:hAnsi="Georgia"/>
                <w:color w:val="FFFFFF"/>
                <w:sz w:val="18"/>
                <w:szCs w:val="18"/>
              </w:rPr>
              <w:t xml:space="preserve">D1 — Factually incorrect claims</w:t>
            </w:r>
          </w:p>
        </w:tc>
        <w:tc>
          <w:tcPr>
            <w:tcW w:type="dxa" w:w="2400"/>
            <w:tcBorders>
              <w:top w:val="single" w:color="DDDDDD" w:sz="1"/>
              <w:left w:val="single" w:color="DDDDDD" w:sz="1"/>
              <w:bottom w:val="single" w:color="DDDDDD" w:sz="1"/>
              <w:right w:val="single" w:color="DDDDDD" w:sz="1"/>
            </w:tcBorders>
            <w:shd w:fill="F8F8F8" w:val="clear"/>
            <w:tcMar>
              <w:top w:type="dxa" w:w="90"/>
              <w:left w:type="dxa" w:w="110"/>
              <w:bottom w:type="dxa" w:w="90"/>
              <w:right w:type="dxa" w:w="110"/>
            </w:tcMar>
          </w:tcPr>
          <w:p>
            <w:pPr>
              <w:spacing w:before="0" w:after="0" w:line="272"/>
            </w:pPr>
            <w:r>
              <w:rPr>
                <w:rFonts w:ascii="Georgia" w:cs="Georgia" w:eastAsia="Georgia" w:hAnsi="Georgia"/>
                <w:color w:val="1A1A1A"/>
                <w:sz w:val="19"/>
                <w:szCs w:val="19"/>
              </w:rPr>
              <w:t xml:space="preserve">Hallucination in African languages is likely a capability failure, not internal deception. The model probably does not 'internally represent' the correct fact while outputting the wrong one — it simply does not know.</w:t>
            </w:r>
          </w:p>
        </w:tc>
        <w:tc>
          <w:tcPr>
            <w:tcW w:type="dxa" w:w="2040"/>
            <w:tcBorders>
              <w:top w:val="single" w:color="DDDDDD" w:sz="1"/>
              <w:left w:val="single" w:color="DDDDDD" w:sz="1"/>
              <w:bottom w:val="single" w:color="DDDDDD" w:sz="1"/>
              <w:right w:val="single" w:color="DDDDDD" w:sz="1"/>
            </w:tcBorders>
            <w:shd w:fill="EFF6EF" w:val="clear"/>
            <w:tcMar>
              <w:top w:type="dxa" w:w="90"/>
              <w:left w:type="dxa" w:w="110"/>
              <w:bottom w:type="dxa" w:w="90"/>
              <w:right w:type="dxa" w:w="110"/>
            </w:tcMar>
          </w:tcPr>
          <w:p>
            <w:pPr>
              <w:spacing w:before="0" w:after="0" w:line="272"/>
            </w:pPr>
            <w:r>
              <w:rPr>
                <w:rFonts w:ascii="Georgia" w:cs="Georgia" w:eastAsia="Georgia" w:hAnsi="Georgia"/>
                <w:color w:val="005555"/>
                <w:sz w:val="19"/>
                <w:szCs w:val="19"/>
              </w:rPr>
              <w:t xml:space="preserve">Reframe D1 as: the model internally represents high confidence (a state it 'knows') while producing an output that is demonstrably wrong. The deception is the false confidence, not the wrong fact. This reframing is technically honest and Schmidt-compliant.</w:t>
            </w:r>
          </w:p>
        </w:tc>
      </w:tr>
    </w:tbl>
    <w:p>
      <w:pPr>
        <w:spacing w:before="60"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none" w:color="FFFFFF" w:sz="0"/>
              <w:left w:val="single" w:color="8B0000" w:sz="22"/>
              <w:bottom w:val="none" w:color="FFFFFF" w:sz="0"/>
              <w:right w:val="none" w:color="FFFFFF" w:sz="0"/>
            </w:tcBorders>
            <w:shd w:fill="FAFAFA" w:val="clear"/>
            <w:tcMar>
              <w:top w:type="dxa" w:w="160"/>
              <w:left w:type="dxa" w:w="340"/>
              <w:bottom w:type="dxa" w:w="160"/>
              <w:right w:type="dxa" w:w="200"/>
            </w:tcMar>
          </w:tcPr>
          <w:p>
            <w:r>
              <w:rPr>
                <w:rFonts w:ascii="Georgia" w:cs="Georgia" w:eastAsia="Georgia" w:hAnsi="Georgia"/>
                <w:b/>
                <w:bCs/>
                <w:i/>
                <w:iCs/>
                <w:color w:val="8B0000"/>
                <w:sz w:val="28"/>
                <w:szCs w:val="28"/>
              </w:rPr>
              <w:t xml:space="preserve">D6 and D3 are the strongest fits with Schmidt's definition and should be the primary research targets. D1 needs to be reframed from 'wrong facts' to 'false confidence about wrong facts.' D4 should be deprioritised or dropped unless specific mechanistic evidence can be added.</w:t>
            </w:r>
          </w:p>
        </w:tc>
      </w:tr>
    </w:tbl>
    <w:p>
      <w:pPr>
        <w:spacing w:before="60" w:after="60"/>
      </w:pPr>
      <w:r>
        <w:t xml:space="preserve"/>
      </w:r>
    </w:p>
    <w:p>
      <w:pPr>
        <w:pBdr>
          <w:bottom w:val="single" w:color="8B0000" w:sz="6" w:space="4"/>
        </w:pBdr>
        <w:spacing w:before="360" w:after="60"/>
      </w:pPr>
      <w:r>
        <w:rPr>
          <w:rFonts w:ascii="Arial" w:cs="Arial" w:eastAsia="Arial" w:hAnsi="Arial"/>
          <w:b/>
          <w:bCs/>
          <w:caps/>
          <w:color w:val="8B0000"/>
          <w:spacing w:val="100"/>
          <w:sz w:val="17"/>
          <w:szCs w:val="17"/>
        </w:rPr>
        <w:t xml:space="preserve">Critical Issue 2 — The Out-of-Scope Risk: Track 3 as Currently Framed</w:t>
      </w:r>
    </w:p>
    <w:p>
      <w:pPr>
        <w:spacing w:before="60" w:after="60"/>
      </w:pPr>
      <w:r>
        <w:t xml:space="preserve"/>
      </w:r>
    </w:p>
    <w:p>
      <w:pPr>
        <w:spacing w:before="0" w:after="200" w:line="288"/>
      </w:pPr>
      <w:r>
        <w:rPr>
          <w:rFonts w:ascii="Georgia" w:cs="Georgia" w:eastAsia="Georgia" w:hAnsi="Georgia"/>
          <w:color w:val="1A1A1A"/>
          <w:sz w:val="24"/>
          <w:szCs w:val="24"/>
        </w:rPr>
        <w:t xml:space="preserve">This is the most dangerous gap in the proposal. Schmidt's RFP explicitly lists several out-of-scope items. Track 3 (Lagos SMME Human-AI Team study) risks hitting two of them simultaneously.</w:t>
      </w:r>
    </w:p>
    <w:p>
      <w:pPr>
        <w:spacing w:before="60"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2000"/>
        <w:gridCol w:w="2000"/>
        <w:gridCol w:w="2040"/>
      </w:tblGrid>
      <w:tr>
        <w:trPr>
          <w:tblHeader/>
        </w:trPr>
        <w:tc>
          <w:tcPr>
            <w:tcW w:type="dxa" w:w="1800"/>
            <w:tcBorders>
              <w:top w:val="single" w:color="DDDDDD" w:sz="1"/>
              <w:left w:val="single" w:color="DDDDDD" w:sz="1"/>
              <w:bottom w:val="single" w:color="DDDDDD" w:sz="1"/>
              <w:right w:val="single" w:color="DDDDDD" w:sz="1"/>
            </w:tcBorders>
            <w:shd w:fill="8B0000" w:val="clear"/>
            <w:tcMar>
              <w:top w:type="dxa" w:w="70"/>
              <w:left w:type="dxa" w:w="110"/>
              <w:bottom w:type="dxa" w:w="70"/>
              <w:right w:type="dxa" w:w="110"/>
            </w:tcMar>
          </w:tcPr>
          <w:p>
            <w:r>
              <w:rPr>
                <w:rFonts w:ascii="Arial" w:cs="Arial" w:eastAsia="Arial" w:hAnsi="Arial"/>
                <w:b/>
                <w:bCs/>
                <w:color w:val="FFFFFF"/>
                <w:sz w:val="14"/>
                <w:szCs w:val="14"/>
              </w:rPr>
              <w:t xml:space="preserve">Risk</w:t>
            </w:r>
          </w:p>
        </w:tc>
        <w:tc>
          <w:tcPr>
            <w:tcW w:type="dxa" w:w="800"/>
            <w:tcBorders>
              <w:top w:val="single" w:color="DDDDDD" w:sz="1"/>
              <w:left w:val="single" w:color="DDDDDD" w:sz="1"/>
              <w:bottom w:val="single" w:color="DDDDDD" w:sz="1"/>
              <w:right w:val="single" w:color="DDDDDD" w:sz="1"/>
            </w:tcBorders>
            <w:shd w:fill="8B0000" w:val="clear"/>
            <w:tcMar>
              <w:top w:type="dxa" w:w="70"/>
              <w:left w:type="dxa" w:w="80"/>
              <w:bottom w:type="dxa" w:w="70"/>
              <w:right w:type="dxa" w:w="80"/>
            </w:tcMar>
          </w:tcPr>
          <w:p>
            <w:pPr>
              <w:jc w:val="center"/>
            </w:pPr>
            <w:r>
              <w:rPr>
                <w:rFonts w:ascii="Arial" w:cs="Arial" w:eastAsia="Arial" w:hAnsi="Arial"/>
                <w:b/>
                <w:bCs/>
                <w:color w:val="FFFFFF"/>
                <w:sz w:val="14"/>
                <w:szCs w:val="14"/>
              </w:rPr>
              <w:t xml:space="preserve">Severity</w:t>
            </w:r>
          </w:p>
        </w:tc>
        <w:tc>
          <w:tcPr>
            <w:tcW w:type="dxa" w:w="2000"/>
            <w:tcBorders>
              <w:top w:val="single" w:color="DDDDDD" w:sz="1"/>
              <w:left w:val="single" w:color="DDDDDD" w:sz="1"/>
              <w:bottom w:val="single" w:color="DDDDDD" w:sz="1"/>
              <w:right w:val="single" w:color="DDDDDD" w:sz="1"/>
            </w:tcBorders>
            <w:shd w:fill="8B0000" w:val="clear"/>
            <w:tcMar>
              <w:top w:type="dxa" w:w="70"/>
              <w:left w:type="dxa" w:w="110"/>
              <w:bottom w:type="dxa" w:w="70"/>
              <w:right w:type="dxa" w:w="110"/>
            </w:tcMar>
          </w:tcPr>
          <w:p>
            <w:r>
              <w:rPr>
                <w:rFonts w:ascii="Arial" w:cs="Arial" w:eastAsia="Arial" w:hAnsi="Arial"/>
                <w:b/>
                <w:bCs/>
                <w:color w:val="FFFFFF"/>
                <w:sz w:val="14"/>
                <w:szCs w:val="14"/>
              </w:rPr>
              <w:t xml:space="preserve">What RFP says</w:t>
            </w:r>
          </w:p>
        </w:tc>
        <w:tc>
          <w:tcPr>
            <w:tcW w:type="dxa" w:w="2000"/>
            <w:tcBorders>
              <w:top w:val="single" w:color="DDDDDD" w:sz="1"/>
              <w:left w:val="single" w:color="DDDDDD" w:sz="1"/>
              <w:bottom w:val="single" w:color="DDDDDD" w:sz="1"/>
              <w:right w:val="single" w:color="DDDDDD" w:sz="1"/>
            </w:tcBorders>
            <w:shd w:fill="8B0000" w:val="clear"/>
            <w:tcMar>
              <w:top w:type="dxa" w:w="70"/>
              <w:left w:type="dxa" w:w="110"/>
              <w:bottom w:type="dxa" w:w="70"/>
              <w:right w:type="dxa" w:w="110"/>
            </w:tcMar>
          </w:tcPr>
          <w:p>
            <w:r>
              <w:rPr>
                <w:rFonts w:ascii="Arial" w:cs="Arial" w:eastAsia="Arial" w:hAnsi="Arial"/>
                <w:b/>
                <w:bCs/>
                <w:color w:val="FFFFFF"/>
                <w:sz w:val="14"/>
                <w:szCs w:val="14"/>
              </w:rPr>
              <w:t xml:space="preserve">Our proposal risk</w:t>
            </w:r>
          </w:p>
        </w:tc>
        <w:tc>
          <w:tcPr>
            <w:tcW w:type="dxa" w:w="2040"/>
            <w:tcBorders>
              <w:top w:val="single" w:color="DDDDDD" w:sz="1"/>
              <w:left w:val="single" w:color="DDDDDD" w:sz="1"/>
              <w:bottom w:val="single" w:color="DDDDDD" w:sz="1"/>
              <w:right w:val="single" w:color="DDDDDD" w:sz="1"/>
            </w:tcBorders>
            <w:shd w:fill="8B0000" w:val="clear"/>
            <w:tcMar>
              <w:top w:type="dxa" w:w="70"/>
              <w:left w:type="dxa" w:w="110"/>
              <w:bottom w:type="dxa" w:w="70"/>
              <w:right w:type="dxa" w:w="110"/>
            </w:tcMar>
          </w:tcPr>
          <w:p>
            <w:r>
              <w:rPr>
                <w:rFonts w:ascii="Arial" w:cs="Arial" w:eastAsia="Arial" w:hAnsi="Arial"/>
                <w:b/>
                <w:bCs/>
                <w:color w:val="FFFFFF"/>
                <w:sz w:val="14"/>
                <w:szCs w:val="14"/>
              </w:rPr>
              <w:t xml:space="preserve">Required fix</w:t>
            </w:r>
          </w:p>
        </w:tc>
      </w:tr>
      <w:tr>
        <w:tc>
          <w:tcPr>
            <w:tcW w:type="dxa" w:w="1800"/>
            <w:tcBorders>
              <w:top w:val="single" w:color="DDDDDD" w:sz="1"/>
              <w:left w:val="single" w:color="DDDDDD" w:sz="1"/>
              <w:bottom w:val="single" w:color="DDDDDD" w:sz="1"/>
              <w:right w:val="single" w:color="DDDDDD" w:sz="1"/>
            </w:tcBorders>
            <w:shd w:fill="8B0000" w:val="clear"/>
            <w:tcMar>
              <w:top w:type="dxa" w:w="90"/>
              <w:left w:type="dxa" w:w="110"/>
              <w:bottom w:type="dxa" w:w="90"/>
              <w:right w:type="dxa" w:w="110"/>
            </w:tcMar>
          </w:tcPr>
          <w:p>
            <w:r>
              <w:rPr>
                <w:rFonts w:ascii="Arial" w:cs="Arial" w:eastAsia="Arial" w:hAnsi="Arial"/>
                <w:b/>
                <w:bCs/>
                <w:color w:val="FFFFFF"/>
                <w:sz w:val="19"/>
                <w:szCs w:val="19"/>
              </w:rPr>
              <w:t xml:space="preserve">OOS Risk 1: Human-AI collaboration improvement</w:t>
            </w:r>
          </w:p>
        </w:tc>
        <w:tc>
          <w:tcPr>
            <w:tcW w:type="dxa" w:w="800"/>
            <w:tcBorders>
              <w:top w:val="single" w:color="DDDDDD" w:sz="1"/>
              <w:left w:val="single" w:color="DDDDDD" w:sz="1"/>
              <w:bottom w:val="single" w:color="DDDDDD" w:sz="1"/>
              <w:right w:val="single" w:color="DDDDDD" w:sz="1"/>
            </w:tcBorders>
            <w:shd w:fill="8B0000" w:val="clear"/>
            <w:tcMar>
              <w:top w:type="dxa" w:w="90"/>
              <w:left w:type="dxa" w:w="80"/>
              <w:bottom w:type="dxa" w:w="90"/>
              <w:right w:type="dxa" w:w="80"/>
            </w:tcMar>
          </w:tcPr>
          <w:p>
            <w:pPr>
              <w:jc w:val="center"/>
            </w:pPr>
            <w:r>
              <w:rPr>
                <w:rFonts w:ascii="Arial" w:cs="Arial" w:eastAsia="Arial" w:hAnsi="Arial"/>
                <w:b/>
                <w:bCs/>
                <w:color w:val="FFFFFF"/>
                <w:sz w:val="17"/>
                <w:szCs w:val="17"/>
              </w:rPr>
              <w:t xml:space="preserve">CRITICAL</w:t>
            </w:r>
          </w:p>
        </w:tc>
        <w:tc>
          <w:tcPr>
            <w:tcW w:type="dxa" w:w="2000"/>
            <w:tcBorders>
              <w:top w:val="single" w:color="DDDDDD" w:sz="1"/>
              <w:left w:val="single" w:color="DDDDDD" w:sz="1"/>
              <w:bottom w:val="single" w:color="DDDDDD" w:sz="1"/>
              <w:right w:val="single" w:color="DDDDDD" w:sz="1"/>
            </w:tcBorders>
            <w:shd w:fill="F8F8F8" w:val="clear"/>
            <w:tcMar>
              <w:top w:type="dxa" w:w="90"/>
              <w:left w:type="dxa" w:w="110"/>
              <w:bottom w:type="dxa" w:w="90"/>
              <w:right w:type="dxa" w:w="110"/>
            </w:tcMar>
          </w:tcPr>
          <w:p>
            <w:pPr>
              <w:spacing w:before="0" w:after="0" w:line="270"/>
            </w:pPr>
            <w:r>
              <w:rPr>
                <w:rFonts w:ascii="Georgia" w:cs="Georgia" w:eastAsia="Georgia" w:hAnsi="Georgia"/>
                <w:color w:val="1A1A1A"/>
                <w:sz w:val="19"/>
                <w:szCs w:val="19"/>
              </w:rPr>
              <w:t xml:space="preserve">OUT OF SCOPE: 'improving human-AI collaboration via transparent model reasoning' is explicitly out of scope.</w:t>
            </w:r>
          </w:p>
        </w:tc>
        <w:tc>
          <w:tcPr>
            <w:tcW w:type="dxa" w:w="2000"/>
            <w:tcBorders>
              <w:top w:val="single" w:color="DDDDDD" w:sz="1"/>
              <w:left w:val="single" w:color="DDDDDD" w:sz="1"/>
              <w:bottom w:val="single" w:color="DDDDDD" w:sz="1"/>
              <w:right w:val="single" w:color="DDDDDD" w:sz="1"/>
            </w:tcBorders>
            <w:shd w:fill="FFF0F0" w:val="clear"/>
            <w:tcMar>
              <w:top w:type="dxa" w:w="90"/>
              <w:left w:type="dxa" w:w="110"/>
              <w:bottom w:type="dxa" w:w="90"/>
              <w:right w:type="dxa" w:w="110"/>
            </w:tcMar>
          </w:tcPr>
          <w:p>
            <w:pPr>
              <w:spacing w:before="0" w:after="0" w:line="270"/>
            </w:pPr>
            <w:r>
              <w:rPr>
                <w:rFonts w:ascii="Georgia" w:cs="Georgia" w:eastAsia="Georgia" w:hAnsi="Georgia"/>
                <w:color w:val="8B0000"/>
                <w:sz w:val="19"/>
                <w:szCs w:val="19"/>
              </w:rPr>
              <w:t xml:space="preserve">Track 3 is currently framed as improving human-AI team performance. Decision quality improvement and trust calibration are collaboration outcomes. Reviewers could classify this as OOS.</w:t>
            </w:r>
          </w:p>
        </w:tc>
        <w:tc>
          <w:tcPr>
            <w:tcW w:type="dxa" w:w="2040"/>
            <w:tcBorders>
              <w:top w:val="single" w:color="DDDDDD" w:sz="1"/>
              <w:left w:val="single" w:color="DDDDDD" w:sz="1"/>
              <w:bottom w:val="single" w:color="DDDDDD" w:sz="1"/>
              <w:right w:val="single" w:color="DDDDDD" w:sz="1"/>
            </w:tcBorders>
            <w:shd w:fill="EAF7ED" w:val="clear"/>
            <w:tcMar>
              <w:top w:type="dxa" w:w="90"/>
              <w:left w:type="dxa" w:w="110"/>
              <w:bottom w:type="dxa" w:w="90"/>
              <w:right w:type="dxa" w:w="110"/>
            </w:tcMar>
          </w:tcPr>
          <w:p>
            <w:pPr>
              <w:spacing w:before="0" w:after="0" w:line="270"/>
            </w:pPr>
            <w:r>
              <w:rPr>
                <w:rFonts w:ascii="Georgia" w:cs="Georgia" w:eastAsia="Georgia" w:hAnsi="Georgia"/>
                <w:color w:val="155724"/>
                <w:sz w:val="19"/>
                <w:szCs w:val="19"/>
              </w:rPr>
              <w:t xml:space="preserve">Reframe Track 3 entirely: the study measures whether deception detection reduces deceptive behaviors in deployment — with human decision outcomes as the downstream measurement of deception reduction, not as a collaboration improvement goal.</w:t>
            </w:r>
          </w:p>
        </w:tc>
      </w:tr>
      <w:tr>
        <w:tc>
          <w:tcPr>
            <w:tcW w:type="dxa" w:w="1800"/>
            <w:tcBorders>
              <w:top w:val="single" w:color="DDDDDD" w:sz="1"/>
              <w:left w:val="single" w:color="DDDDDD" w:sz="1"/>
              <w:bottom w:val="single" w:color="DDDDDD" w:sz="1"/>
              <w:right w:val="single" w:color="DDDDDD" w:sz="1"/>
            </w:tcBorders>
            <w:shd w:fill="8B5000" w:val="clear"/>
            <w:tcMar>
              <w:top w:type="dxa" w:w="90"/>
              <w:left w:type="dxa" w:w="110"/>
              <w:bottom w:type="dxa" w:w="90"/>
              <w:right w:type="dxa" w:w="110"/>
            </w:tcMar>
          </w:tcPr>
          <w:p>
            <w:r>
              <w:rPr>
                <w:rFonts w:ascii="Arial" w:cs="Arial" w:eastAsia="Arial" w:hAnsi="Arial"/>
                <w:b/>
                <w:bCs/>
                <w:color w:val="FFFFFF"/>
                <w:sz w:val="19"/>
                <w:szCs w:val="19"/>
              </w:rPr>
              <w:t xml:space="preserve">OOS Risk 2: Broader societal impact without model reasoning analysis</w:t>
            </w:r>
          </w:p>
        </w:tc>
        <w:tc>
          <w:tcPr>
            <w:tcW w:type="dxa" w:w="800"/>
            <w:tcBorders>
              <w:top w:val="single" w:color="DDDDDD" w:sz="1"/>
              <w:left w:val="single" w:color="DDDDDD" w:sz="1"/>
              <w:bottom w:val="single" w:color="DDDDDD" w:sz="1"/>
              <w:right w:val="single" w:color="DDDDDD" w:sz="1"/>
            </w:tcBorders>
            <w:shd w:fill="8B5000" w:val="clear"/>
            <w:tcMar>
              <w:top w:type="dxa" w:w="90"/>
              <w:left w:type="dxa" w:w="80"/>
              <w:bottom w:type="dxa" w:w="90"/>
              <w:right w:type="dxa" w:w="80"/>
            </w:tcMar>
          </w:tcPr>
          <w:p>
            <w:pPr>
              <w:jc w:val="center"/>
            </w:pPr>
            <w:r>
              <w:rPr>
                <w:rFonts w:ascii="Arial" w:cs="Arial" w:eastAsia="Arial" w:hAnsi="Arial"/>
                <w:b/>
                <w:bCs/>
                <w:color w:val="FFFFFF"/>
                <w:sz w:val="17"/>
                <w:szCs w:val="17"/>
              </w:rPr>
              <w:t xml:space="preserve">HIGH</w:t>
            </w:r>
          </w:p>
        </w:tc>
        <w:tc>
          <w:tcPr>
            <w:tcW w:type="dxa" w:w="2000"/>
            <w:tcBorders>
              <w:top w:val="single" w:color="DDDDDD" w:sz="1"/>
              <w:left w:val="single" w:color="DDDDDD" w:sz="1"/>
              <w:bottom w:val="single" w:color="DDDDDD" w:sz="1"/>
              <w:right w:val="single" w:color="DDDDDD" w:sz="1"/>
            </w:tcBorders>
            <w:shd w:fill="F8F8F8" w:val="clear"/>
            <w:tcMar>
              <w:top w:type="dxa" w:w="90"/>
              <w:left w:type="dxa" w:w="110"/>
              <w:bottom w:type="dxa" w:w="90"/>
              <w:right w:type="dxa" w:w="110"/>
            </w:tcMar>
          </w:tcPr>
          <w:p>
            <w:pPr>
              <w:spacing w:before="0" w:after="0" w:line="270"/>
            </w:pPr>
            <w:r>
              <w:rPr>
                <w:rFonts w:ascii="Georgia" w:cs="Georgia" w:eastAsia="Georgia" w:hAnsi="Georgia"/>
                <w:color w:val="1A1A1A"/>
                <w:sz w:val="19"/>
                <w:szCs w:val="19"/>
              </w:rPr>
              <w:t xml:space="preserve">OUT OF SCOPE: 'assessments of broader societal impacts that do not analyze model reasoning per se.'</w:t>
            </w:r>
          </w:p>
        </w:tc>
        <w:tc>
          <w:tcPr>
            <w:tcW w:type="dxa" w:w="2000"/>
            <w:tcBorders>
              <w:top w:val="single" w:color="DDDDDD" w:sz="1"/>
              <w:left w:val="single" w:color="DDDDDD" w:sz="1"/>
              <w:bottom w:val="single" w:color="DDDDDD" w:sz="1"/>
              <w:right w:val="single" w:color="DDDDDD" w:sz="1"/>
            </w:tcBorders>
            <w:shd w:fill="FFF0F0" w:val="clear"/>
            <w:tcMar>
              <w:top w:type="dxa" w:w="90"/>
              <w:left w:type="dxa" w:w="110"/>
              <w:bottom w:type="dxa" w:w="90"/>
              <w:right w:type="dxa" w:w="110"/>
            </w:tcMar>
          </w:tcPr>
          <w:p>
            <w:pPr>
              <w:spacing w:before="0" w:after="0" w:line="270"/>
            </w:pPr>
            <w:r>
              <w:rPr>
                <w:rFonts w:ascii="Georgia" w:cs="Georgia" w:eastAsia="Georgia" w:hAnsi="Georgia"/>
                <w:color w:val="8B0000"/>
                <w:sz w:val="19"/>
                <w:szCs w:val="19"/>
              </w:rPr>
              <w:t xml:space="preserve">Decision quality for Lagos SME operators is a societal impact measurement. If the study doesn't explicitly tie each outcome measure back to a specific internal reasoning analysis, it reads as societal impact assessment.</w:t>
            </w:r>
          </w:p>
        </w:tc>
        <w:tc>
          <w:tcPr>
            <w:tcW w:type="dxa" w:w="2040"/>
            <w:tcBorders>
              <w:top w:val="single" w:color="DDDDDD" w:sz="1"/>
              <w:left w:val="single" w:color="DDDDDD" w:sz="1"/>
              <w:bottom w:val="single" w:color="DDDDDD" w:sz="1"/>
              <w:right w:val="single" w:color="DDDDDD" w:sz="1"/>
            </w:tcBorders>
            <w:shd w:fill="EAF7ED" w:val="clear"/>
            <w:tcMar>
              <w:top w:type="dxa" w:w="90"/>
              <w:left w:type="dxa" w:w="110"/>
              <w:bottom w:type="dxa" w:w="90"/>
              <w:right w:type="dxa" w:w="110"/>
            </w:tcMar>
          </w:tcPr>
          <w:p>
            <w:pPr>
              <w:spacing w:before="0" w:after="0" w:line="270"/>
            </w:pPr>
            <w:r>
              <w:rPr>
                <w:rFonts w:ascii="Georgia" w:cs="Georgia" w:eastAsia="Georgia" w:hAnsi="Georgia"/>
                <w:color w:val="155724"/>
                <w:sz w:val="19"/>
                <w:szCs w:val="19"/>
              </w:rPr>
              <w:t xml:space="preserve">Every outcome measure in Track 3 must be connected to a specific internal reasoning state being tested. Decision quality = downstream evidence that D6 steering reduced capability misrepresentation. Trust calibration = evidence that D2 probe recalibrated the confidence representation.</w:t>
            </w:r>
          </w:p>
        </w:tc>
      </w:tr>
      <w:tr>
        <w:tc>
          <w:tcPr>
            <w:tcW w:type="dxa" w:w="1800"/>
            <w:tcBorders>
              <w:top w:val="single" w:color="DDDDDD" w:sz="1"/>
              <w:left w:val="single" w:color="DDDDDD" w:sz="1"/>
              <w:bottom w:val="single" w:color="DDDDDD" w:sz="1"/>
              <w:right w:val="single" w:color="DDDDDD" w:sz="1"/>
            </w:tcBorders>
            <w:shd w:fill="155724" w:val="clear"/>
            <w:tcMar>
              <w:top w:type="dxa" w:w="90"/>
              <w:left w:type="dxa" w:w="110"/>
              <w:bottom w:type="dxa" w:w="90"/>
              <w:right w:type="dxa" w:w="110"/>
            </w:tcMar>
          </w:tcPr>
          <w:p>
            <w:r>
              <w:rPr>
                <w:rFonts w:ascii="Arial" w:cs="Arial" w:eastAsia="Arial" w:hAnsi="Arial"/>
                <w:b/>
                <w:bCs/>
                <w:color w:val="FFFFFF"/>
                <w:sz w:val="19"/>
                <w:szCs w:val="19"/>
              </w:rPr>
              <w:t xml:space="preserve">OOS Risk 3: General-purpose auditing</w:t>
            </w:r>
          </w:p>
        </w:tc>
        <w:tc>
          <w:tcPr>
            <w:tcW w:type="dxa" w:w="800"/>
            <w:tcBorders>
              <w:top w:val="single" w:color="DDDDDD" w:sz="1"/>
              <w:left w:val="single" w:color="DDDDDD" w:sz="1"/>
              <w:bottom w:val="single" w:color="DDDDDD" w:sz="1"/>
              <w:right w:val="single" w:color="DDDDDD" w:sz="1"/>
            </w:tcBorders>
            <w:shd w:fill="155724" w:val="clear"/>
            <w:tcMar>
              <w:top w:type="dxa" w:w="90"/>
              <w:left w:type="dxa" w:w="80"/>
              <w:bottom w:type="dxa" w:w="90"/>
              <w:right w:type="dxa" w:w="80"/>
            </w:tcMar>
          </w:tcPr>
          <w:p>
            <w:pPr>
              <w:jc w:val="center"/>
            </w:pPr>
            <w:r>
              <w:rPr>
                <w:rFonts w:ascii="Arial" w:cs="Arial" w:eastAsia="Arial" w:hAnsi="Arial"/>
                <w:b/>
                <w:bCs/>
                <w:color w:val="FFFFFF"/>
                <w:sz w:val="17"/>
                <w:szCs w:val="17"/>
              </w:rPr>
              <w:t xml:space="preserve">LOW</w:t>
            </w:r>
          </w:p>
        </w:tc>
        <w:tc>
          <w:tcPr>
            <w:tcW w:type="dxa" w:w="2000"/>
            <w:tcBorders>
              <w:top w:val="single" w:color="DDDDDD" w:sz="1"/>
              <w:left w:val="single" w:color="DDDDDD" w:sz="1"/>
              <w:bottom w:val="single" w:color="DDDDDD" w:sz="1"/>
              <w:right w:val="single" w:color="DDDDDD" w:sz="1"/>
            </w:tcBorders>
            <w:shd w:fill="F8F8F8" w:val="clear"/>
            <w:tcMar>
              <w:top w:type="dxa" w:w="90"/>
              <w:left w:type="dxa" w:w="110"/>
              <w:bottom w:type="dxa" w:w="90"/>
              <w:right w:type="dxa" w:w="110"/>
            </w:tcMar>
          </w:tcPr>
          <w:p>
            <w:pPr>
              <w:spacing w:before="0" w:after="0" w:line="270"/>
            </w:pPr>
            <w:r>
              <w:rPr>
                <w:rFonts w:ascii="Georgia" w:cs="Georgia" w:eastAsia="Georgia" w:hAnsi="Georgia"/>
                <w:color w:val="1A1A1A"/>
                <w:sz w:val="19"/>
                <w:szCs w:val="19"/>
              </w:rPr>
              <w:t xml:space="preserve">OUT OF SCOPE: 'general-purpose auditing techniques for AI.'</w:t>
            </w:r>
          </w:p>
        </w:tc>
        <w:tc>
          <w:tcPr>
            <w:tcW w:type="dxa" w:w="2000"/>
            <w:tcBorders>
              <w:top w:val="single" w:color="DDDDDD" w:sz="1"/>
              <w:left w:val="single" w:color="DDDDDD" w:sz="1"/>
              <w:bottom w:val="single" w:color="DDDDDD" w:sz="1"/>
              <w:right w:val="single" w:color="DDDDDD" w:sz="1"/>
            </w:tcBorders>
            <w:shd w:fill="FFF0F0" w:val="clear"/>
            <w:tcMar>
              <w:top w:type="dxa" w:w="90"/>
              <w:left w:type="dxa" w:w="110"/>
              <w:bottom w:type="dxa" w:w="90"/>
              <w:right w:type="dxa" w:w="110"/>
            </w:tcMar>
          </w:tcPr>
          <w:p>
            <w:pPr>
              <w:spacing w:before="0" w:after="0" w:line="270"/>
            </w:pPr>
            <w:r>
              <w:rPr>
                <w:rFonts w:ascii="Georgia" w:cs="Georgia" w:eastAsia="Georgia" w:hAnsi="Georgia"/>
                <w:color w:val="8B0000"/>
                <w:sz w:val="19"/>
                <w:szCs w:val="19"/>
              </w:rPr>
              <w:t xml:space="preserve">WP1 (deception audit across 6 languages) could be read as general-purpose auditing rather than deception-specific interpretability work.</w:t>
            </w:r>
          </w:p>
        </w:tc>
        <w:tc>
          <w:tcPr>
            <w:tcW w:type="dxa" w:w="2040"/>
            <w:tcBorders>
              <w:top w:val="single" w:color="DDDDDD" w:sz="1"/>
              <w:left w:val="single" w:color="DDDDDD" w:sz="1"/>
              <w:bottom w:val="single" w:color="DDDDDD" w:sz="1"/>
              <w:right w:val="single" w:color="DDDDDD" w:sz="1"/>
            </w:tcBorders>
            <w:shd w:fill="EAF7ED" w:val="clear"/>
            <w:tcMar>
              <w:top w:type="dxa" w:w="90"/>
              <w:left w:type="dxa" w:w="110"/>
              <w:bottom w:type="dxa" w:w="90"/>
              <w:right w:type="dxa" w:w="110"/>
            </w:tcMar>
          </w:tcPr>
          <w:p>
            <w:pPr>
              <w:spacing w:before="0" w:after="0" w:line="270"/>
            </w:pPr>
            <w:r>
              <w:rPr>
                <w:rFonts w:ascii="Georgia" w:cs="Georgia" w:eastAsia="Georgia" w:hAnsi="Georgia"/>
                <w:color w:val="155724"/>
                <w:sz w:val="19"/>
                <w:szCs w:val="19"/>
              </w:rPr>
              <w:t xml:space="preserve">Reframe WP1 explicitly as: baseline measurement of the six Schmidt-defined deception categories using interpretability methods — not a performance audit. Probes, not benchmarks.</w:t>
            </w:r>
          </w:p>
        </w:tc>
      </w:tr>
    </w:tbl>
    <w:p>
      <w:pPr>
        <w:spacing w:before="60" w:after="60"/>
      </w:pPr>
      <w:r>
        <w:t xml:space="preserve"/>
      </w:r>
    </w:p>
    <w:p>
      <w:pPr>
        <w:spacing w:before="220" w:after="60"/>
      </w:pPr>
      <w:r>
        <w:rPr>
          <w:rFonts w:ascii="Georgia" w:cs="Georgia" w:eastAsia="Georgia" w:hAnsi="Georgia"/>
          <w:b/>
          <w:bCs/>
          <w:color w:val="8B0000"/>
          <w:sz w:val="22"/>
          <w:szCs w:val="22"/>
        </w:rPr>
        <w:t xml:space="preserve">The Track 3 Reframe (Required Language)</w:t>
      </w:r>
    </w:p>
    <w:p>
      <w:pPr>
        <w:spacing w:before="0" w:after="200" w:line="288"/>
      </w:pPr>
      <w:r>
        <w:rPr>
          <w:rFonts w:ascii="Georgia" w:cs="Georgia" w:eastAsia="Georgia" w:hAnsi="Georgia"/>
          <w:color w:val="1A1A1A"/>
          <w:sz w:val="24"/>
          <w:szCs w:val="24"/>
        </w:rPr>
        <w:t xml:space="preserve">Current framing (REMOVE): 'Deploy detection and steering methods on the LOG_ON AI platform with 40 Lagos-based SME operators... Measure whether interpretability interventions produce better human-AI team outcomes.'</w:t>
      </w:r>
    </w:p>
    <w:p>
      <w:pPr>
        <w:spacing w:before="0" w:after="200" w:line="288"/>
      </w:pPr>
      <w:r>
        <w:rPr>
          <w:rFonts w:ascii="Georgia" w:cs="Georgia" w:eastAsia="Georgia" w:hAnsi="Georgia"/>
          <w:color w:val="1A1A1A"/>
          <w:sz w:val="24"/>
          <w:szCs w:val="24"/>
        </w:rPr>
        <w:t xml:space="preserve">Required reframing (USE THIS): 'Apply detection probes and steering interventions in an active deployment context with 40 Lagos-based SME operators to measure whether the D6 and D2 deception behaviors detected in WP2 and WP3 are reduced when interpretability interventions are active. Human decision outcomes serve as an independent validation signal for deception reduction: if D6 (capability self-misrepresentation) is successfully steered, operators should receive better-calibrated AI outputs, measurable through the quality of decisions made using those outputs. This is an application of deception detection and steering, not a human-AI collaboration improvement study.'</w:t>
      </w:r>
    </w:p>
    <w:p>
      <w:pPr>
        <w:spacing w:before="60" w:after="60"/>
      </w:pPr>
      <w:r>
        <w:t xml:space="preserve"/>
      </w:r>
    </w:p>
    <w:p>
      <w:pPr>
        <w:pBdr>
          <w:bottom w:val="single" w:color="8B5000" w:sz="6" w:space="4"/>
        </w:pBdr>
        <w:spacing w:before="360" w:after="60"/>
      </w:pPr>
      <w:r>
        <w:rPr>
          <w:rFonts w:ascii="Arial" w:cs="Arial" w:eastAsia="Arial" w:hAnsi="Arial"/>
          <w:b/>
          <w:bCs/>
          <w:caps/>
          <w:color w:val="8B5000"/>
          <w:spacing w:val="100"/>
          <w:sz w:val="17"/>
          <w:szCs w:val="17"/>
        </w:rPr>
        <w:t xml:space="preserve">Critical Issue 3 — Missing: Mechanistic Argument for Why Whitebox Beats Blackbox</w:t>
      </w:r>
    </w:p>
    <w:p>
      <w:pPr>
        <w:spacing w:before="60" w:after="60"/>
      </w:pPr>
      <w:r>
        <w:t xml:space="preserve"/>
      </w:r>
    </w:p>
    <w:p>
      <w:pPr>
        <w:spacing w:before="0" w:after="200" w:line="288"/>
      </w:pPr>
      <w:r>
        <w:rPr>
          <w:rFonts w:ascii="Georgia" w:cs="Georgia" w:eastAsia="Georgia" w:hAnsi="Georgia"/>
          <w:color w:val="1A1A1A"/>
          <w:sz w:val="24"/>
          <w:szCs w:val="24"/>
        </w:rPr>
        <w:t xml:space="preserve">Schmidt is explicit: 'we are looking for interpretability tools that outperform baselines that do not rely on access to weights, to prove that we can truly capitalize on our understanding of model internals.'</w:t>
      </w:r>
    </w:p>
    <w:p>
      <w:pPr>
        <w:spacing w:before="0" w:after="200" w:line="288"/>
      </w:pPr>
      <w:r>
        <w:rPr>
          <w:rFonts w:ascii="Georgia" w:cs="Georgia" w:eastAsia="Georgia" w:hAnsi="Georgia"/>
          <w:color w:val="1A1A1A"/>
          <w:sz w:val="24"/>
          <w:szCs w:val="24"/>
        </w:rPr>
        <w:t xml:space="preserve">Our proposal commits to outperforming blackbox baselines by ≥15% F1. That is the right commitment. But the proposal does not explain WHY whitebox access to the translation layer specifically gives us an advantage that blackbox methods cannot match. The argument is asserted, not demonstrated.</w:t>
      </w:r>
    </w:p>
    <w:p>
      <w:pPr>
        <w:spacing w:before="0" w:after="200" w:line="288"/>
      </w:pPr>
      <w:r>
        <w:rPr>
          <w:rFonts w:ascii="Georgia" w:cs="Georgia" w:eastAsia="Georgia" w:hAnsi="Georgia"/>
          <w:color w:val="1A1A1A"/>
          <w:sz w:val="24"/>
          <w:szCs w:val="24"/>
        </w:rPr>
        <w:t xml:space="preserve">Here is the mechanistic argument that needs to be added:</w:t>
      </w:r>
    </w:p>
    <w:p>
      <w:pPr>
        <w:spacing w:before="60"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Borders>
              <w:top w:val="single" w:color="DDDDDD" w:sz="1"/>
              <w:left w:val="single" w:color="DDDDDD" w:sz="1"/>
              <w:bottom w:val="single" w:color="DDDDDD" w:sz="1"/>
              <w:right w:val="single" w:color="DDDDDD" w:sz="1"/>
            </w:tcBorders>
            <w:shd w:fill="1F4E79" w:val="clear"/>
            <w:tcMar>
              <w:top w:type="dxa" w:w="80"/>
              <w:left w:type="dxa" w:w="140"/>
              <w:bottom w:type="dxa" w:w="80"/>
              <w:right w:type="dxa" w:w="140"/>
            </w:tcMar>
          </w:tcPr>
          <w:p>
            <w:pPr>
              <w:jc w:val="center"/>
            </w:pPr>
            <w:r>
              <w:rPr>
                <w:rFonts w:ascii="Arial" w:cs="Arial" w:eastAsia="Arial" w:hAnsi="Arial"/>
                <w:b/>
                <w:bCs/>
                <w:color w:val="FFFFFF"/>
                <w:sz w:val="17"/>
                <w:szCs w:val="17"/>
              </w:rPr>
              <w:t xml:space="preserve">What blackbox methods can see</w:t>
            </w:r>
          </w:p>
        </w:tc>
        <w:tc>
          <w:tcPr>
            <w:tcW w:type="dxa" w:w="4320"/>
            <w:tcBorders>
              <w:top w:val="single" w:color="DDDDDD" w:sz="1"/>
              <w:left w:val="single" w:color="DDDDDD" w:sz="1"/>
              <w:bottom w:val="single" w:color="DDDDDD" w:sz="1"/>
              <w:right w:val="single" w:color="DDDDDD" w:sz="1"/>
            </w:tcBorders>
            <w:shd w:fill="005555" w:val="clear"/>
            <w:tcMar>
              <w:top w:type="dxa" w:w="80"/>
              <w:left w:type="dxa" w:w="140"/>
              <w:bottom w:type="dxa" w:w="80"/>
              <w:right w:type="dxa" w:w="140"/>
            </w:tcMar>
          </w:tcPr>
          <w:p>
            <w:pPr>
              <w:jc w:val="center"/>
            </w:pPr>
            <w:r>
              <w:rPr>
                <w:rFonts w:ascii="Arial" w:cs="Arial" w:eastAsia="Arial" w:hAnsi="Arial"/>
                <w:b/>
                <w:bCs/>
                <w:color w:val="FFFFFF"/>
                <w:sz w:val="17"/>
                <w:szCs w:val="17"/>
              </w:rPr>
              <w:t xml:space="preserve">What whitebox probes at the translation layer see</w:t>
            </w:r>
          </w:p>
        </w:tc>
      </w:tr>
      <w:tr>
        <w:tc>
          <w:tcPr>
            <w:tcW w:type="dxa" w:w="4320"/>
            <w:tcBorders>
              <w:top w:val="single" w:color="DDDDDD" w:sz="1"/>
              <w:left w:val="single" w:color="DDDDDD" w:sz="1"/>
              <w:bottom w:val="single" w:color="DDDDDD" w:sz="1"/>
              <w:right w:val="single" w:color="DDDDDD" w:sz="1"/>
            </w:tcBorders>
            <w:shd w:fill="F8F0F0" w:val="clear"/>
            <w:tcMar>
              <w:top w:type="dxa" w:w="120"/>
              <w:left w:type="dxa" w:w="140"/>
              <w:bottom w:type="dxa" w:w="120"/>
              <w:right w:type="dxa" w:w="140"/>
            </w:tcMar>
          </w:tcPr>
          <w:p>
            <w:pPr>
              <w:spacing w:before="0" w:after="0" w:line="276"/>
            </w:pPr>
            <w:r>
              <w:rPr>
                <w:rFonts w:ascii="Georgia" w:cs="Georgia" w:eastAsia="Georgia" w:hAnsi="Georgia"/>
                <w:color w:val="1A1A1A"/>
                <w:sz w:val="20"/>
                <w:szCs w:val="20"/>
              </w:rPr>
              <w:t xml:space="preserve">The output token. The final distribution over tokens in the output language. Uncertainty expressed as token probability. Whether the output language matches the input language. Whether the output contains hedging language.
For D6 (capability misrepresentation): blackbox sees that the model produced a confident response. It cannot see whether the confidence was generated from English-backend reasoning or target-language reasoning. It cannot distinguish 'confident because capable' from 'confident because the English-backend produced a confident English response that was then translated.'</w:t>
            </w:r>
          </w:p>
        </w:tc>
        <w:tc>
          <w:tcPr>
            <w:tcW w:type="dxa" w:w="4320"/>
            <w:tcBorders>
              <w:top w:val="single" w:color="DDDDDD" w:sz="1"/>
              <w:left w:val="single" w:color="DDDDDD" w:sz="1"/>
              <w:bottom w:val="single" w:color="DDDDDD" w:sz="1"/>
              <w:right w:val="single" w:color="DDDDDD" w:sz="1"/>
            </w:tcBorders>
            <w:shd w:fill="E6F4F4" w:val="clear"/>
            <w:tcMar>
              <w:top w:type="dxa" w:w="120"/>
              <w:left w:type="dxa" w:w="140"/>
              <w:bottom w:type="dxa" w:w="120"/>
              <w:right w:type="dxa" w:w="140"/>
            </w:tcMar>
          </w:tcPr>
          <w:p>
            <w:pPr>
              <w:spacing w:before="0" w:after="0" w:line="276"/>
            </w:pPr>
            <w:r>
              <w:rPr>
                <w:rFonts w:ascii="Georgia" w:cs="Georgia" w:eastAsia="Georgia" w:hAnsi="Georgia"/>
                <w:color w:val="1A1A1A"/>
                <w:sz w:val="20"/>
                <w:szCs w:val="20"/>
              </w:rPr>
              <w:t xml:space="preserve">The representation at the language-identity shift layer — the internal state where Yoruba input is mapped to English processing space. This layer encodes the language context the model is 'reasoning in.'
For D6: a whitebox probe at this layer can detect the discrepancy between (a) the language the user is engaging in and (b) the language in which the model is internally generating confidence signals. This is the internal-state-vs-output contradiction Schmidt's definition requires. Blackbox cannot see this discrepancy. Whitebox can.</w:t>
            </w:r>
          </w:p>
        </w:tc>
      </w:tr>
    </w:tbl>
    <w:p>
      <w:pPr>
        <w:spacing w:before="60" w:after="60"/>
      </w:pPr>
      <w:r>
        <w:t xml:space="preserve"/>
      </w:r>
    </w:p>
    <w:p>
      <w:pPr>
        <w:spacing w:before="0" w:after="200" w:line="288"/>
      </w:pPr>
      <w:r>
        <w:rPr>
          <w:rFonts w:ascii="Georgia" w:cs="Georgia" w:eastAsia="Georgia" w:hAnsi="Georgia"/>
          <w:color w:val="1A1A1A"/>
          <w:sz w:val="24"/>
          <w:szCs w:val="24"/>
        </w:rPr>
        <w:t xml:space="preserve">This is the argument that makes the whitebox claim mechanistically credible. It needs to be in the Technical Approach section of the proposal, not just asserted as a 15% F1 commitment.</w:t>
      </w:r>
    </w:p>
    <w:p>
      <w:pPr>
        <w:spacing w:before="60" w:after="60"/>
      </w:pPr>
      <w:r>
        <w:t xml:space="preserve"/>
      </w:r>
    </w:p>
    <w:p>
      <w:pPr>
        <w:pBdr>
          <w:bottom w:val="single" w:color="8B5000" w:sz="6" w:space="4"/>
        </w:pBdr>
        <w:spacing w:before="360" w:after="60"/>
      </w:pPr>
      <w:r>
        <w:rPr>
          <w:rFonts w:ascii="Arial" w:cs="Arial" w:eastAsia="Arial" w:hAnsi="Arial"/>
          <w:b/>
          <w:bCs/>
          <w:caps/>
          <w:color w:val="8B5000"/>
          <w:spacing w:val="100"/>
          <w:sz w:val="17"/>
          <w:szCs w:val="17"/>
        </w:rPr>
        <w:t xml:space="preserve">Critical Issue 4 — Team Expertise: No Named Researchers with Interpretability Records</w:t>
      </w:r>
    </w:p>
    <w:p>
      <w:pPr>
        <w:spacing w:before="60" w:after="60"/>
      </w:pPr>
      <w:r>
        <w:t xml:space="preserve"/>
      </w:r>
    </w:p>
    <w:p>
      <w:pPr>
        <w:spacing w:before="0" w:after="200" w:line="288"/>
      </w:pPr>
      <w:r>
        <w:rPr>
          <w:rFonts w:ascii="Georgia" w:cs="Georgia" w:eastAsia="Georgia" w:hAnsi="Georgia"/>
          <w:color w:val="1A1A1A"/>
          <w:sz w:val="24"/>
          <w:szCs w:val="24"/>
        </w:rPr>
        <w:t xml:space="preserve">Schmidt's fifth selection criterion is explicit: 'Is the team well-suited to execute the proposed work, with relevant technical expertise, sufficient capacity, and a level of time commitment commensurate with the ambition of the project?'</w:t>
      </w:r>
    </w:p>
    <w:p>
      <w:pPr>
        <w:spacing w:before="0" w:after="200" w:line="288"/>
      </w:pPr>
      <w:r>
        <w:rPr>
          <w:rFonts w:ascii="Georgia" w:cs="Georgia" w:eastAsia="Georgia" w:hAnsi="Georgia"/>
          <w:color w:val="1A1A1A"/>
          <w:sz w:val="24"/>
          <w:szCs w:val="24"/>
        </w:rPr>
        <w:t xml:space="preserve">The current proposal identifies the team as 'LOG_ON AI Solution Agency' and lists required roles. It does not name a single person with a publication record in mechanistic interpretability, probing, or LLM steering. For a $884k grant evaluated by external interpretability researchers, this will be scored hard.</w:t>
      </w:r>
    </w:p>
    <w:p>
      <w:pPr>
        <w:spacing w:before="0" w:after="200" w:line="288"/>
      </w:pPr>
      <w:r>
        <w:rPr>
          <w:rFonts w:ascii="Georgia" w:cs="Georgia" w:eastAsia="Georgia" w:hAnsi="Georgia"/>
          <w:color w:val="1A1A1A"/>
          <w:sz w:val="24"/>
          <w:szCs w:val="24"/>
        </w:rPr>
        <w:t xml:space="preserve">Three options, in order of strength:</w:t>
      </w:r>
    </w:p>
    <w:p>
      <w:pPr>
        <w:spacing w:before="60"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200"/>
        <w:gridCol w:w="5040"/>
        <w:gridCol w:w="2400"/>
      </w:tblGrid>
      <w:tr>
        <w:trPr>
          <w:tblHeader/>
        </w:trPr>
        <w:tc>
          <w:tcPr>
            <w:tcW w:type="dxa" w:w="1200"/>
            <w:tcBorders>
              <w:top w:val="single" w:color="DDDDDD" w:sz="1"/>
              <w:left w:val="single" w:color="DDDDDD" w:sz="1"/>
              <w:bottom w:val="single" w:color="DDDDDD" w:sz="1"/>
              <w:right w:val="single" w:color="DDDDDD" w:sz="1"/>
            </w:tcBorders>
            <w:shd w:fill="1F4E79" w:val="clear"/>
            <w:tcMar>
              <w:top w:type="dxa" w:w="80"/>
              <w:left w:type="dxa" w:w="100"/>
              <w:bottom w:type="dxa" w:w="80"/>
              <w:right w:type="dxa" w:w="100"/>
            </w:tcMar>
          </w:tcPr>
          <w:p>
            <w:r>
              <w:rPr>
                <w:rFonts w:ascii="Arial" w:cs="Arial" w:eastAsia="Arial" w:hAnsi="Arial"/>
                <w:b/>
                <w:bCs/>
                <w:color w:val="FFFFFF"/>
                <w:sz w:val="15"/>
                <w:szCs w:val="15"/>
              </w:rPr>
              <w:t xml:space="preserve">Option</w:t>
            </w:r>
          </w:p>
        </w:tc>
        <w:tc>
          <w:tcPr>
            <w:tcW w:type="dxa" w:w="5040"/>
            <w:tcBorders>
              <w:top w:val="single" w:color="DDDDDD" w:sz="1"/>
              <w:left w:val="single" w:color="DDDDDD" w:sz="1"/>
              <w:bottom w:val="single" w:color="DDDDDD" w:sz="1"/>
              <w:right w:val="single" w:color="DDDDDD" w:sz="1"/>
            </w:tcBorders>
            <w:shd w:fill="1F4E79" w:val="clear"/>
            <w:tcMar>
              <w:top w:type="dxa" w:w="80"/>
              <w:left w:type="dxa" w:w="110"/>
              <w:bottom w:type="dxa" w:w="80"/>
              <w:right w:type="dxa" w:w="110"/>
            </w:tcMar>
          </w:tcPr>
          <w:p>
            <w:r>
              <w:rPr>
                <w:rFonts w:ascii="Arial" w:cs="Arial" w:eastAsia="Arial" w:hAnsi="Arial"/>
                <w:b/>
                <w:bCs/>
                <w:color w:val="FFFFFF"/>
                <w:sz w:val="15"/>
                <w:szCs w:val="15"/>
              </w:rPr>
              <w:t xml:space="preserve">What it requires</w:t>
            </w:r>
          </w:p>
        </w:tc>
        <w:tc>
          <w:tcPr>
            <w:tcW w:type="dxa" w:w="2400"/>
            <w:tcBorders>
              <w:top w:val="single" w:color="DDDDDD" w:sz="1"/>
              <w:left w:val="single" w:color="DDDDDD" w:sz="1"/>
              <w:bottom w:val="single" w:color="DDDDDD" w:sz="1"/>
              <w:right w:val="single" w:color="DDDDDD" w:sz="1"/>
            </w:tcBorders>
            <w:shd w:fill="1F4E79" w:val="clear"/>
            <w:tcMar>
              <w:top w:type="dxa" w:w="80"/>
              <w:left w:type="dxa" w:w="110"/>
              <w:bottom w:type="dxa" w:w="80"/>
              <w:right w:type="dxa" w:w="110"/>
            </w:tcMar>
          </w:tcPr>
          <w:p>
            <w:r>
              <w:rPr>
                <w:rFonts w:ascii="Arial" w:cs="Arial" w:eastAsia="Arial" w:hAnsi="Arial"/>
                <w:b/>
                <w:bCs/>
                <w:color w:val="FFFFFF"/>
                <w:sz w:val="15"/>
                <w:szCs w:val="15"/>
              </w:rPr>
              <w:t xml:space="preserve">Strength</w:t>
            </w:r>
          </w:p>
        </w:tc>
      </w:tr>
      <w:tr>
        <w:tc>
          <w:tcPr>
            <w:tcW w:type="dxa" w:w="1200"/>
            <w:tcBorders>
              <w:top w:val="single" w:color="DDDDDD" w:sz="1"/>
              <w:left w:val="single" w:color="DDDDDD" w:sz="1"/>
              <w:bottom w:val="single" w:color="DDDDDD" w:sz="1"/>
              <w:right w:val="single" w:color="DDDDDD" w:sz="1"/>
            </w:tcBorders>
            <w:shd w:fill="155724" w:val="clear"/>
            <w:tcMar>
              <w:top w:type="dxa" w:w="90"/>
              <w:left w:type="dxa" w:w="100"/>
              <w:bottom w:type="dxa" w:w="90"/>
              <w:right w:type="dxa" w:w="100"/>
            </w:tcMar>
          </w:tcPr>
          <w:p>
            <w:pPr>
              <w:jc w:val="center"/>
            </w:pPr>
            <w:r>
              <w:rPr>
                <w:rFonts w:ascii="Arial" w:cs="Arial" w:eastAsia="Arial" w:hAnsi="Arial"/>
                <w:b/>
                <w:bCs/>
                <w:color w:val="FFFFFF"/>
                <w:sz w:val="20"/>
                <w:szCs w:val="20"/>
              </w:rPr>
              <w:t xml:space="preserve">Option A</w:t>
            </w:r>
          </w:p>
        </w:tc>
        <w:tc>
          <w:tcPr>
            <w:tcW w:type="dxa" w:w="5040"/>
            <w:tcBorders>
              <w:top w:val="single" w:color="DDDDDD" w:sz="1"/>
              <w:left w:val="single" w:color="DDDDDD" w:sz="1"/>
              <w:bottom w:val="single" w:color="DDDDDD" w:sz="1"/>
              <w:right w:val="single" w:color="DDDDDD" w:sz="1"/>
            </w:tcBorders>
            <w:shd w:fill="F8F8F8" w:val="clear"/>
            <w:tcMar>
              <w:top w:type="dxa" w:w="90"/>
              <w:left w:type="dxa" w:w="110"/>
              <w:bottom w:type="dxa" w:w="90"/>
              <w:right w:type="dxa" w:w="110"/>
            </w:tcMar>
          </w:tcPr>
          <w:p>
            <w:pPr>
              <w:spacing w:before="0" w:after="0" w:line="276"/>
            </w:pPr>
            <w:r>
              <w:rPr>
                <w:rFonts w:ascii="Georgia" w:cs="Georgia" w:eastAsia="Georgia" w:hAnsi="Georgia"/>
                <w:color w:val="1A1A1A"/>
                <w:sz w:val="20"/>
                <w:szCs w:val="20"/>
              </w:rPr>
              <w:t xml:space="preserve">Option A: Recruit a named interpretability collaborator from an established ML institution (MIT, CMU, Oxford, DeepMind). They serve as co-PI with publication record in probing or mechanistic interpretability. LOG_ON AI provides the deployment context; the collaborator provides the technical credibility. This is the most competitive configuration.</w:t>
            </w:r>
          </w:p>
        </w:tc>
        <w:tc>
          <w:tcPr>
            <w:tcW w:type="dxa" w:w="2400"/>
            <w:tcBorders>
              <w:top w:val="single" w:color="DDDDDD" w:sz="1"/>
              <w:left w:val="single" w:color="DDDDDD" w:sz="1"/>
              <w:bottom w:val="single" w:color="DDDDDD" w:sz="1"/>
              <w:right w:val="single" w:color="DDDDDD" w:sz="1"/>
            </w:tcBorders>
            <w:shd w:fill="EFF6EF" w:val="clear"/>
            <w:tcMar>
              <w:top w:type="dxa" w:w="90"/>
              <w:left w:type="dxa" w:w="110"/>
              <w:bottom w:type="dxa" w:w="90"/>
              <w:right w:type="dxa" w:w="110"/>
            </w:tcMar>
          </w:tcPr>
          <w:p>
            <w:pPr>
              <w:spacing w:before="0" w:after="0" w:line="270"/>
            </w:pPr>
            <w:r>
              <w:rPr>
                <w:rFonts w:ascii="Arial" w:cs="Arial" w:eastAsia="Arial" w:hAnsi="Arial"/>
                <w:i/>
                <w:iCs/>
                <w:color w:val="155724"/>
                <w:sz w:val="18"/>
                <w:szCs w:val="18"/>
              </w:rPr>
              <w:t xml:space="preserve">STRONGEST — directly addresses reviewer concern about technical capacity.</w:t>
            </w:r>
          </w:p>
        </w:tc>
      </w:tr>
      <w:tr>
        <w:tc>
          <w:tcPr>
            <w:tcW w:type="dxa" w:w="1200"/>
            <w:tcBorders>
              <w:top w:val="single" w:color="DDDDDD" w:sz="1"/>
              <w:left w:val="single" w:color="DDDDDD" w:sz="1"/>
              <w:bottom w:val="single" w:color="DDDDDD" w:sz="1"/>
              <w:right w:val="single" w:color="DDDDDD" w:sz="1"/>
            </w:tcBorders>
            <w:shd w:fill="8B5000" w:val="clear"/>
            <w:tcMar>
              <w:top w:type="dxa" w:w="90"/>
              <w:left w:type="dxa" w:w="100"/>
              <w:bottom w:type="dxa" w:w="90"/>
              <w:right w:type="dxa" w:w="100"/>
            </w:tcMar>
          </w:tcPr>
          <w:p>
            <w:pPr>
              <w:jc w:val="center"/>
            </w:pPr>
            <w:r>
              <w:rPr>
                <w:rFonts w:ascii="Arial" w:cs="Arial" w:eastAsia="Arial" w:hAnsi="Arial"/>
                <w:b/>
                <w:bCs/>
                <w:color w:val="FFFFFF"/>
                <w:sz w:val="20"/>
                <w:szCs w:val="20"/>
              </w:rPr>
              <w:t xml:space="preserve">Option B</w:t>
            </w:r>
          </w:p>
        </w:tc>
        <w:tc>
          <w:tcPr>
            <w:tcW w:type="dxa" w:w="5040"/>
            <w:tcBorders>
              <w:top w:val="single" w:color="DDDDDD" w:sz="1"/>
              <w:left w:val="single" w:color="DDDDDD" w:sz="1"/>
              <w:bottom w:val="single" w:color="DDDDDD" w:sz="1"/>
              <w:right w:val="single" w:color="DDDDDD" w:sz="1"/>
            </w:tcBorders>
            <w:shd w:fill="FFFFFF" w:val="clear"/>
            <w:tcMar>
              <w:top w:type="dxa" w:w="90"/>
              <w:left w:type="dxa" w:w="110"/>
              <w:bottom w:type="dxa" w:w="90"/>
              <w:right w:type="dxa" w:w="110"/>
            </w:tcMar>
          </w:tcPr>
          <w:p>
            <w:pPr>
              <w:spacing w:before="0" w:after="0" w:line="276"/>
            </w:pPr>
            <w:r>
              <w:rPr>
                <w:rFonts w:ascii="Georgia" w:cs="Georgia" w:eastAsia="Georgia" w:hAnsi="Georgia"/>
                <w:color w:val="1A1A1A"/>
                <w:sz w:val="20"/>
                <w:szCs w:val="20"/>
              </w:rPr>
              <w:t xml:space="preserve">Option B: Name a specific postdoctoral researcher or senior ML engineer with 2+ interpretability papers who will join the team. Include their CV section in the application. The proposal should state their time commitment percentage explicitly.</w:t>
            </w:r>
          </w:p>
        </w:tc>
        <w:tc>
          <w:tcPr>
            <w:tcW w:type="dxa" w:w="2400"/>
            <w:tcBorders>
              <w:top w:val="single" w:color="DDDDDD" w:sz="1"/>
              <w:left w:val="single" w:color="DDDDDD" w:sz="1"/>
              <w:bottom w:val="single" w:color="DDDDDD" w:sz="1"/>
              <w:right w:val="single" w:color="DDDDDD" w:sz="1"/>
            </w:tcBorders>
            <w:shd w:fill="FFFFFF" w:val="clear"/>
            <w:tcMar>
              <w:top w:type="dxa" w:w="90"/>
              <w:left w:type="dxa" w:w="110"/>
              <w:bottom w:type="dxa" w:w="90"/>
              <w:right w:type="dxa" w:w="110"/>
            </w:tcMar>
          </w:tcPr>
          <w:p>
            <w:pPr>
              <w:spacing w:before="0" w:after="0" w:line="270"/>
            </w:pPr>
            <w:r>
              <w:rPr>
                <w:rFonts w:ascii="Arial" w:cs="Arial" w:eastAsia="Arial" w:hAnsi="Arial"/>
                <w:i/>
                <w:iCs/>
                <w:color w:val="8B5000"/>
                <w:sz w:val="18"/>
                <w:szCs w:val="18"/>
              </w:rPr>
              <w:t xml:space="preserve">STRONG if person has visible publications. Weaker if early-career without established record.</w:t>
            </w:r>
          </w:p>
        </w:tc>
      </w:tr>
      <w:tr>
        <w:tc>
          <w:tcPr>
            <w:tcW w:type="dxa" w:w="1200"/>
            <w:tcBorders>
              <w:top w:val="single" w:color="DDDDDD" w:sz="1"/>
              <w:left w:val="single" w:color="DDDDDD" w:sz="1"/>
              <w:bottom w:val="single" w:color="DDDDDD" w:sz="1"/>
              <w:right w:val="single" w:color="DDDDDD" w:sz="1"/>
            </w:tcBorders>
            <w:shd w:fill="1F4E79" w:val="clear"/>
            <w:tcMar>
              <w:top w:type="dxa" w:w="90"/>
              <w:left w:type="dxa" w:w="100"/>
              <w:bottom w:type="dxa" w:w="90"/>
              <w:right w:type="dxa" w:w="100"/>
            </w:tcMar>
          </w:tcPr>
          <w:p>
            <w:pPr>
              <w:jc w:val="center"/>
            </w:pPr>
            <w:r>
              <w:rPr>
                <w:rFonts w:ascii="Arial" w:cs="Arial" w:eastAsia="Arial" w:hAnsi="Arial"/>
                <w:b/>
                <w:bCs/>
                <w:color w:val="FFFFFF"/>
                <w:sz w:val="20"/>
                <w:szCs w:val="20"/>
              </w:rPr>
              <w:t xml:space="preserve">Option C</w:t>
            </w:r>
          </w:p>
        </w:tc>
        <w:tc>
          <w:tcPr>
            <w:tcW w:type="dxa" w:w="5040"/>
            <w:tcBorders>
              <w:top w:val="single" w:color="DDDDDD" w:sz="1"/>
              <w:left w:val="single" w:color="DDDDDD" w:sz="1"/>
              <w:bottom w:val="single" w:color="DDDDDD" w:sz="1"/>
              <w:right w:val="single" w:color="DDDDDD" w:sz="1"/>
            </w:tcBorders>
            <w:shd w:fill="F8F8F8" w:val="clear"/>
            <w:tcMar>
              <w:top w:type="dxa" w:w="90"/>
              <w:left w:type="dxa" w:w="110"/>
              <w:bottom w:type="dxa" w:w="90"/>
              <w:right w:type="dxa" w:w="110"/>
            </w:tcMar>
          </w:tcPr>
          <w:p>
            <w:pPr>
              <w:spacing w:before="0" w:after="0" w:line="276"/>
            </w:pPr>
            <w:r>
              <w:rPr>
                <w:rFonts w:ascii="Georgia" w:cs="Georgia" w:eastAsia="Georgia" w:hAnsi="Georgia"/>
                <w:color w:val="1A1A1A"/>
                <w:sz w:val="20"/>
                <w:szCs w:val="20"/>
              </w:rPr>
              <w:t xml:space="preserve">Option C: Submit as the African NLP + deployment lead, with an explicit statement that the interpretability methods will be executed in collaboration with (named lab or researcher) pending grant award. Request informational webinar (April 2 or April 28) to discuss technical expectations before submission.</w:t>
            </w:r>
          </w:p>
        </w:tc>
        <w:tc>
          <w:tcPr>
            <w:tcW w:type="dxa" w:w="2400"/>
            <w:tcBorders>
              <w:top w:val="single" w:color="DDDDDD" w:sz="1"/>
              <w:left w:val="single" w:color="DDDDDD" w:sz="1"/>
              <w:bottom w:val="single" w:color="DDDDDD" w:sz="1"/>
              <w:right w:val="single" w:color="DDDDDD" w:sz="1"/>
            </w:tcBorders>
            <w:shd w:fill="EFF6EF" w:val="clear"/>
            <w:tcMar>
              <w:top w:type="dxa" w:w="90"/>
              <w:left w:type="dxa" w:w="110"/>
              <w:bottom w:type="dxa" w:w="90"/>
              <w:right w:type="dxa" w:w="110"/>
            </w:tcMar>
          </w:tcPr>
          <w:p>
            <w:pPr>
              <w:spacing w:before="0" w:after="0" w:line="270"/>
            </w:pPr>
            <w:r>
              <w:rPr>
                <w:rFonts w:ascii="Arial" w:cs="Arial" w:eastAsia="Arial" w:hAnsi="Arial"/>
                <w:i/>
                <w:iCs/>
                <w:color w:val="1F4E79"/>
                <w:sz w:val="18"/>
                <w:szCs w:val="18"/>
              </w:rPr>
              <w:t xml:space="preserve">MINIMUM VIABLE. Weakest on Team Expertise criterion but allows submission while collaboration is being arranged.</w:t>
            </w:r>
          </w:p>
        </w:tc>
      </w:tr>
    </w:tbl>
    <w:p>
      <w:pPr>
        <w:spacing w:before="60" w:after="60"/>
      </w:pPr>
      <w:r>
        <w:t xml:space="preserve"/>
      </w:r>
    </w:p>
    <w:p>
      <w:pPr>
        <w:pBdr>
          <w:bottom w:val="single" w:color="155724" w:sz="6" w:space="4"/>
        </w:pBdr>
        <w:spacing w:before="360" w:after="60"/>
      </w:pPr>
      <w:r>
        <w:rPr>
          <w:rFonts w:ascii="Arial" w:cs="Arial" w:eastAsia="Arial" w:hAnsi="Arial"/>
          <w:b/>
          <w:bCs/>
          <w:caps/>
          <w:color w:val="155724"/>
          <w:spacing w:val="100"/>
          <w:sz w:val="17"/>
          <w:szCs w:val="17"/>
        </w:rPr>
        <w:t xml:space="preserve">What Is Strong — Do Not Change</w:t>
      </w:r>
    </w:p>
    <w:p>
      <w:pPr>
        <w:spacing w:before="60" w:after="60"/>
      </w:pPr>
      <w:r>
        <w:t xml:space="preserve"/>
      </w:r>
    </w:p>
    <w:p>
      <w:pPr>
        <w:spacing w:before="0" w:after="200" w:line="288"/>
      </w:pPr>
      <w:r>
        <w:rPr>
          <w:rFonts w:ascii="Georgia" w:cs="Georgia" w:eastAsia="Georgia" w:hAnsi="Georgia"/>
          <w:color w:val="1A1A1A"/>
          <w:sz w:val="24"/>
          <w:szCs w:val="24"/>
        </w:rPr>
        <w:t xml:space="preserve">Not everything needs fixing. Four things in the proposal are genuinely competitive and should not be touched:</w:t>
      </w:r>
    </w:p>
    <w:p>
      <w:pPr>
        <w:spacing w:before="60"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000"/>
        <w:gridCol w:w="6640"/>
      </w:tblGrid>
      <w:tr>
        <w:tc>
          <w:tcPr>
            <w:tcW w:type="dxa" w:w="2000"/>
            <w:tcBorders>
              <w:top w:val="single" w:color="DDDDDD" w:sz="1"/>
              <w:left w:val="single" w:color="DDDDDD" w:sz="1"/>
              <w:bottom w:val="single" w:color="DDDDDD" w:sz="1"/>
              <w:right w:val="single" w:color="DDDDDD" w:sz="1"/>
            </w:tcBorders>
            <w:shd w:fill="005555" w:val="clear"/>
            <w:tcMar>
              <w:top w:type="dxa" w:w="100"/>
              <w:left w:type="dxa" w:w="120"/>
              <w:bottom w:type="dxa" w:w="100"/>
              <w:right w:type="dxa" w:w="120"/>
            </w:tcMar>
          </w:tcPr>
          <w:p>
            <w:r>
              <w:rPr>
                <w:rFonts w:ascii="Arial" w:cs="Arial" w:eastAsia="Arial" w:hAnsi="Arial"/>
                <w:b/>
                <w:bCs/>
                <w:color w:val="FFFFFF"/>
                <w:sz w:val="18"/>
                <w:szCs w:val="18"/>
              </w:rPr>
              <w:t xml:space="preserve">The English-backend translation layer as target</w:t>
            </w:r>
          </w:p>
        </w:tc>
        <w:tc>
          <w:tcPr>
            <w:tcW w:type="dxa" w:w="664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60"/>
            </w:tcMar>
          </w:tcPr>
          <w:p>
            <w:pPr>
              <w:spacing w:before="0" w:after="0" w:line="276"/>
            </w:pPr>
            <w:r>
              <w:rPr>
                <w:rFonts w:ascii="Georgia" w:cs="Georgia" w:eastAsia="Georgia" w:hAnsi="Georgia"/>
                <w:color w:val="1A1A1A"/>
                <w:sz w:val="21"/>
                <w:szCs w:val="21"/>
              </w:rPr>
              <w:t xml:space="preserve">This is mechanistically grounded (Zhao 2023, Wendler 2024, Datta 2026). No other submitted proposal will have this specific architectural target. It is the clearest interpretability hook in the entire African AI + safety space. Keep it as the centrepiece.</w:t>
            </w:r>
          </w:p>
        </w:tc>
      </w:tr>
      <w:tr>
        <w:tc>
          <w:tcPr>
            <w:tcW w:type="dxa" w:w="2000"/>
            <w:tcBorders>
              <w:top w:val="single" w:color="DDDDDD" w:sz="1"/>
              <w:left w:val="single" w:color="DDDDDD" w:sz="1"/>
              <w:bottom w:val="single" w:color="DDDDDD" w:sz="1"/>
              <w:right w:val="single" w:color="DDDDDD" w:sz="1"/>
            </w:tcBorders>
            <w:shd w:fill="380070" w:val="clear"/>
            <w:tcMar>
              <w:top w:type="dxa" w:w="100"/>
              <w:left w:type="dxa" w:w="120"/>
              <w:bottom w:type="dxa" w:w="100"/>
              <w:right w:type="dxa" w:w="120"/>
            </w:tcMar>
          </w:tcPr>
          <w:p>
            <w:r>
              <w:rPr>
                <w:rFonts w:ascii="Arial" w:cs="Arial" w:eastAsia="Arial" w:hAnsi="Arial"/>
                <w:b/>
                <w:bCs/>
                <w:color w:val="FFFFFF"/>
                <w:sz w:val="18"/>
                <w:szCs w:val="18"/>
              </w:rPr>
              <w:t xml:space="preserve">D6 as the primary deception category</w:t>
            </w:r>
          </w:p>
        </w:tc>
        <w:tc>
          <w:tcPr>
            <w:tcW w:type="dxa" w:w="66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before="0" w:after="0" w:line="276"/>
            </w:pPr>
            <w:r>
              <w:rPr>
                <w:rFonts w:ascii="Georgia" w:cs="Georgia" w:eastAsia="Georgia" w:hAnsi="Georgia"/>
                <w:color w:val="1A1A1A"/>
                <w:sz w:val="21"/>
                <w:szCs w:val="21"/>
              </w:rPr>
              <w:t xml:space="preserve">Capability self-misrepresentation is Schmidt’s own language (‘false claims regarding self-knowledge’). The model accepts Yoruba queries without flagging capability reduction. This is the cleanest fit in the proposal with Schmidt’s definition. It should be the first and dominant deception category in the proposal.</w:t>
            </w:r>
          </w:p>
        </w:tc>
      </w:tr>
      <w:tr>
        <w:tc>
          <w:tcPr>
            <w:tcW w:type="dxa" w:w="2000"/>
            <w:tcBorders>
              <w:top w:val="single" w:color="DDDDDD" w:sz="1"/>
              <w:left w:val="single" w:color="DDDDDD" w:sz="1"/>
              <w:bottom w:val="single" w:color="DDDDDD" w:sz="1"/>
              <w:right w:val="single" w:color="DDDDDD" w:sz="1"/>
            </w:tcBorders>
            <w:shd w:fill="7B5000" w:val="clear"/>
            <w:tcMar>
              <w:top w:type="dxa" w:w="100"/>
              <w:left w:type="dxa" w:w="120"/>
              <w:bottom w:type="dxa" w:w="100"/>
              <w:right w:type="dxa" w:w="120"/>
            </w:tcMar>
          </w:tcPr>
          <w:p>
            <w:r>
              <w:rPr>
                <w:rFonts w:ascii="Arial" w:cs="Arial" w:eastAsia="Arial" w:hAnsi="Arial"/>
                <w:b/>
                <w:bCs/>
                <w:color w:val="FFFFFF"/>
                <w:sz w:val="18"/>
                <w:szCs w:val="18"/>
              </w:rPr>
              <w:t xml:space="preserve">The unoccupied angle argument</w:t>
            </w:r>
          </w:p>
        </w:tc>
        <w:tc>
          <w:tcPr>
            <w:tcW w:type="dxa" w:w="6640"/>
            <w:tcBorders>
              <w:top w:val="single" w:color="DDDDDD" w:sz="1"/>
              <w:left w:val="single" w:color="DDDDDD" w:sz="1"/>
              <w:bottom w:val="single" w:color="DDDDDD" w:sz="1"/>
              <w:right w:val="single" w:color="DDDDDD" w:sz="1"/>
            </w:tcBorders>
            <w:shd w:fill="F8F8F8" w:val="clear"/>
            <w:tcMar>
              <w:top w:type="dxa" w:w="100"/>
              <w:left w:type="dxa" w:w="160"/>
              <w:bottom w:type="dxa" w:w="100"/>
              <w:right w:type="dxa" w:w="160"/>
            </w:tcMar>
          </w:tcPr>
          <w:p>
            <w:pPr>
              <w:spacing w:before="0" w:after="0" w:line="276"/>
            </w:pPr>
            <w:r>
              <w:rPr>
                <w:rFonts w:ascii="Georgia" w:cs="Georgia" w:eastAsia="Georgia" w:hAnsi="Georgia"/>
                <w:color w:val="1A1A1A"/>
                <w:sz w:val="21"/>
                <w:szCs w:val="21"/>
              </w:rPr>
              <w:t xml:space="preserve">No published paper probes internal representations for deception in African language contexts. Datta et al. confirmed the signal exists. The probe has not been built. This is genuine white space and it will read that way to Schmidt reviewers who know the African NLP literature.</w:t>
            </w:r>
          </w:p>
        </w:tc>
      </w:tr>
      <w:tr>
        <w:tc>
          <w:tcPr>
            <w:tcW w:type="dxa" w:w="2000"/>
            <w:tcBorders>
              <w:top w:val="single" w:color="DDDDDD" w:sz="1"/>
              <w:left w:val="single" w:color="DDDDDD" w:sz="1"/>
              <w:bottom w:val="single" w:color="DDDDDD" w:sz="1"/>
              <w:right w:val="single" w:color="DDDDDD" w:sz="1"/>
            </w:tcBorders>
            <w:shd w:fill="1F4E79" w:val="clear"/>
            <w:tcMar>
              <w:top w:type="dxa" w:w="100"/>
              <w:left w:type="dxa" w:w="120"/>
              <w:bottom w:type="dxa" w:w="100"/>
              <w:right w:type="dxa" w:w="120"/>
            </w:tcMar>
          </w:tcPr>
          <w:p>
            <w:r>
              <w:rPr>
                <w:rFonts w:ascii="Arial" w:cs="Arial" w:eastAsia="Arial" w:hAnsi="Arial"/>
                <w:b/>
                <w:bCs/>
                <w:color w:val="FFFFFF"/>
                <w:sz w:val="18"/>
                <w:szCs w:val="18"/>
              </w:rPr>
              <w:t xml:space="preserve">The budget structure</w:t>
            </w:r>
          </w:p>
        </w:tc>
        <w:tc>
          <w:tcPr>
            <w:tcW w:type="dxa" w:w="664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before="0" w:after="0" w:line="276"/>
            </w:pPr>
            <w:r>
              <w:rPr>
                <w:rFonts w:ascii="Georgia" w:cs="Georgia" w:eastAsia="Georgia" w:hAnsi="Georgia"/>
                <w:color w:val="1A1A1A"/>
                <w:sz w:val="21"/>
                <w:szCs w:val="21"/>
              </w:rPr>
              <w:t xml:space="preserve">$884k at 9.9% overhead, personnel at 79% is clean and defensible. The budget table is well-structured. The compute request via Schmidt resources is appropriate. Do not change the budget unless the team expertise gap requires adding a senior collaborator at higher cost.</w:t>
            </w:r>
          </w:p>
        </w:tc>
      </w:tr>
    </w:tbl>
    <w:p>
      <w:pPr>
        <w:spacing w:before="60" w:after="60"/>
      </w:pPr>
      <w:r>
        <w:t xml:space="preserve"/>
      </w:r>
    </w:p>
    <w:p>
      <w:pPr>
        <w:pBdr>
          <w:bottom w:val="single" w:color="7B5000" w:sz="6" w:space="4"/>
        </w:pBdr>
        <w:spacing w:before="360" w:after="60"/>
      </w:pPr>
      <w:r>
        <w:rPr>
          <w:rFonts w:ascii="Arial" w:cs="Arial" w:eastAsia="Arial" w:hAnsi="Arial"/>
          <w:b/>
          <w:bCs/>
          <w:caps/>
          <w:color w:val="7B5000"/>
          <w:spacing w:val="100"/>
          <w:sz w:val="17"/>
          <w:szCs w:val="17"/>
        </w:rPr>
        <w:t xml:space="preserve">Revision Checklist — Ordered by Priority Before May 26</w:t>
      </w:r>
    </w:p>
    <w:p>
      <w:pPr>
        <w:spacing w:before="60" w:after="60"/>
      </w:pPr>
      <w: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560"/>
        <w:gridCol w:w="1600"/>
        <w:gridCol w:w="5280"/>
        <w:gridCol w:w="1200"/>
      </w:tblGrid>
      <w:tr>
        <w:trPr>
          <w:tblHeader/>
        </w:trPr>
        <w:tc>
          <w:tcPr>
            <w:tcW w:type="dxa" w:w="560"/>
            <w:tcBorders>
              <w:top w:val="single" w:color="DDDDDD" w:sz="1"/>
              <w:left w:val="single" w:color="DDDDDD" w:sz="1"/>
              <w:bottom w:val="single" w:color="DDDDDD" w:sz="1"/>
              <w:right w:val="single" w:color="DDDDDD" w:sz="1"/>
            </w:tcBorders>
            <w:shd w:fill="1F4E79" w:val="clear"/>
            <w:tcMar>
              <w:top w:type="dxa" w:w="70"/>
              <w:left w:type="dxa" w:w="80"/>
              <w:bottom w:type="dxa" w:w="70"/>
              <w:right w:type="dxa" w:w="80"/>
            </w:tcMar>
          </w:tcPr>
          <w:p>
            <w:pPr>
              <w:jc w:val="center"/>
            </w:pPr>
            <w:r>
              <w:rPr>
                <w:rFonts w:ascii="Arial" w:cs="Arial" w:eastAsia="Arial" w:hAnsi="Arial"/>
                <w:b/>
                <w:bCs/>
                <w:color w:val="FFFFFF"/>
                <w:sz w:val="15"/>
                <w:szCs w:val="15"/>
              </w:rPr>
              <w:t xml:space="preserve">#</w:t>
            </w:r>
          </w:p>
        </w:tc>
        <w:tc>
          <w:tcPr>
            <w:tcW w:type="dxa" w:w="1600"/>
            <w:tcBorders>
              <w:top w:val="single" w:color="DDDDDD" w:sz="1"/>
              <w:left w:val="single" w:color="DDDDDD" w:sz="1"/>
              <w:bottom w:val="single" w:color="DDDDDD" w:sz="1"/>
              <w:right w:val="single" w:color="DDDDDD" w:sz="1"/>
            </w:tcBorders>
            <w:shd w:fill="1F4E79" w:val="clear"/>
            <w:tcMar>
              <w:top w:type="dxa" w:w="70"/>
              <w:left w:type="dxa" w:w="100"/>
              <w:bottom w:type="dxa" w:w="70"/>
              <w:right w:type="dxa" w:w="100"/>
            </w:tcMar>
          </w:tcPr>
          <w:p>
            <w:r>
              <w:rPr>
                <w:rFonts w:ascii="Arial" w:cs="Arial" w:eastAsia="Arial" w:hAnsi="Arial"/>
                <w:b/>
                <w:bCs/>
                <w:color w:val="FFFFFF"/>
                <w:sz w:val="15"/>
                <w:szCs w:val="15"/>
              </w:rPr>
              <w:t xml:space="preserve">Category</w:t>
            </w:r>
          </w:p>
        </w:tc>
        <w:tc>
          <w:tcPr>
            <w:tcW w:type="dxa" w:w="5280"/>
            <w:tcBorders>
              <w:top w:val="single" w:color="DDDDDD" w:sz="1"/>
              <w:left w:val="single" w:color="DDDDDD" w:sz="1"/>
              <w:bottom w:val="single" w:color="DDDDDD" w:sz="1"/>
              <w:right w:val="single" w:color="DDDDDD" w:sz="1"/>
            </w:tcBorders>
            <w:shd w:fill="1F4E79" w:val="clear"/>
            <w:tcMar>
              <w:top w:type="dxa" w:w="70"/>
              <w:left w:type="dxa" w:w="100"/>
              <w:bottom w:type="dxa" w:w="70"/>
              <w:right w:type="dxa" w:w="100"/>
            </w:tcMar>
          </w:tcPr>
          <w:p>
            <w:r>
              <w:rPr>
                <w:rFonts w:ascii="Arial" w:cs="Arial" w:eastAsia="Arial" w:hAnsi="Arial"/>
                <w:b/>
                <w:bCs/>
                <w:color w:val="FFFFFF"/>
                <w:sz w:val="15"/>
                <w:szCs w:val="15"/>
              </w:rPr>
              <w:t xml:space="preserve">Required action</w:t>
            </w:r>
          </w:p>
        </w:tc>
        <w:tc>
          <w:tcPr>
            <w:tcW w:type="dxa" w:w="1200"/>
            <w:tcBorders>
              <w:top w:val="single" w:color="DDDDDD" w:sz="1"/>
              <w:left w:val="single" w:color="DDDDDD" w:sz="1"/>
              <w:bottom w:val="single" w:color="DDDDDD" w:sz="1"/>
              <w:right w:val="single" w:color="DDDDDD" w:sz="1"/>
            </w:tcBorders>
            <w:shd w:fill="1F4E79" w:val="clear"/>
            <w:tcMar>
              <w:top w:type="dxa" w:w="70"/>
              <w:left w:type="dxa" w:w="80"/>
              <w:bottom w:type="dxa" w:w="70"/>
              <w:right w:type="dxa" w:w="80"/>
            </w:tcMar>
          </w:tcPr>
          <w:p>
            <w:pPr>
              <w:jc w:val="center"/>
            </w:pPr>
            <w:r>
              <w:rPr>
                <w:rFonts w:ascii="Arial" w:cs="Arial" w:eastAsia="Arial" w:hAnsi="Arial"/>
                <w:b/>
                <w:bCs/>
                <w:color w:val="FFFFFF"/>
                <w:sz w:val="15"/>
                <w:szCs w:val="15"/>
              </w:rPr>
              <w:t xml:space="preserve">Priority</w:t>
            </w:r>
          </w:p>
        </w:tc>
      </w:tr>
      <w:tr>
        <w:tc>
          <w:tcPr>
            <w:tcW w:type="dxa" w:w="560"/>
            <w:tcBorders>
              <w:top w:val="single" w:color="DDDDDD" w:sz="1"/>
              <w:left w:val="single" w:color="DDDDDD" w:sz="1"/>
              <w:bottom w:val="single" w:color="DDDDDD" w:sz="1"/>
              <w:right w:val="single" w:color="DDDDDD" w:sz="1"/>
            </w:tcBorders>
            <w:shd w:fill="8B0000" w:val="clear"/>
            <w:tcMar>
              <w:top w:type="dxa" w:w="80"/>
              <w:left w:type="dxa" w:w="80"/>
              <w:bottom w:type="dxa" w:w="80"/>
              <w:right w:type="dxa" w:w="80"/>
            </w:tcMar>
          </w:tcPr>
          <w:p>
            <w:pPr>
              <w:jc w:val="center"/>
            </w:pPr>
            <w:r>
              <w:rPr>
                <w:rFonts w:ascii="Arial" w:cs="Arial" w:eastAsia="Arial" w:hAnsi="Arial"/>
                <w:b/>
                <w:bCs/>
                <w:color w:val="FFFFFF"/>
                <w:sz w:val="20"/>
                <w:szCs w:val="20"/>
              </w:rPr>
              <w:t xml:space="preserve">1</w:t>
            </w:r>
          </w:p>
        </w:tc>
        <w:tc>
          <w:tcPr>
            <w:tcW w:type="dxa" w:w="16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Georgia" w:cs="Georgia" w:eastAsia="Georgia" w:hAnsi="Georgia"/>
                <w:b/>
                <w:bCs/>
                <w:color w:val="1F4E79"/>
                <w:sz w:val="19"/>
                <w:szCs w:val="19"/>
              </w:rPr>
              <w:t xml:space="preserve">Out-of-scope fix</w:t>
            </w:r>
          </w:p>
        </w:tc>
        <w:tc>
          <w:tcPr>
            <w:tcW w:type="dxa" w:w="528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pPr>
              <w:spacing w:before="0" w:after="0" w:line="276"/>
            </w:pPr>
            <w:r>
              <w:rPr>
                <w:rFonts w:ascii="Georgia" w:cs="Georgia" w:eastAsia="Georgia" w:hAnsi="Georgia"/>
                <w:color w:val="1A1A1A"/>
                <w:sz w:val="20"/>
                <w:szCs w:val="20"/>
              </w:rPr>
              <w:t xml:space="preserve">Reframe Track 3 entirely. Remove all language about 'human-AI team improvement.' Replace with: 'application of deception detection and steering — human decision outcomes as downstream validation of deception reduction.' Every outcome measure must be tied to a specific internal reasoning state.</w:t>
            </w:r>
          </w:p>
        </w:tc>
        <w:tc>
          <w:tcPr>
            <w:tcW w:type="dxa" w:w="1200"/>
            <w:tcBorders>
              <w:top w:val="single" w:color="DDDDDD" w:sz="1"/>
              <w:left w:val="single" w:color="DDDDDD" w:sz="1"/>
              <w:bottom w:val="single" w:color="DDDDDD" w:sz="1"/>
              <w:right w:val="single" w:color="DDDDDD" w:sz="1"/>
            </w:tcBorders>
            <w:shd w:fill="8B0000" w:val="clear"/>
            <w:tcMar>
              <w:top w:type="dxa" w:w="80"/>
              <w:left w:type="dxa" w:w="80"/>
              <w:bottom w:type="dxa" w:w="80"/>
              <w:right w:type="dxa" w:w="80"/>
            </w:tcMar>
          </w:tcPr>
          <w:p>
            <w:pPr>
              <w:jc w:val="center"/>
            </w:pPr>
            <w:r>
              <w:rPr>
                <w:rFonts w:ascii="Arial" w:cs="Arial" w:eastAsia="Arial" w:hAnsi="Arial"/>
                <w:b/>
                <w:bCs/>
                <w:color w:val="FFFFFF"/>
                <w:sz w:val="15"/>
                <w:szCs w:val="15"/>
              </w:rPr>
              <w:t xml:space="preserve">CRITICAL</w:t>
            </w:r>
          </w:p>
        </w:tc>
      </w:tr>
      <w:tr>
        <w:tc>
          <w:tcPr>
            <w:tcW w:type="dxa" w:w="560"/>
            <w:tcBorders>
              <w:top w:val="single" w:color="DDDDDD" w:sz="1"/>
              <w:left w:val="single" w:color="DDDDDD" w:sz="1"/>
              <w:bottom w:val="single" w:color="DDDDDD" w:sz="1"/>
              <w:right w:val="single" w:color="DDDDDD" w:sz="1"/>
            </w:tcBorders>
            <w:shd w:fill="8B0000" w:val="clear"/>
            <w:tcMar>
              <w:top w:type="dxa" w:w="80"/>
              <w:left w:type="dxa" w:w="80"/>
              <w:bottom w:type="dxa" w:w="80"/>
              <w:right w:type="dxa" w:w="80"/>
            </w:tcMar>
          </w:tcPr>
          <w:p>
            <w:pPr>
              <w:jc w:val="center"/>
            </w:pPr>
            <w:r>
              <w:rPr>
                <w:rFonts w:ascii="Arial" w:cs="Arial" w:eastAsia="Arial" w:hAnsi="Arial"/>
                <w:b/>
                <w:bCs/>
                <w:color w:val="FFFFFF"/>
                <w:sz w:val="20"/>
                <w:szCs w:val="20"/>
              </w:rPr>
              <w:t xml:space="preserve">2</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Georgia" w:cs="Georgia" w:eastAsia="Georgia" w:hAnsi="Georgia"/>
                <w:b/>
                <w:bCs/>
                <w:color w:val="1F4E79"/>
                <w:sz w:val="19"/>
                <w:szCs w:val="19"/>
              </w:rPr>
              <w:t xml:space="preserve">Team expertise</w:t>
            </w:r>
          </w:p>
        </w:tc>
        <w:tc>
          <w:tcPr>
            <w:tcW w:type="dxa" w:w="52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before="0" w:after="0" w:line="276"/>
            </w:pPr>
            <w:r>
              <w:rPr>
                <w:rFonts w:ascii="Georgia" w:cs="Georgia" w:eastAsia="Georgia" w:hAnsi="Georgia"/>
                <w:color w:val="1A1A1A"/>
                <w:sz w:val="20"/>
                <w:szCs w:val="20"/>
              </w:rPr>
              <w:t xml:space="preserve">Identify and contact at least one named interpretability researcher to join as co-PI or named senior collaborator before submission. Attend April 2 or April 28 webinar to understand what Schmidt reviewers will expect from a technical team.</w:t>
            </w:r>
          </w:p>
        </w:tc>
        <w:tc>
          <w:tcPr>
            <w:tcW w:type="dxa" w:w="1200"/>
            <w:tcBorders>
              <w:top w:val="single" w:color="DDDDDD" w:sz="1"/>
              <w:left w:val="single" w:color="DDDDDD" w:sz="1"/>
              <w:bottom w:val="single" w:color="DDDDDD" w:sz="1"/>
              <w:right w:val="single" w:color="DDDDDD" w:sz="1"/>
            </w:tcBorders>
            <w:shd w:fill="8B0000" w:val="clear"/>
            <w:tcMar>
              <w:top w:type="dxa" w:w="80"/>
              <w:left w:type="dxa" w:w="80"/>
              <w:bottom w:type="dxa" w:w="80"/>
              <w:right w:type="dxa" w:w="80"/>
            </w:tcMar>
          </w:tcPr>
          <w:p>
            <w:pPr>
              <w:jc w:val="center"/>
            </w:pPr>
            <w:r>
              <w:rPr>
                <w:rFonts w:ascii="Arial" w:cs="Arial" w:eastAsia="Arial" w:hAnsi="Arial"/>
                <w:b/>
                <w:bCs/>
                <w:color w:val="FFFFFF"/>
                <w:sz w:val="15"/>
                <w:szCs w:val="15"/>
              </w:rPr>
              <w:t xml:space="preserve">CRITICAL</w:t>
            </w:r>
          </w:p>
        </w:tc>
      </w:tr>
      <w:tr>
        <w:tc>
          <w:tcPr>
            <w:tcW w:type="dxa" w:w="560"/>
            <w:tcBorders>
              <w:top w:val="single" w:color="DDDDDD" w:sz="1"/>
              <w:left w:val="single" w:color="DDDDDD" w:sz="1"/>
              <w:bottom w:val="single" w:color="DDDDDD" w:sz="1"/>
              <w:right w:val="single" w:color="DDDDDD" w:sz="1"/>
            </w:tcBorders>
            <w:shd w:fill="005555" w:val="clear"/>
            <w:tcMar>
              <w:top w:type="dxa" w:w="80"/>
              <w:left w:type="dxa" w:w="80"/>
              <w:bottom w:type="dxa" w:w="80"/>
              <w:right w:type="dxa" w:w="80"/>
            </w:tcMar>
          </w:tcPr>
          <w:p>
            <w:pPr>
              <w:jc w:val="center"/>
            </w:pPr>
            <w:r>
              <w:rPr>
                <w:rFonts w:ascii="Arial" w:cs="Arial" w:eastAsia="Arial" w:hAnsi="Arial"/>
                <w:b/>
                <w:bCs/>
                <w:color w:val="FFFFFF"/>
                <w:sz w:val="20"/>
                <w:szCs w:val="20"/>
              </w:rPr>
              <w:t xml:space="preserve">3</w:t>
            </w:r>
          </w:p>
        </w:tc>
        <w:tc>
          <w:tcPr>
            <w:tcW w:type="dxa" w:w="16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Georgia" w:cs="Georgia" w:eastAsia="Georgia" w:hAnsi="Georgia"/>
                <w:b/>
                <w:bCs/>
                <w:color w:val="1F4E79"/>
                <w:sz w:val="19"/>
                <w:szCs w:val="19"/>
              </w:rPr>
              <w:t xml:space="preserve">Whitebox mechanistic argument</w:t>
            </w:r>
          </w:p>
        </w:tc>
        <w:tc>
          <w:tcPr>
            <w:tcW w:type="dxa" w:w="528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pPr>
              <w:spacing w:before="0" w:after="0" w:line="276"/>
            </w:pPr>
            <w:r>
              <w:rPr>
                <w:rFonts w:ascii="Georgia" w:cs="Georgia" w:eastAsia="Georgia" w:hAnsi="Georgia"/>
                <w:color w:val="1A1A1A"/>
                <w:sz w:val="20"/>
                <w:szCs w:val="20"/>
              </w:rPr>
              <w:t xml:space="preserve">Add one paragraph to Technical Approach section explaining specifically why a probe at the language-identity shift layer sees what blackbox methods cannot: the discrepancy between the language the model reasons in and the language the user engages in. This is the core whitebox advantage argument.</w:t>
            </w:r>
          </w:p>
        </w:tc>
        <w:tc>
          <w:tcPr>
            <w:tcW w:type="dxa" w:w="1200"/>
            <w:tcBorders>
              <w:top w:val="single" w:color="DDDDDD" w:sz="1"/>
              <w:left w:val="single" w:color="DDDDDD" w:sz="1"/>
              <w:bottom w:val="single" w:color="DDDDDD" w:sz="1"/>
              <w:right w:val="single" w:color="DDDDDD" w:sz="1"/>
            </w:tcBorders>
            <w:shd w:fill="1F4E79" w:val="clear"/>
            <w:tcMar>
              <w:top w:type="dxa" w:w="80"/>
              <w:left w:type="dxa" w:w="80"/>
              <w:bottom w:type="dxa" w:w="80"/>
              <w:right w:type="dxa" w:w="80"/>
            </w:tcMar>
          </w:tcPr>
          <w:p>
            <w:pPr>
              <w:jc w:val="center"/>
            </w:pPr>
            <w:r>
              <w:rPr>
                <w:rFonts w:ascii="Arial" w:cs="Arial" w:eastAsia="Arial" w:hAnsi="Arial"/>
                <w:b/>
                <w:bCs/>
                <w:color w:val="FFFFFF"/>
                <w:sz w:val="15"/>
                <w:szCs w:val="15"/>
              </w:rPr>
              <w:t xml:space="preserve">8B0000</w:t>
            </w:r>
          </w:p>
        </w:tc>
      </w:tr>
      <w:tr>
        <w:tc>
          <w:tcPr>
            <w:tcW w:type="dxa" w:w="560"/>
            <w:tcBorders>
              <w:top w:val="single" w:color="DDDDDD" w:sz="1"/>
              <w:left w:val="single" w:color="DDDDDD" w:sz="1"/>
              <w:bottom w:val="single" w:color="DDDDDD" w:sz="1"/>
              <w:right w:val="single" w:color="DDDDDD" w:sz="1"/>
            </w:tcBorders>
            <w:shd w:fill="8B5000" w:val="clear"/>
            <w:tcMar>
              <w:top w:type="dxa" w:w="80"/>
              <w:left w:type="dxa" w:w="80"/>
              <w:bottom w:type="dxa" w:w="80"/>
              <w:right w:type="dxa" w:w="80"/>
            </w:tcMar>
          </w:tcPr>
          <w:p>
            <w:pPr>
              <w:jc w:val="center"/>
            </w:pPr>
            <w:r>
              <w:rPr>
                <w:rFonts w:ascii="Arial" w:cs="Arial" w:eastAsia="Arial" w:hAnsi="Arial"/>
                <w:b/>
                <w:bCs/>
                <w:color w:val="FFFFFF"/>
                <w:sz w:val="20"/>
                <w:szCs w:val="20"/>
              </w:rPr>
              <w:t xml:space="preserve">4</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Georgia" w:cs="Georgia" w:eastAsia="Georgia" w:hAnsi="Georgia"/>
                <w:b/>
                <w:bCs/>
                <w:color w:val="1F4E79"/>
                <w:sz w:val="19"/>
                <w:szCs w:val="19"/>
              </w:rPr>
              <w:t xml:space="preserve">Deception definition alignment</w:t>
            </w:r>
          </w:p>
        </w:tc>
        <w:tc>
          <w:tcPr>
            <w:tcW w:type="dxa" w:w="52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before="0" w:after="0" w:line="276"/>
            </w:pPr>
            <w:r>
              <w:rPr>
                <w:rFonts w:ascii="Georgia" w:cs="Georgia" w:eastAsia="Georgia" w:hAnsi="Georgia"/>
                <w:color w:val="1A1A1A"/>
                <w:sz w:val="20"/>
                <w:szCs w:val="20"/>
              </w:rPr>
              <w:t xml:space="preserve">Rewrite D1 framing from 'wrong facts' to 'false confidence about wrong facts.' Deprioritise or drop D4 unless specific mechanistic evidence can be added. Ensure D6 and D3 are the primary categories throughout.</w:t>
            </w:r>
          </w:p>
        </w:tc>
        <w:tc>
          <w:tcPr>
            <w:tcW w:type="dxa" w:w="1200"/>
            <w:tcBorders>
              <w:top w:val="single" w:color="DDDDDD" w:sz="1"/>
              <w:left w:val="single" w:color="DDDDDD" w:sz="1"/>
              <w:bottom w:val="single" w:color="DDDDDD" w:sz="1"/>
              <w:right w:val="single" w:color="DDDDDD" w:sz="1"/>
            </w:tcBorders>
            <w:shd w:fill="8B5000" w:val="clear"/>
            <w:tcMar>
              <w:top w:type="dxa" w:w="80"/>
              <w:left w:type="dxa" w:w="80"/>
              <w:bottom w:type="dxa" w:w="80"/>
              <w:right w:type="dxa" w:w="80"/>
            </w:tcMar>
          </w:tcPr>
          <w:p>
            <w:pPr>
              <w:jc w:val="center"/>
            </w:pPr>
            <w:r>
              <w:rPr>
                <w:rFonts w:ascii="Arial" w:cs="Arial" w:eastAsia="Arial" w:hAnsi="Arial"/>
                <w:b/>
                <w:bCs/>
                <w:color w:val="FFFFFF"/>
                <w:sz w:val="15"/>
                <w:szCs w:val="15"/>
              </w:rPr>
              <w:t xml:space="preserve">HIGH</w:t>
            </w:r>
          </w:p>
        </w:tc>
      </w:tr>
      <w:tr>
        <w:tc>
          <w:tcPr>
            <w:tcW w:type="dxa" w:w="560"/>
            <w:tcBorders>
              <w:top w:val="single" w:color="DDDDDD" w:sz="1"/>
              <w:left w:val="single" w:color="DDDDDD" w:sz="1"/>
              <w:bottom w:val="single" w:color="DDDDDD" w:sz="1"/>
              <w:right w:val="single" w:color="DDDDDD" w:sz="1"/>
            </w:tcBorders>
            <w:shd w:fill="8B5000" w:val="clear"/>
            <w:tcMar>
              <w:top w:type="dxa" w:w="80"/>
              <w:left w:type="dxa" w:w="80"/>
              <w:bottom w:type="dxa" w:w="80"/>
              <w:right w:type="dxa" w:w="80"/>
            </w:tcMar>
          </w:tcPr>
          <w:p>
            <w:pPr>
              <w:jc w:val="center"/>
            </w:pPr>
            <w:r>
              <w:rPr>
                <w:rFonts w:ascii="Arial" w:cs="Arial" w:eastAsia="Arial" w:hAnsi="Arial"/>
                <w:b/>
                <w:bCs/>
                <w:color w:val="FFFFFF"/>
                <w:sz w:val="20"/>
                <w:szCs w:val="20"/>
              </w:rPr>
              <w:t xml:space="preserve">5</w:t>
            </w:r>
          </w:p>
        </w:tc>
        <w:tc>
          <w:tcPr>
            <w:tcW w:type="dxa" w:w="16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Georgia" w:cs="Georgia" w:eastAsia="Georgia" w:hAnsi="Georgia"/>
                <w:b/>
                <w:bCs/>
                <w:color w:val="1F4E79"/>
                <w:sz w:val="19"/>
                <w:szCs w:val="19"/>
              </w:rPr>
              <w:t xml:space="preserve">Threat model</w:t>
            </w:r>
          </w:p>
        </w:tc>
        <w:tc>
          <w:tcPr>
            <w:tcW w:type="dxa" w:w="528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pPr>
              <w:spacing w:before="0" w:after="0" w:line="276"/>
            </w:pPr>
            <w:r>
              <w:rPr>
                <w:rFonts w:ascii="Georgia" w:cs="Georgia" w:eastAsia="Georgia" w:hAnsi="Georgia"/>
                <w:color w:val="1A1A1A"/>
                <w:sz w:val="20"/>
                <w:szCs w:val="20"/>
              </w:rPr>
              <w:t xml:space="preserve">Add one paragraph specifying the threat model: who is the adversary, what is the failure mode, what does successful deception look like in the African deployment context? Schmidt's monitoring section explicitly expects threat model specification.</w:t>
            </w:r>
          </w:p>
        </w:tc>
        <w:tc>
          <w:tcPr>
            <w:tcW w:type="dxa" w:w="1200"/>
            <w:tcBorders>
              <w:top w:val="single" w:color="DDDDDD" w:sz="1"/>
              <w:left w:val="single" w:color="DDDDDD" w:sz="1"/>
              <w:bottom w:val="single" w:color="DDDDDD" w:sz="1"/>
              <w:right w:val="single" w:color="DDDDDD" w:sz="1"/>
            </w:tcBorders>
            <w:shd w:fill="8B5000" w:val="clear"/>
            <w:tcMar>
              <w:top w:type="dxa" w:w="80"/>
              <w:left w:type="dxa" w:w="80"/>
              <w:bottom w:type="dxa" w:w="80"/>
              <w:right w:type="dxa" w:w="80"/>
            </w:tcMar>
          </w:tcPr>
          <w:p>
            <w:pPr>
              <w:jc w:val="center"/>
            </w:pPr>
            <w:r>
              <w:rPr>
                <w:rFonts w:ascii="Arial" w:cs="Arial" w:eastAsia="Arial" w:hAnsi="Arial"/>
                <w:b/>
                <w:bCs/>
                <w:color w:val="FFFFFF"/>
                <w:sz w:val="15"/>
                <w:szCs w:val="15"/>
              </w:rPr>
              <w:t xml:space="preserve">HIGH</w:t>
            </w:r>
          </w:p>
        </w:tc>
      </w:tr>
      <w:tr>
        <w:tc>
          <w:tcPr>
            <w:tcW w:type="dxa" w:w="560"/>
            <w:tcBorders>
              <w:top w:val="single" w:color="DDDDDD" w:sz="1"/>
              <w:left w:val="single" w:color="DDDDDD" w:sz="1"/>
              <w:bottom w:val="single" w:color="DDDDDD" w:sz="1"/>
              <w:right w:val="single" w:color="DDDDDD" w:sz="1"/>
            </w:tcBorders>
            <w:shd w:fill="005555" w:val="clear"/>
            <w:tcMar>
              <w:top w:type="dxa" w:w="80"/>
              <w:left w:type="dxa" w:w="80"/>
              <w:bottom w:type="dxa" w:w="80"/>
              <w:right w:type="dxa" w:w="80"/>
            </w:tcMar>
          </w:tcPr>
          <w:p>
            <w:pPr>
              <w:jc w:val="center"/>
            </w:pPr>
            <w:r>
              <w:rPr>
                <w:rFonts w:ascii="Arial" w:cs="Arial" w:eastAsia="Arial" w:hAnsi="Arial"/>
                <w:b/>
                <w:bCs/>
                <w:color w:val="FFFFFF"/>
                <w:sz w:val="20"/>
                <w:szCs w:val="20"/>
              </w:rPr>
              <w:t xml:space="preserve">6</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Georgia" w:cs="Georgia" w:eastAsia="Georgia" w:hAnsi="Georgia"/>
                <w:b/>
                <w:bCs/>
                <w:color w:val="1F4E79"/>
                <w:sz w:val="19"/>
                <w:szCs w:val="19"/>
              </w:rPr>
              <w:t xml:space="preserve">Negative results commitment</w:t>
            </w:r>
          </w:p>
        </w:tc>
        <w:tc>
          <w:tcPr>
            <w:tcW w:type="dxa" w:w="52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before="0" w:after="0" w:line="276"/>
            </w:pPr>
            <w:r>
              <w:rPr>
                <w:rFonts w:ascii="Georgia" w:cs="Georgia" w:eastAsia="Georgia" w:hAnsi="Georgia"/>
                <w:color w:val="1A1A1A"/>
                <w:sz w:val="20"/>
                <w:szCs w:val="20"/>
              </w:rPr>
              <w:t xml:space="preserve">Add explicit commitment to reporting negative results for steering, per Schmidt's own stated interest. Specifically: 'If blackbox finetuning (PEFT/RLHF) consistently outperforms our interpretability-inspired steering on held-out African languages, we will document this as a primary finding.'</w:t>
            </w:r>
          </w:p>
        </w:tc>
        <w:tc>
          <w:tcPr>
            <w:tcW w:type="dxa" w:w="1200"/>
            <w:tcBorders>
              <w:top w:val="single" w:color="DDDDDD" w:sz="1"/>
              <w:left w:val="single" w:color="DDDDDD" w:sz="1"/>
              <w:bottom w:val="single" w:color="DDDDDD" w:sz="1"/>
              <w:right w:val="single" w:color="DDDDDD" w:sz="1"/>
            </w:tcBorders>
            <w:shd w:fill="005555" w:val="clear"/>
            <w:tcMar>
              <w:top w:type="dxa" w:w="80"/>
              <w:left w:type="dxa" w:w="80"/>
              <w:bottom w:type="dxa" w:w="80"/>
              <w:right w:type="dxa" w:w="80"/>
            </w:tcMar>
          </w:tcPr>
          <w:p>
            <w:pPr>
              <w:jc w:val="center"/>
            </w:pPr>
            <w:r>
              <w:rPr>
                <w:rFonts w:ascii="Arial" w:cs="Arial" w:eastAsia="Arial" w:hAnsi="Arial"/>
                <w:b/>
                <w:bCs/>
                <w:color w:val="FFFFFF"/>
                <w:sz w:val="15"/>
                <w:szCs w:val="15"/>
              </w:rPr>
              <w:t xml:space="preserve">MEDIUM</w:t>
            </w:r>
          </w:p>
        </w:tc>
      </w:tr>
      <w:tr>
        <w:tc>
          <w:tcPr>
            <w:tcW w:type="dxa" w:w="560"/>
            <w:tcBorders>
              <w:top w:val="single" w:color="DDDDDD" w:sz="1"/>
              <w:left w:val="single" w:color="DDDDDD" w:sz="1"/>
              <w:bottom w:val="single" w:color="DDDDDD" w:sz="1"/>
              <w:right w:val="single" w:color="DDDDDD" w:sz="1"/>
            </w:tcBorders>
            <w:shd w:fill="005555" w:val="clear"/>
            <w:tcMar>
              <w:top w:type="dxa" w:w="80"/>
              <w:left w:type="dxa" w:w="80"/>
              <w:bottom w:type="dxa" w:w="80"/>
              <w:right w:type="dxa" w:w="80"/>
            </w:tcMar>
          </w:tcPr>
          <w:p>
            <w:pPr>
              <w:jc w:val="center"/>
            </w:pPr>
            <w:r>
              <w:rPr>
                <w:rFonts w:ascii="Arial" w:cs="Arial" w:eastAsia="Arial" w:hAnsi="Arial"/>
                <w:b/>
                <w:bCs/>
                <w:color w:val="FFFFFF"/>
                <w:sz w:val="20"/>
                <w:szCs w:val="20"/>
              </w:rPr>
              <w:t xml:space="preserve">7</w:t>
            </w:r>
          </w:p>
        </w:tc>
        <w:tc>
          <w:tcPr>
            <w:tcW w:type="dxa" w:w="160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Georgia" w:cs="Georgia" w:eastAsia="Georgia" w:hAnsi="Georgia"/>
                <w:b/>
                <w:bCs/>
                <w:color w:val="1F4E79"/>
                <w:sz w:val="19"/>
                <w:szCs w:val="19"/>
              </w:rPr>
              <w:t xml:space="preserve">Power analysis</w:t>
            </w:r>
          </w:p>
        </w:tc>
        <w:tc>
          <w:tcPr>
            <w:tcW w:type="dxa" w:w="528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pPr>
              <w:spacing w:before="0" w:after="0" w:line="276"/>
            </w:pPr>
            <w:r>
              <w:rPr>
                <w:rFonts w:ascii="Georgia" w:cs="Georgia" w:eastAsia="Georgia" w:hAnsi="Georgia"/>
                <w:color w:val="1A1A1A"/>
                <w:sz w:val="20"/>
                <w:szCs w:val="20"/>
              </w:rPr>
              <w:t xml:space="preserve">For WP2 probe comparison, add a pre-registered power analysis specifying minimum detectable effect size for the ≥15% F1 outperformance claim. Shows statistical rigor to technical reviewers.</w:t>
            </w:r>
          </w:p>
        </w:tc>
        <w:tc>
          <w:tcPr>
            <w:tcW w:type="dxa" w:w="1200"/>
            <w:tcBorders>
              <w:top w:val="single" w:color="DDDDDD" w:sz="1"/>
              <w:left w:val="single" w:color="DDDDDD" w:sz="1"/>
              <w:bottom w:val="single" w:color="DDDDDD" w:sz="1"/>
              <w:right w:val="single" w:color="DDDDDD" w:sz="1"/>
            </w:tcBorders>
            <w:shd w:fill="005555" w:val="clear"/>
            <w:tcMar>
              <w:top w:type="dxa" w:w="80"/>
              <w:left w:type="dxa" w:w="80"/>
              <w:bottom w:type="dxa" w:w="80"/>
              <w:right w:type="dxa" w:w="80"/>
            </w:tcMar>
          </w:tcPr>
          <w:p>
            <w:pPr>
              <w:jc w:val="center"/>
            </w:pPr>
            <w:r>
              <w:rPr>
                <w:rFonts w:ascii="Arial" w:cs="Arial" w:eastAsia="Arial" w:hAnsi="Arial"/>
                <w:b/>
                <w:bCs/>
                <w:color w:val="FFFFFF"/>
                <w:sz w:val="15"/>
                <w:szCs w:val="15"/>
              </w:rPr>
              <w:t xml:space="preserve">MEDIUM</w:t>
            </w:r>
          </w:p>
        </w:tc>
      </w:tr>
      <w:tr>
        <w:tc>
          <w:tcPr>
            <w:tcW w:type="dxa" w:w="560"/>
            <w:tcBorders>
              <w:top w:val="single" w:color="DDDDDD" w:sz="1"/>
              <w:left w:val="single" w:color="DDDDDD" w:sz="1"/>
              <w:bottom w:val="single" w:color="DDDDDD" w:sz="1"/>
              <w:right w:val="single" w:color="DDDDDD" w:sz="1"/>
            </w:tcBorders>
            <w:shd w:fill="005555" w:val="clear"/>
            <w:tcMar>
              <w:top w:type="dxa" w:w="80"/>
              <w:left w:type="dxa" w:w="80"/>
              <w:bottom w:type="dxa" w:w="80"/>
              <w:right w:type="dxa" w:w="80"/>
            </w:tcMar>
          </w:tcPr>
          <w:p>
            <w:pPr>
              <w:jc w:val="center"/>
            </w:pPr>
            <w:r>
              <w:rPr>
                <w:rFonts w:ascii="Arial" w:cs="Arial" w:eastAsia="Arial" w:hAnsi="Arial"/>
                <w:b/>
                <w:bCs/>
                <w:color w:val="FFFFFF"/>
                <w:sz w:val="20"/>
                <w:szCs w:val="20"/>
              </w:rPr>
              <w:t xml:space="preserve">8</w:t>
            </w:r>
          </w:p>
        </w:tc>
        <w:tc>
          <w:tcPr>
            <w:tcW w:type="dxa" w:w="16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Georgia" w:cs="Georgia" w:eastAsia="Georgia" w:hAnsi="Georgia"/>
                <w:b/>
                <w:bCs/>
                <w:color w:val="1F4E79"/>
                <w:sz w:val="19"/>
                <w:szCs w:val="19"/>
              </w:rPr>
              <w:t xml:space="preserve">Attend April webinars</w:t>
            </w:r>
          </w:p>
        </w:tc>
        <w:tc>
          <w:tcPr>
            <w:tcW w:type="dxa" w:w="52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spacing w:before="0" w:after="0" w:line="276"/>
            </w:pPr>
            <w:r>
              <w:rPr>
                <w:rFonts w:ascii="Georgia" w:cs="Georgia" w:eastAsia="Georgia" w:hAnsi="Georgia"/>
                <w:color w:val="1A1A1A"/>
                <w:sz w:val="20"/>
                <w:szCs w:val="20"/>
              </w:rPr>
              <w:t xml:space="preserve">Register for April 2 and April 28 informational webinars. These are an opportunity to ask Schmidt directly whether the African deployment framing is in scope and whether their compute resources can support cross-lingual probing experiments.</w:t>
            </w:r>
          </w:p>
        </w:tc>
        <w:tc>
          <w:tcPr>
            <w:tcW w:type="dxa" w:w="1200"/>
            <w:tcBorders>
              <w:top w:val="single" w:color="DDDDDD" w:sz="1"/>
              <w:left w:val="single" w:color="DDDDDD" w:sz="1"/>
              <w:bottom w:val="single" w:color="DDDDDD" w:sz="1"/>
              <w:right w:val="single" w:color="DDDDDD" w:sz="1"/>
            </w:tcBorders>
            <w:shd w:fill="1F4E79" w:val="clear"/>
            <w:tcMar>
              <w:top w:type="dxa" w:w="80"/>
              <w:left w:type="dxa" w:w="80"/>
              <w:bottom w:type="dxa" w:w="80"/>
              <w:right w:type="dxa" w:w="80"/>
            </w:tcMar>
          </w:tcPr>
          <w:p>
            <w:pPr>
              <w:jc w:val="center"/>
            </w:pPr>
            <w:r>
              <w:rPr>
                <w:rFonts w:ascii="Arial" w:cs="Arial" w:eastAsia="Arial" w:hAnsi="Arial"/>
                <w:b/>
                <w:bCs/>
                <w:color w:val="FFFFFF"/>
                <w:sz w:val="15"/>
                <w:szCs w:val="15"/>
              </w:rPr>
              <w:t xml:space="preserve">PRACTICAL</w:t>
            </w:r>
          </w:p>
        </w:tc>
      </w:tr>
    </w:tbl>
    <w:p>
      <w:pPr>
        <w:spacing w:before="60" w:after="60"/>
      </w:pPr>
      <w:r>
        <w:t xml:space="preserve"/>
      </w:r>
    </w:p>
    <w:p>
      <w:pPr>
        <w:pBdr>
          <w:bottom w:val="single" w:color="7B5000" w:sz="6" w:space="1"/>
        </w:pBdr>
        <w:spacing w:before="80" w:after="80"/>
      </w:pPr>
      <w:r>
        <w:t xml:space="preserve"/>
      </w:r>
    </w:p>
    <w:p>
      <w:pPr>
        <w:spacing w:before="60" w:after="60"/>
      </w:pPr>
      <w:r>
        <w:t xml:space="preserve"/>
      </w:r>
    </w:p>
    <w:p>
      <w:pPr>
        <w:spacing w:before="0" w:after="200" w:line="288"/>
      </w:pPr>
      <w:r>
        <w:rPr>
          <w:rFonts w:ascii="Georgia" w:cs="Georgia" w:eastAsia="Georgia" w:hAnsi="Georgia"/>
          <w:color w:val="1A1A1A"/>
          <w:sz w:val="24"/>
          <w:szCs w:val="24"/>
        </w:rPr>
        <w:t xml:space="preserve">The core idea is competitive. The African deployment context as a cross-lingual deception stress test is the right angle for this grant. D6 capability self-misrepresentation is the strongest claim in the proposal and perfectly fits Schmidt’s definition. The English-backend translation layer is a mechanistically grounded target that no other team is likely to propose.</w:t>
      </w:r>
    </w:p>
    <w:p>
      <w:pPr>
        <w:spacing w:before="0" w:after="200" w:line="288"/>
      </w:pPr>
      <w:r>
        <w:rPr>
          <w:rFonts w:ascii="Georgia" w:cs="Georgia" w:eastAsia="Georgia" w:hAnsi="Georgia"/>
          <w:color w:val="1A1A1A"/>
          <w:sz w:val="24"/>
          <w:szCs w:val="24"/>
        </w:rPr>
        <w:t xml:space="preserve">What the proposal currently lacks is not a better idea. It lacks the framing discipline required to stay clearly inside Schmidt’s scope, the mechanistic argument required to prove whitebox advantage, and the named team required to pass the expertise criterion.</w:t>
      </w:r>
    </w:p>
    <w:p>
      <w:pPr>
        <w:spacing w:before="0" w:after="200" w:line="288"/>
      </w:pPr>
      <w:r>
        <w:rPr>
          <w:rFonts w:ascii="Georgia" w:cs="Georgia" w:eastAsia="Georgia" w:hAnsi="Georgia"/>
          <w:color w:val="1A1A1A"/>
          <w:sz w:val="24"/>
          <w:szCs w:val="24"/>
        </w:rPr>
        <w:t xml:space="preserve">All four critical issues are fixable within two months. None requires rebuilding the proposal. The hardest one — team expertise — requires an outreach call, not a conceptual rethink. Register for the April 2 webinar. Make the Track 3 reframe. Add the whitebox argument paragraph. Name a co-PI. Submit.</w:t>
      </w:r>
    </w:p>
    <w:p>
      <w:pPr>
        <w:spacing w:before="60" w:after="60"/>
      </w:pPr>
      <w:r>
        <w:t xml:space="preserve"/>
      </w:r>
    </w:p>
    <w:p>
      <w:pPr>
        <w:pBdr>
          <w:bottom w:val="single" w:color="DDDDDD" w:sz="4" w:space="1"/>
        </w:pBdr>
        <w:spacing w:before="80" w:after="80"/>
      </w:pPr>
      <w:r>
        <w:t xml:space="preserve"/>
      </w:r>
    </w:p>
    <w:p>
      <w:pPr>
        <w:spacing w:before="180" w:after="180"/>
      </w:pPr>
      <w:r>
        <w:t xml:space="preserve"/>
      </w:r>
    </w:p>
    <w:p>
      <w:pPr>
        <w:spacing w:before="0" w:after="80"/>
      </w:pPr>
      <w:r>
        <w:rPr>
          <w:rFonts w:ascii="Arial" w:cs="Arial" w:eastAsia="Arial" w:hAnsi="Arial"/>
          <w:b/>
          <w:bCs/>
          <w:color w:val="1F4E79"/>
          <w:sz w:val="19"/>
          <w:szCs w:val="19"/>
        </w:rPr>
        <w:t xml:space="preserve">Audit based on:</w:t>
      </w:r>
    </w:p>
    <w:p>
      <w:pPr>
        <w:spacing w:before="0" w:after="0" w:line="260"/>
      </w:pPr>
      <w:r>
        <w:rPr>
          <w:rFonts w:ascii="Arial" w:cs="Arial" w:eastAsia="Arial" w:hAnsi="Arial"/>
          <w:color w:val="555566"/>
          <w:sz w:val="17"/>
          <w:szCs w:val="17"/>
        </w:rPr>
        <w:t xml:space="preserve">Schmidt Sciences 2026 Interpretability RFP (full text, March 2026). — Schmidt Context Paper: African Deployment Context as Novel Lens for LLM Deception Research (Logo M., LOG_ON AI, March 2026). — Schmidt Draft Proposal: Detecting Deception Where It Hides (Logo M., March 2026). — Schmidt FAQ: AI Interpretability FAQ (linked in RFP). — All six Schmidt selection criteria applied directly against proposal content.</w:t>
      </w:r>
    </w:p>
    <w:sectPr>
      <w:pgSz w:w="12240" w:h="15840" w:orient="portrait"/>
      <w:pgMar w:top="1440" w:right="1720" w:bottom="1440" w:left="1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2026-03-24T05:26:15.007Z</dcterms:created>
  <dcterms:modified xsi:type="dcterms:W3CDTF">2026-03-24T05:26:15.007Z</dcterms:modified>
</cp:coreProperties>
</file>

<file path=docProps/custom.xml><?xml version="1.0" encoding="utf-8"?>
<Properties xmlns="http://schemas.openxmlformats.org/officeDocument/2006/custom-properties" xmlns:vt="http://schemas.openxmlformats.org/officeDocument/2006/docPropsVTypes"/>
</file>