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7B5000" w:sz="20"/>
              <w:right w:val="single" w:color="DDDDDD" w:sz="1"/>
            </w:tcBorders>
            <w:shd w:fill="1F4E79" w:val="clear"/>
            <w:tcMar>
              <w:top w:type="dxa" w:w="440"/>
              <w:left w:type="dxa" w:w="580"/>
              <w:bottom w:type="dxa" w:w="440"/>
              <w:right w:type="dxa" w:w="580"/>
            </w:tcMar>
          </w:tcPr>
          <w:p>
            <w:pPr>
              <w:spacing w:before="0" w:after="40"/>
              <w:jc w:val="center"/>
            </w:pPr>
            <w:r>
              <w:rPr>
                <w:rFonts w:ascii="Arial" w:cs="Arial" w:eastAsia="Arial" w:hAnsi="Arial"/>
                <w:b/>
                <w:bCs/>
                <w:caps/>
                <w:color w:val="7799BB"/>
                <w:spacing w:val="200"/>
                <w:sz w:val="15"/>
                <w:szCs w:val="15"/>
              </w:rPr>
              <w:t xml:space="preserve">RESEARCH AUDIT  ·  TRIPLE-SKILL ANALYSIS</w:t>
            </w:r>
          </w:p>
          <w:p>
            <w:pPr>
              <w:spacing w:before="0" w:after="60"/>
              <w:jc w:val="center"/>
            </w:pPr>
            <w:r>
              <w:rPr>
                <w:rFonts w:ascii="Arial" w:cs="Arial" w:eastAsia="Arial" w:hAnsi="Arial"/>
                <w:b/>
                <w:bCs/>
                <w:color w:val="FFFFFF"/>
                <w:sz w:val="44"/>
                <w:szCs w:val="44"/>
              </w:rPr>
              <w:t xml:space="preserve">Agentic AI Frameworks in SMMEs</w:t>
            </w:r>
          </w:p>
          <w:p>
            <w:pPr>
              <w:spacing w:before="0" w:after="60"/>
              <w:jc w:val="center"/>
            </w:pPr>
            <w:r>
              <w:rPr>
                <w:rFonts w:ascii="Georgia" w:cs="Georgia" w:eastAsia="Georgia" w:hAnsi="Georgia"/>
                <w:i/>
                <w:iCs/>
                <w:color w:val="CCE0FF"/>
                <w:sz w:val="21"/>
                <w:szCs w:val="21"/>
              </w:rPr>
              <w:t xml:space="preserve">Claim Verification  ·  Research Inspiration Mining  ·  Multi-Agent Action Tasks</w:t>
            </w:r>
          </w:p>
          <w:p>
            <w:pPr>
              <w:spacing w:before="60" w:after="0"/>
              <w:jc w:val="center"/>
            </w:pPr>
            <w:r>
              <w:rPr>
                <w:rFonts w:ascii="Arial" w:cs="Arial" w:eastAsia="Arial" w:hAnsi="Arial"/>
                <w:color w:val="7799BB"/>
                <w:sz w:val="17"/>
                <w:szCs w:val="17"/>
              </w:rPr>
              <w:t xml:space="preserve">Olujimi et al., AI (MDPI) 2025, Vol. 6  ·  Audit by Logo M.  ·  March 2026</w:t>
            </w:r>
          </w:p>
        </w:tc>
      </w:tr>
    </w:tbl>
    <w:p>
      <w:pPr>
        <w:spacing w:before="60" w:after="60"/>
      </w:pPr>
      <w:r>
        <w:t xml:space="preserve"/>
      </w:r>
    </w:p>
    <w:p>
      <w:pPr>
        <w:spacing w:before="60" w:after="180"/>
        <w:jc w:val="center"/>
      </w:pPr>
      <w:r>
        <w:rPr>
          <w:rFonts w:ascii="Georgia" w:cs="Georgia" w:eastAsia="Georgia" w:hAnsi="Georgia"/>
          <w:i/>
          <w:iCs/>
          <w:color w:val="666666"/>
          <w:sz w:val="21"/>
          <w:szCs w:val="21"/>
        </w:rPr>
        <w:t xml:space="preserve">This audit applies three structured research skills to the Olujimi et al. (2025) SMME Agentic AI review. Skill 1 maps and verifies the paper’s core claims. Skill 2 mines it for research gaps, future work, conflicts, and methodology pivots. Skill 3 translates findings into a ranked multi-agent action plan tied directly to the African AI architecture series.</w:t>
      </w:r>
    </w:p>
    <w:p>
      <w:pPr>
        <w:pBdr>
          <w:bottom w:val="single" w:color="7B5000" w:sz="6" w:space="1"/>
        </w:pBdr>
        <w:spacing w:before="100" w:after="100"/>
      </w:pPr>
      <w:r>
        <w:t xml:space="preserve"/>
      </w:r>
    </w:p>
    <w:p>
      <w:pPr>
        <w:spacing w:before="60" w:after="60"/>
      </w:pPr>
      <w:r>
        <w:t xml:space="preserve"/>
      </w:r>
    </w:p>
    <w:p>
      <w:pPr>
        <w:pBdr>
          <w:bottom w:val="single" w:color="1F4E79" w:sz="6" w:space="4"/>
        </w:pBdr>
        <w:spacing w:before="360" w:after="60"/>
      </w:pPr>
      <w:r>
        <w:rPr>
          <w:rFonts w:ascii="Arial" w:cs="Arial" w:eastAsia="Arial" w:hAnsi="Arial"/>
          <w:b/>
          <w:bCs/>
          <w:caps/>
          <w:color w:val="1F4E79"/>
          <w:spacing w:val="100"/>
          <w:sz w:val="17"/>
          <w:szCs w:val="17"/>
        </w:rPr>
        <w:t xml:space="preserve">Paper Overview — What the Study Is and What It Found</w:t>
      </w:r>
    </w:p>
    <w:p>
      <w:pPr>
        <w:spacing w:before="60" w:after="60"/>
      </w:pPr>
      <w:r>
        <w:t xml:space="preserve"/>
      </w:r>
    </w:p>
    <w:p>
      <w:pPr>
        <w:spacing w:before="0" w:after="200" w:line="286"/>
      </w:pPr>
      <w:r>
        <w:rPr>
          <w:rFonts w:ascii="Georgia" w:cs="Georgia" w:eastAsia="Georgia" w:hAnsi="Georgia"/>
          <w:color w:val="1A1A1A"/>
          <w:sz w:val="24"/>
          <w:szCs w:val="24"/>
        </w:rPr>
        <w:t xml:space="preserve">Olujimi, Owolawi, Mogase and van Wyk (2025) conducted a PRISMA 2020 systematic literature review of 66 peer-reviewed and grey literature sources on agentic AI in SMMEs, covering publications from 2019 to 2024. It was published in MDPI’s AI journal (Volume 6) and has since been cited in multiple agentic AI surveys, including the Sapkota et al. (2025) taxonomy paper in Information Fusion.</w:t>
      </w:r>
    </w:p>
    <w:p>
      <w:pPr>
        <w:spacing w:before="0" w:after="200" w:line="286"/>
      </w:pPr>
      <w:r>
        <w:rPr>
          <w:rFonts w:ascii="Georgia" w:cs="Georgia" w:eastAsia="Georgia" w:hAnsi="Georgia"/>
          <w:color w:val="1A1A1A"/>
          <w:sz w:val="24"/>
          <w:szCs w:val="24"/>
        </w:rPr>
        <w:t xml:space="preserve">The paper’s four research questions: (RQ1) What are the advances in agentic AI? (RQ2) How does inter-agent communication work? (RQ3) Which frameworks exist (LangChain, AutoGen)? (RQ4) What are the SMME-specific barriers to adoption? Its answer to all four is empirically thin by the study’s own admission — the evidence base is dominated by conceptual models, prototypes, and pilot projects. Long-term empirical validation of agentic AI in real SMME environments does not yet exist.</w:t>
      </w:r>
    </w:p>
    <w:p>
      <w:pPr>
        <w:spacing w:before="0" w:after="200" w:line="286"/>
      </w:pPr>
      <w:r>
        <w:rPr>
          <w:rFonts w:ascii="Georgia" w:cs="Georgia" w:eastAsia="Georgia" w:hAnsi="Georgia"/>
          <w:color w:val="1A1A1A"/>
          <w:sz w:val="24"/>
          <w:szCs w:val="24"/>
        </w:rPr>
        <w:t xml:space="preserve">That gap is the entry point for the research programme this audit is designed to fuel.</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F4E79" w:sz="22"/>
              <w:bottom w:val="none" w:color="FFFFFF" w:sz="0"/>
              <w:right w:val="none" w:color="FFFFFF" w:sz="0"/>
            </w:tcBorders>
            <w:shd w:fill="FAFAFA" w:val="clear"/>
            <w:tcMar>
              <w:top w:type="dxa" w:w="160"/>
              <w:left w:type="dxa" w:w="340"/>
              <w:bottom w:type="dxa" w:w="160"/>
              <w:right w:type="dxa" w:w="200"/>
            </w:tcMar>
          </w:tcPr>
          <w:p>
            <w:r>
              <w:rPr>
                <w:rFonts w:ascii="Georgia" w:cs="Georgia" w:eastAsia="Georgia" w:hAnsi="Georgia"/>
                <w:b/>
                <w:bCs/>
                <w:i/>
                <w:iCs/>
                <w:color w:val="1F4E79"/>
                <w:sz w:val="28"/>
                <w:szCs w:val="28"/>
              </w:rPr>
              <w:t xml:space="preserve">The paper's most important finding is its biggest gap: there is no empirical validation of agentic AI in real SMME contexts. The entire field is built on prototypes and pilots.</w:t>
            </w:r>
          </w:p>
        </w:tc>
      </w:tr>
    </w:tbl>
    <w:p>
      <w:pPr>
        <w:spacing w:before="60" w:after="60"/>
      </w:pPr>
      <w:r>
        <w:t xml:space="preserve"/>
      </w:r>
    </w:p>
    <w:p>
      <w:pPr>
        <w:pBdr>
          <w:bottom w:val="single" w:color="005555" w:sz="6" w:space="4"/>
        </w:pBdr>
        <w:spacing w:before="360" w:after="60"/>
      </w:pPr>
      <w:r>
        <w:rPr>
          <w:rFonts w:ascii="Arial" w:cs="Arial" w:eastAsia="Arial" w:hAnsi="Arial"/>
          <w:b/>
          <w:bCs/>
          <w:caps/>
          <w:color w:val="005555"/>
          <w:spacing w:val="100"/>
          <w:sz w:val="17"/>
          <w:szCs w:val="17"/>
        </w:rPr>
        <w:t xml:space="preserve">Skill 1 — Research Claim Map: Verifying the Paper’s Core Assertions</w:t>
      </w:r>
    </w:p>
    <w:p>
      <w:pPr>
        <w:spacing w:before="60" w:after="60"/>
      </w:pPr>
      <w:r>
        <w:t xml:space="preserve"/>
      </w:r>
    </w:p>
    <w:p>
      <w:pPr>
        <w:spacing w:before="0" w:after="200" w:line="286"/>
      </w:pPr>
      <w:r>
        <w:rPr>
          <w:rFonts w:ascii="Georgia" w:cs="Georgia" w:eastAsia="Georgia" w:hAnsi="Georgia"/>
          <w:color w:val="1A1A1A"/>
          <w:sz w:val="24"/>
          <w:szCs w:val="24"/>
        </w:rPr>
        <w:t xml:space="preserve">The Research Claim Map skill applies four evidence quality ratings (Primary / Secondary / Tertiary / Non-Evidence) and four credibility dimensions (Expertise, Independence, Track Record, Methodology) to each of the paper’s central claims. Confidence is scored 0–100%.</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800"/>
        <w:gridCol w:w="4440"/>
      </w:tblGrid>
      <w:tr>
        <w:trPr>
          <w:tblHeader/>
        </w:trPr>
        <w:tc>
          <w:tcPr>
            <w:tcW w:type="dxa" w:w="2400"/>
            <w:tcBorders>
              <w:top w:val="single" w:color="DDDDDD" w:sz="1"/>
              <w:left w:val="single" w:color="DDDDDD" w:sz="1"/>
              <w:bottom w:val="single" w:color="DDDDDD" w:sz="1"/>
              <w:right w:val="single" w:color="DDDDDD" w:sz="1"/>
            </w:tcBorders>
            <w:shd w:fill="005555" w:val="clear"/>
            <w:tcMar>
              <w:top w:type="dxa" w:w="80"/>
              <w:left w:type="dxa" w:w="130"/>
              <w:bottom w:type="dxa" w:w="80"/>
              <w:right w:type="dxa" w:w="130"/>
            </w:tcMar>
          </w:tcPr>
          <w:p>
            <w:r>
              <w:rPr>
                <w:rFonts w:ascii="Arial" w:cs="Arial" w:eastAsia="Arial" w:hAnsi="Arial"/>
                <w:b/>
                <w:bCs/>
                <w:color w:val="FFFFFF"/>
                <w:sz w:val="17"/>
                <w:szCs w:val="17"/>
              </w:rPr>
              <w:t xml:space="preserve">Claim</w:t>
            </w:r>
          </w:p>
        </w:tc>
        <w:tc>
          <w:tcPr>
            <w:tcW w:type="dxa" w:w="1000"/>
            <w:tcBorders>
              <w:top w:val="single" w:color="DDDDDD" w:sz="1"/>
              <w:left w:val="single" w:color="DDDDDD" w:sz="1"/>
              <w:bottom w:val="single" w:color="DDDDDD" w:sz="1"/>
              <w:right w:val="single" w:color="DDDDDD" w:sz="1"/>
            </w:tcBorders>
            <w:shd w:fill="005555"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Verdict</w:t>
            </w:r>
          </w:p>
        </w:tc>
        <w:tc>
          <w:tcPr>
            <w:tcW w:type="dxa" w:w="800"/>
            <w:tcBorders>
              <w:top w:val="single" w:color="DDDDDD" w:sz="1"/>
              <w:left w:val="single" w:color="DDDDDD" w:sz="1"/>
              <w:bottom w:val="single" w:color="DDDDDD" w:sz="1"/>
              <w:right w:val="single" w:color="DDDDDD" w:sz="1"/>
            </w:tcBorders>
            <w:shd w:fill="005555"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Conf.</w:t>
            </w:r>
          </w:p>
        </w:tc>
        <w:tc>
          <w:tcPr>
            <w:tcW w:type="dxa" w:w="4440"/>
            <w:tcBorders>
              <w:top w:val="single" w:color="DDDDDD" w:sz="1"/>
              <w:left w:val="single" w:color="DDDDDD" w:sz="1"/>
              <w:bottom w:val="single" w:color="DDDDDD" w:sz="1"/>
              <w:right w:val="single" w:color="DDDDDD" w:sz="1"/>
            </w:tcBorders>
            <w:shd w:fill="005555" w:val="clear"/>
            <w:tcMar>
              <w:top w:type="dxa" w:w="80"/>
              <w:left w:type="dxa" w:w="130"/>
              <w:bottom w:type="dxa" w:w="80"/>
              <w:right w:type="dxa" w:w="130"/>
            </w:tcMar>
          </w:tcPr>
          <w:p>
            <w:r>
              <w:rPr>
                <w:rFonts w:ascii="Arial" w:cs="Arial" w:eastAsia="Arial" w:hAnsi="Arial"/>
                <w:b/>
                <w:bCs/>
                <w:color w:val="FFFFFF"/>
                <w:sz w:val="17"/>
                <w:szCs w:val="17"/>
              </w:rPr>
              <w:t xml:space="preserve">Evidence Quality &amp; Rationale</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Georgia" w:cs="Georgia" w:eastAsia="Georgia" w:hAnsi="Georgia"/>
                <w:b/>
                <w:bCs/>
                <w:color w:val="1A1A1A"/>
                <w:sz w:val="20"/>
                <w:szCs w:val="20"/>
              </w:rPr>
              <w:t xml:space="preserve">Agentic AI outperforms centralized AI for SMME agility</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tcPr>
          <w:p>
            <w:pPr>
              <w:jc w:val="center"/>
            </w:pPr>
            <w:r>
              <w:rPr>
                <w:rFonts w:ascii="Arial" w:cs="Arial" w:eastAsia="Arial" w:hAnsi="Arial"/>
                <w:b/>
                <w:bCs/>
                <w:color w:val="155724"/>
                <w:sz w:val="19"/>
                <w:szCs w:val="19"/>
              </w:rPr>
              <w:t xml:space="preserve">SUPPORTED</w:t>
            </w:r>
          </w:p>
        </w:tc>
        <w:tc>
          <w:tcPr>
            <w:tcW w:type="dxa" w:w="8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tcPr>
          <w:p>
            <w:pPr>
              <w:jc w:val="center"/>
            </w:pPr>
            <w:r>
              <w:rPr>
                <w:rFonts w:ascii="Arial" w:cs="Arial" w:eastAsia="Arial" w:hAnsi="Arial"/>
                <w:b/>
                <w:bCs/>
                <w:color w:val="1F4E79"/>
                <w:sz w:val="19"/>
                <w:szCs w:val="19"/>
              </w:rPr>
              <w:t xml:space="preserve">78%</w:t>
            </w:r>
          </w:p>
        </w:tc>
        <w:tc>
          <w:tcPr>
            <w:tcW w:type="dxa" w:w="4440"/>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pPr>
              <w:spacing w:before="0" w:after="0" w:line="270"/>
            </w:pPr>
            <w:r>
              <w:rPr>
                <w:rFonts w:ascii="Arial" w:cs="Arial" w:eastAsia="Arial" w:hAnsi="Arial"/>
                <w:color w:val="666666"/>
                <w:sz w:val="19"/>
                <w:szCs w:val="19"/>
              </w:rPr>
              <w:t xml:space="preserve">Secondary evidence from 66 papers; consistent directional finding across pilots. No RCT-grade primary evidence. Cohen’s kappa=0.83 inter-rater reliability is high for a review study.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Georgia" w:cs="Georgia" w:eastAsia="Georgia" w:hAnsi="Georgia"/>
                <w:b/>
                <w:bCs/>
                <w:color w:val="1A1A1A"/>
                <w:sz w:val="20"/>
                <w:szCs w:val="20"/>
              </w:rPr>
              <w:t xml:space="preserve">LangChain and AutoGen lack SMME-specific guidelines</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jc w:val="center"/>
            </w:pPr>
            <w:r>
              <w:rPr>
                <w:rFonts w:ascii="Arial" w:cs="Arial" w:eastAsia="Arial" w:hAnsi="Arial"/>
                <w:b/>
                <w:bCs/>
                <w:color w:val="155724"/>
                <w:sz w:val="19"/>
                <w:szCs w:val="19"/>
              </w:rPr>
              <w:t xml:space="preserve">SUPPORTED</w:t>
            </w:r>
          </w:p>
        </w:tc>
        <w:tc>
          <w:tcPr>
            <w:tcW w:type="dxa" w:w="8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jc w:val="center"/>
            </w:pPr>
            <w:r>
              <w:rPr>
                <w:rFonts w:ascii="Arial" w:cs="Arial" w:eastAsia="Arial" w:hAnsi="Arial"/>
                <w:b/>
                <w:bCs/>
                <w:color w:val="1F4E79"/>
                <w:sz w:val="19"/>
                <w:szCs w:val="19"/>
              </w:rPr>
              <w:t xml:space="preserve">85%</w:t>
            </w:r>
          </w:p>
        </w:tc>
        <w:tc>
          <w:tcPr>
            <w:tcW w:type="dxa" w:w="444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pPr>
              <w:spacing w:before="0" w:after="0" w:line="270"/>
            </w:pPr>
            <w:r>
              <w:rPr>
                <w:rFonts w:ascii="Arial" w:cs="Arial" w:eastAsia="Arial" w:hAnsi="Arial"/>
                <w:color w:val="666666"/>
                <w:sz w:val="19"/>
                <w:szCs w:val="19"/>
              </w:rPr>
              <w:t xml:space="preserve">Primary: framework documentation shows no SMME-specific constraints on budget or usability. Confirmed by multiple implementation failure case reports.</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Georgia" w:cs="Georgia" w:eastAsia="Georgia" w:hAnsi="Georgia"/>
                <w:b/>
                <w:bCs/>
                <w:color w:val="1A1A1A"/>
                <w:sz w:val="20"/>
                <w:szCs w:val="20"/>
              </w:rPr>
              <w:t xml:space="preserve">Most research focuses on large enterprises, overlooking SMMEs</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tcPr>
          <w:p>
            <w:pPr>
              <w:jc w:val="center"/>
            </w:pPr>
            <w:r>
              <w:rPr>
                <w:rFonts w:ascii="Arial" w:cs="Arial" w:eastAsia="Arial" w:hAnsi="Arial"/>
                <w:b/>
                <w:bCs/>
                <w:color w:val="155724"/>
                <w:sz w:val="19"/>
                <w:szCs w:val="19"/>
              </w:rPr>
              <w:t xml:space="preserve">SUPPORTED</w:t>
            </w:r>
          </w:p>
        </w:tc>
        <w:tc>
          <w:tcPr>
            <w:tcW w:type="dxa" w:w="8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tcPr>
          <w:p>
            <w:pPr>
              <w:jc w:val="center"/>
            </w:pPr>
            <w:r>
              <w:rPr>
                <w:rFonts w:ascii="Arial" w:cs="Arial" w:eastAsia="Arial" w:hAnsi="Arial"/>
                <w:b/>
                <w:bCs/>
                <w:color w:val="1F4E79"/>
                <w:sz w:val="19"/>
                <w:szCs w:val="19"/>
              </w:rPr>
              <w:t xml:space="preserve">90%</w:t>
            </w:r>
          </w:p>
        </w:tc>
        <w:tc>
          <w:tcPr>
            <w:tcW w:type="dxa" w:w="4440"/>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pPr>
              <w:spacing w:before="0" w:after="0" w:line="270"/>
            </w:pPr>
            <w:r>
              <w:rPr>
                <w:rFonts w:ascii="Arial" w:cs="Arial" w:eastAsia="Arial" w:hAnsi="Arial"/>
                <w:color w:val="666666"/>
                <w:sz w:val="19"/>
                <w:szCs w:val="19"/>
              </w:rPr>
              <w:t xml:space="preserve">Supported by the SLR’s own data distribution. Springer bibliometric companion (214 papers, 2025) confirms research fragmentation by firm size.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Georgia" w:cs="Georgia" w:eastAsia="Georgia" w:hAnsi="Georgia"/>
                <w:b/>
                <w:bCs/>
                <w:color w:val="1A1A1A"/>
                <w:sz w:val="20"/>
                <w:szCs w:val="20"/>
              </w:rPr>
              <w:t xml:space="preserve">Agentic AI enables ‘one-person unicorn’ outcomes</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jc w:val="center"/>
            </w:pPr>
            <w:r>
              <w:rPr>
                <w:rFonts w:ascii="Arial" w:cs="Arial" w:eastAsia="Arial" w:hAnsi="Arial"/>
                <w:b/>
                <w:bCs/>
                <w:color w:val="155724"/>
                <w:sz w:val="19"/>
                <w:szCs w:val="19"/>
              </w:rPr>
              <w:t xml:space="preserve">TENTATIVE</w:t>
            </w:r>
          </w:p>
        </w:tc>
        <w:tc>
          <w:tcPr>
            <w:tcW w:type="dxa" w:w="8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jc w:val="center"/>
            </w:pPr>
            <w:r>
              <w:rPr>
                <w:rFonts w:ascii="Arial" w:cs="Arial" w:eastAsia="Arial" w:hAnsi="Arial"/>
                <w:b/>
                <w:bCs/>
                <w:color w:val="1F4E79"/>
                <w:sz w:val="19"/>
                <w:szCs w:val="19"/>
              </w:rPr>
              <w:t xml:space="preserve">42%</w:t>
            </w:r>
          </w:p>
        </w:tc>
        <w:tc>
          <w:tcPr>
            <w:tcW w:type="dxa" w:w="444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pPr>
              <w:spacing w:before="0" w:after="0" w:line="270"/>
            </w:pPr>
            <w:r>
              <w:rPr>
                <w:rFonts w:ascii="Arial" w:cs="Arial" w:eastAsia="Arial" w:hAnsi="Arial"/>
                <w:color w:val="666666"/>
                <w:sz w:val="19"/>
                <w:szCs w:val="19"/>
              </w:rPr>
              <w:t xml:space="preserve">Tertiary: sourced from Altman commentary, not peer-reviewed data. No empirical study demonstrates solo-founder scalability via agents at unicorn level. Suggestive, not proven.</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r>
              <w:rPr>
                <w:rFonts w:ascii="Georgia" w:cs="Georgia" w:eastAsia="Georgia" w:hAnsi="Georgia"/>
                <w:b/>
                <w:bCs/>
                <w:color w:val="1A1A1A"/>
                <w:sz w:val="20"/>
                <w:szCs w:val="20"/>
              </w:rPr>
              <w:t xml:space="preserve">Incremental cloud-based implementation roadmap is viable for SMMEs</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tcPr>
          <w:p>
            <w:pPr>
              <w:jc w:val="center"/>
            </w:pPr>
            <w:r>
              <w:rPr>
                <w:rFonts w:ascii="Arial" w:cs="Arial" w:eastAsia="Arial" w:hAnsi="Arial"/>
                <w:b/>
                <w:bCs/>
                <w:color w:val="155724"/>
                <w:sz w:val="19"/>
                <w:szCs w:val="19"/>
              </w:rPr>
              <w:t xml:space="preserve">TENTATIVE</w:t>
            </w:r>
          </w:p>
        </w:tc>
        <w:tc>
          <w:tcPr>
            <w:tcW w:type="dxa" w:w="8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tcPr>
          <w:p>
            <w:pPr>
              <w:jc w:val="center"/>
            </w:pPr>
            <w:r>
              <w:rPr>
                <w:rFonts w:ascii="Arial" w:cs="Arial" w:eastAsia="Arial" w:hAnsi="Arial"/>
                <w:b/>
                <w:bCs/>
                <w:color w:val="1F4E79"/>
                <w:sz w:val="19"/>
                <w:szCs w:val="19"/>
              </w:rPr>
              <w:t xml:space="preserve">55%</w:t>
            </w:r>
          </w:p>
        </w:tc>
        <w:tc>
          <w:tcPr>
            <w:tcW w:type="dxa" w:w="4440"/>
            <w:tcBorders>
              <w:top w:val="single" w:color="DDDDDD" w:sz="1"/>
              <w:left w:val="single" w:color="DDDDDD" w:sz="1"/>
              <w:bottom w:val="single" w:color="DDDDDD" w:sz="1"/>
              <w:right w:val="single" w:color="DDDDDD" w:sz="1"/>
            </w:tcBorders>
            <w:shd w:fill="F5F5F5" w:val="clear"/>
            <w:tcMar>
              <w:top w:type="dxa" w:w="100"/>
              <w:left w:type="dxa" w:w="130"/>
              <w:bottom w:type="dxa" w:w="100"/>
              <w:right w:type="dxa" w:w="130"/>
            </w:tcMar>
          </w:tcPr>
          <w:p>
            <w:pPr>
              <w:spacing w:before="0" w:after="0" w:line="270"/>
            </w:pPr>
            <w:r>
              <w:rPr>
                <w:rFonts w:ascii="Arial" w:cs="Arial" w:eastAsia="Arial" w:hAnsi="Arial"/>
                <w:color w:val="666666"/>
                <w:sz w:val="19"/>
                <w:szCs w:val="19"/>
              </w:rPr>
              <w:t xml:space="preserve">Tertiary-to-secondary: roadmap logic is sound but author-generated, not empirically tested. Paper explicitly flags this: ‘empirical validation is required.’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Georgia" w:cs="Georgia" w:eastAsia="Georgia" w:hAnsi="Georgia"/>
                <w:b/>
                <w:bCs/>
                <w:color w:val="1A1A1A"/>
                <w:sz w:val="20"/>
                <w:szCs w:val="20"/>
              </w:rPr>
              <w:t xml:space="preserve">Ethical and data privacy gaps persist across SMME agentic deployments</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jc w:val="center"/>
            </w:pPr>
            <w:r>
              <w:rPr>
                <w:rFonts w:ascii="Arial" w:cs="Arial" w:eastAsia="Arial" w:hAnsi="Arial"/>
                <w:b/>
                <w:bCs/>
                <w:color w:val="155724"/>
                <w:sz w:val="19"/>
                <w:szCs w:val="19"/>
              </w:rPr>
              <w:t xml:space="preserve">SUPPORTED</w:t>
            </w:r>
          </w:p>
        </w:tc>
        <w:tc>
          <w:tcPr>
            <w:tcW w:type="dxa" w:w="8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pPr>
              <w:jc w:val="center"/>
            </w:pPr>
            <w:r>
              <w:rPr>
                <w:rFonts w:ascii="Arial" w:cs="Arial" w:eastAsia="Arial" w:hAnsi="Arial"/>
                <w:b/>
                <w:bCs/>
                <w:color w:val="1F4E79"/>
                <w:sz w:val="19"/>
                <w:szCs w:val="19"/>
              </w:rPr>
              <w:t xml:space="preserve">82%</w:t>
            </w:r>
          </w:p>
        </w:tc>
        <w:tc>
          <w:tcPr>
            <w:tcW w:type="dxa" w:w="444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pPr>
              <w:spacing w:before="0" w:after="0" w:line="270"/>
            </w:pPr>
            <w:r>
              <w:rPr>
                <w:rFonts w:ascii="Arial" w:cs="Arial" w:eastAsia="Arial" w:hAnsi="Arial"/>
                <w:color w:val="666666"/>
                <w:sz w:val="19"/>
                <w:szCs w:val="19"/>
              </w:rPr>
              <w:t xml:space="preserve">Multiple independent papers identify this gap. MDPI paper’s own analysis confirms insufficient attention in the field. Consistent across healthcare, finance, education domain studies.</w:t>
            </w:r>
          </w:p>
        </w:tc>
      </w:tr>
    </w:tbl>
    <w:p>
      <w:pPr>
        <w:spacing w:before="60" w:after="60"/>
      </w:pPr>
      <w:r>
        <w:t xml:space="preserve"/>
      </w:r>
    </w:p>
    <w:p>
      <w:pPr>
        <w:spacing w:before="0" w:after="200" w:line="286"/>
      </w:pPr>
      <w:r>
        <w:rPr>
          <w:rFonts w:ascii="Georgia" w:cs="Georgia" w:eastAsia="Georgia" w:hAnsi="Georgia"/>
          <w:color w:val="1A1A1A"/>
          <w:sz w:val="24"/>
          <w:szCs w:val="24"/>
        </w:rPr>
        <w:t xml:space="preserve">Claim Map conclusion: The paper’s structural claims (literature gap, framework limitations, ethical risks) are strongly supported. Its aspirational claims (one-person unicorn, implementation roadmap efficacy) are not yet empirically grounded. This is not a weakness — it is the honest forward edge of the research frontier. The gap between the supported and tentative claims is precisely where a research contribution lives.</w:t>
      </w:r>
    </w:p>
    <w:p>
      <w:pPr>
        <w:spacing w:before="60" w:after="60"/>
      </w:pPr>
      <w:r>
        <w:t xml:space="preserve"/>
      </w:r>
    </w:p>
    <w:p>
      <w:pPr>
        <w:pBdr>
          <w:bottom w:val="single" w:color="380070" w:sz="6" w:space="4"/>
        </w:pBdr>
        <w:spacing w:before="360" w:after="60"/>
      </w:pPr>
      <w:r>
        <w:rPr>
          <w:rFonts w:ascii="Arial" w:cs="Arial" w:eastAsia="Arial" w:hAnsi="Arial"/>
          <w:b/>
          <w:bCs/>
          <w:caps/>
          <w:color w:val="380070"/>
          <w:spacing w:val="100"/>
          <w:sz w:val="17"/>
          <w:szCs w:val="17"/>
        </w:rPr>
        <w:t xml:space="preserve">Skill 2 — Research Inspiration: Four-Pathway Idea Mining</w:t>
      </w:r>
    </w:p>
    <w:p>
      <w:pPr>
        <w:spacing w:before="60" w:after="60"/>
      </w:pPr>
      <w:r>
        <w:t xml:space="preserve"/>
      </w:r>
    </w:p>
    <w:p>
      <w:pPr>
        <w:spacing w:before="0" w:after="200" w:line="286"/>
      </w:pPr>
      <w:r>
        <w:rPr>
          <w:rFonts w:ascii="Georgia" w:cs="Georgia" w:eastAsia="Georgia" w:hAnsi="Georgia"/>
          <w:color w:val="1A1A1A"/>
          <w:sz w:val="24"/>
          <w:szCs w:val="24"/>
        </w:rPr>
        <w:t xml:space="preserve">The Research Inspiration Agent skill mines the paper across four pathways: future work sections, unresolved conflicts, methodology pivots, and cross-field synthesis. All 12 generated ideas are ranked by the composite score formula (0.30×Novelty + 0.20×Feasibility + 0.50×Impact).</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1620"/>
        <w:gridCol w:w="1620"/>
        <w:gridCol w:w="1620"/>
      </w:tblGrid>
      <w:tr>
        <w:trPr>
          <w:tblHeader/>
        </w:trPr>
        <w:tc>
          <w:tcPr>
            <w:tcW w:type="dxa" w:w="2160"/>
            <w:tcBorders>
              <w:top w:val="single" w:color="DDDDDD" w:sz="1"/>
              <w:left w:val="single" w:color="DDDDDD" w:sz="1"/>
              <w:bottom w:val="single" w:color="DDDDDD" w:sz="1"/>
              <w:right w:val="single" w:color="DDDDDD" w:sz="1"/>
            </w:tcBorders>
            <w:shd w:fill="380070" w:val="clear"/>
            <w:tcMar>
              <w:top w:type="dxa" w:w="60"/>
              <w:left w:type="dxa" w:w="100"/>
              <w:bottom w:type="dxa" w:w="60"/>
              <w:right w:type="dxa" w:w="100"/>
            </w:tcMar>
          </w:tcPr>
          <w:p>
            <w:r>
              <w:rPr>
                <w:rFonts w:ascii="Arial" w:cs="Arial" w:eastAsia="Arial" w:hAnsi="Arial"/>
                <w:b/>
                <w:bCs/>
                <w:color w:val="FFFFFF"/>
                <w:sz w:val="16"/>
                <w:szCs w:val="16"/>
              </w:rPr>
              <w:t xml:space="preserve">Idea Title</w:t>
            </w:r>
          </w:p>
        </w:tc>
        <w:tc>
          <w:tcPr>
            <w:tcW w:type="dxa" w:w="1620"/>
            <w:tcBorders>
              <w:top w:val="single" w:color="DDDDDD" w:sz="1"/>
              <w:left w:val="single" w:color="DDDDDD" w:sz="1"/>
              <w:bottom w:val="single" w:color="DDDDDD" w:sz="1"/>
              <w:right w:val="single" w:color="DDDDDD" w:sz="1"/>
            </w:tcBorders>
            <w:shd w:fill="005555"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N (Novelty)</w:t>
            </w:r>
          </w:p>
        </w:tc>
        <w:tc>
          <w:tcPr>
            <w:tcW w:type="dxa" w:w="1620"/>
            <w:tcBorders>
              <w:top w:val="single" w:color="DDDDDD" w:sz="1"/>
              <w:left w:val="single" w:color="DDDDDD" w:sz="1"/>
              <w:bottom w:val="single" w:color="DDDDDD" w:sz="1"/>
              <w:right w:val="single" w:color="DDDDDD" w:sz="1"/>
            </w:tcBorders>
            <w:shd w:fill="38007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 (Feasibility)</w:t>
            </w:r>
          </w:p>
        </w:tc>
        <w:tc>
          <w:tcPr>
            <w:tcW w:type="dxa" w:w="1620"/>
            <w:tcBorders>
              <w:top w:val="single" w:color="DDDDDD" w:sz="1"/>
              <w:left w:val="single" w:color="DDDDDD" w:sz="1"/>
              <w:bottom w:val="single" w:color="DDDDDD" w:sz="1"/>
              <w:right w:val="single" w:color="DDDDDD" w:sz="1"/>
            </w:tcBorders>
            <w:shd w:fill="7B5000"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I (Impact)</w:t>
            </w:r>
          </w:p>
        </w:tc>
        <w:tc>
          <w:tcPr>
            <w:tcW w:type="dxa" w:w="1620"/>
            <w:tcBorders>
              <w:top w:val="single" w:color="DDDDDD" w:sz="1"/>
              <w:left w:val="single" w:color="DDDDDD" w:sz="1"/>
              <w:bottom w:val="single" w:color="DDDDDD" w:sz="1"/>
              <w:right w:val="single" w:color="DDDDDD" w:sz="1"/>
            </w:tcBorders>
            <w:shd w:fill="1F4E79"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Overall /10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African discourse-native SMME agent</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9.0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7.5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9.5</w:t>
            </w:r>
          </w:p>
        </w:tc>
        <w:tc>
          <w:tcPr>
            <w:tcW w:type="dxa" w:w="1410"/>
            <w:tcBorders>
              <w:top w:val="single" w:color="DDDDDD" w:sz="1"/>
              <w:left w:val="single" w:color="DDDDDD" w:sz="1"/>
              <w:bottom w:val="single" w:color="DDDDDD" w:sz="1"/>
              <w:right w:val="single" w:color="DDDDDD" w:sz="1"/>
            </w:tcBorders>
            <w:shd w:fill="005555"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9.1/10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Empirical validation: agents in African SME</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8.5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8.0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9.0</w:t>
            </w:r>
          </w:p>
        </w:tc>
        <w:tc>
          <w:tcPr>
            <w:tcW w:type="dxa" w:w="1410"/>
            <w:tcBorders>
              <w:top w:val="single" w:color="DDDDDD" w:sz="1"/>
              <w:left w:val="single" w:color="DDDDDD" w:sz="1"/>
              <w:bottom w:val="single" w:color="DDDDDD" w:sz="1"/>
              <w:right w:val="single" w:color="DDDDDD" w:sz="1"/>
            </w:tcBorders>
            <w:shd w:fill="005555"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8.8/10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Ubuntu alignment framework for multi-agent</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9.0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7.0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9.0</w:t>
            </w:r>
          </w:p>
        </w:tc>
        <w:tc>
          <w:tcPr>
            <w:tcW w:type="dxa" w:w="1410"/>
            <w:tcBorders>
              <w:top w:val="single" w:color="DDDDDD" w:sz="1"/>
              <w:left w:val="single" w:color="DDDDDD" w:sz="1"/>
              <w:bottom w:val="single" w:color="DDDDDD" w:sz="1"/>
              <w:right w:val="single" w:color="DDDDDD" w:sz="1"/>
            </w:tcBorders>
            <w:shd w:fill="005555"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8.8/10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Proverb-logic prompt framework for SMME AI</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8.5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7.5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8.5</w:t>
            </w:r>
          </w:p>
        </w:tc>
        <w:tc>
          <w:tcPr>
            <w:tcW w:type="dxa" w:w="1410"/>
            <w:tcBorders>
              <w:top w:val="single" w:color="DDDDDD" w:sz="1"/>
              <w:left w:val="single" w:color="DDDDDD" w:sz="1"/>
              <w:bottom w:val="single" w:color="DDDDDD" w:sz="1"/>
              <w:right w:val="single" w:color="DDDDDD" w:sz="1"/>
            </w:tcBorders>
            <w:shd w:fill="38007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8.4/10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Conflict resolution: LLM hallucination in SMME</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7.5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8.0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8.5</w:t>
            </w:r>
          </w:p>
        </w:tc>
        <w:tc>
          <w:tcPr>
            <w:tcW w:type="dxa" w:w="1410"/>
            <w:tcBorders>
              <w:top w:val="single" w:color="DDDDDD" w:sz="1"/>
              <w:left w:val="single" w:color="DDDDDD" w:sz="1"/>
              <w:bottom w:val="single" w:color="DDDDDD" w:sz="1"/>
              <w:right w:val="single" w:color="DDDDDD" w:sz="1"/>
            </w:tcBorders>
            <w:shd w:fill="38007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8.1/10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LangChain + Yoruba discourse ontology pivot</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8.0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7.0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8.0</w:t>
            </w:r>
          </w:p>
        </w:tc>
        <w:tc>
          <w:tcPr>
            <w:tcW w:type="dxa" w:w="1410"/>
            <w:tcBorders>
              <w:top w:val="single" w:color="DDDDDD" w:sz="1"/>
              <w:left w:val="single" w:color="DDDDDD" w:sz="1"/>
              <w:bottom w:val="single" w:color="DDDDDD" w:sz="1"/>
              <w:right w:val="single" w:color="DDDDDD" w:sz="1"/>
            </w:tcBorders>
            <w:shd w:fill="38007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7.9/10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SMME AI literacy benchmark for Afr. users</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7.5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8.0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7.5</w:t>
            </w:r>
          </w:p>
        </w:tc>
        <w:tc>
          <w:tcPr>
            <w:tcW w:type="dxa" w:w="141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7.6/10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Low-code SMME agent builder (African context)</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6.5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8.5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7.5</w:t>
            </w:r>
          </w:p>
        </w:tc>
        <w:tc>
          <w:tcPr>
            <w:tcW w:type="dxa" w:w="141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7.3/10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Ethical governance model: Ubuntu + MAS</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8.0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6.5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7.5</w:t>
            </w:r>
          </w:p>
        </w:tc>
        <w:tc>
          <w:tcPr>
            <w:tcW w:type="dxa" w:w="141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7.4/10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Cross-field: IFA divination as decision agent</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9.0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5.5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8.5</w:t>
            </w:r>
          </w:p>
        </w:tc>
        <w:tc>
          <w:tcPr>
            <w:tcW w:type="dxa" w:w="1410"/>
            <w:tcBorders>
              <w:top w:val="single" w:color="DDDDDD" w:sz="1"/>
              <w:left w:val="single" w:color="DDDDDD" w:sz="1"/>
              <w:bottom w:val="single" w:color="DDDDDD" w:sz="1"/>
              <w:right w:val="single" w:color="DDDDDD" w:sz="1"/>
            </w:tcBorders>
            <w:shd w:fill="7B500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7.9/10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Industry-specific pilots (agri, health, retail)</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6.0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9.0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7.0</w:t>
            </w:r>
          </w:p>
        </w:tc>
        <w:tc>
          <w:tcPr>
            <w:tcW w:type="dxa" w:w="1410"/>
            <w:tcBorders>
              <w:top w:val="single" w:color="DDDDDD" w:sz="1"/>
              <w:left w:val="single" w:color="DDDDDD" w:sz="1"/>
              <w:bottom w:val="single" w:color="DDDDDD" w:sz="1"/>
              <w:right w:val="single" w:color="DDDDDD" w:sz="1"/>
            </w:tcBorders>
            <w:shd w:fill="7B500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7.0/10</w:t>
            </w:r>
          </w:p>
        </w:tc>
      </w:tr>
      <w:tr>
        <w:tc>
          <w:tcPr>
            <w:tcW w:type="dxa" w:w="3000"/>
            <w:tcBorders>
              <w:top w:val="single" w:color="DDDDDD" w:sz="1"/>
              <w:left w:val="single" w:color="DDDDDD" w:sz="1"/>
              <w:bottom w:val="single" w:color="DDDDDD" w:sz="1"/>
              <w:right w:val="single" w:color="DDDDDD" w:sz="1"/>
            </w:tcBorders>
            <w:shd w:fill="EBF4FF" w:val="clear"/>
            <w:tcMar>
              <w:top w:type="dxa" w:w="80"/>
              <w:left w:type="dxa" w:w="140"/>
              <w:bottom w:type="dxa" w:w="80"/>
              <w:right w:type="dxa" w:w="140"/>
            </w:tcMar>
          </w:tcPr>
          <w:p>
            <w:r>
              <w:rPr>
                <w:rFonts w:ascii="Arial" w:cs="Arial" w:eastAsia="Arial" w:hAnsi="Arial"/>
                <w:b/>
                <w:bCs/>
                <w:color w:val="1F4E79"/>
                <w:sz w:val="20"/>
                <w:szCs w:val="20"/>
              </w:rPr>
              <w:t xml:space="preserve">Cultural trust calibration in SMME agents</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005555"/>
                <w:sz w:val="19"/>
                <w:szCs w:val="19"/>
              </w:rPr>
              <w:t xml:space="preserve">N: 7.5</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380070"/>
                <w:sz w:val="19"/>
                <w:szCs w:val="19"/>
              </w:rPr>
              <w:t xml:space="preserve">F: 7.0</w:t>
            </w:r>
          </w:p>
        </w:tc>
        <w:tc>
          <w:tcPr>
            <w:tcW w:type="dxa" w:w="141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B5000"/>
                <w:sz w:val="19"/>
                <w:szCs w:val="19"/>
              </w:rPr>
              <w:t xml:space="preserve">I: 7.5</w:t>
            </w:r>
          </w:p>
        </w:tc>
        <w:tc>
          <w:tcPr>
            <w:tcW w:type="dxa" w:w="1410"/>
            <w:tcBorders>
              <w:top w:val="single" w:color="DDDDDD" w:sz="1"/>
              <w:left w:val="single" w:color="DDDDDD" w:sz="1"/>
              <w:bottom w:val="single" w:color="DDDDDD" w:sz="1"/>
              <w:right w:val="single" w:color="DDDDDD" w:sz="1"/>
            </w:tcBorders>
            <w:shd w:fill="7B500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7.4/10</w:t>
            </w:r>
          </w:p>
        </w:tc>
      </w:tr>
    </w:tbl>
    <w:p>
      <w:pPr>
        <w:spacing w:before="60" w:after="60"/>
      </w:pPr>
      <w:r>
        <w:t xml:space="preserve"/>
      </w:r>
    </w:p>
    <w:p>
      <w:pPr>
        <w:spacing w:before="200" w:after="60"/>
      </w:pPr>
      <w:r>
        <w:rPr>
          <w:rFonts w:ascii="Arial" w:cs="Arial" w:eastAsia="Arial" w:hAnsi="Arial"/>
          <w:b/>
          <w:bCs/>
          <w:color w:val="380070"/>
          <w:sz w:val="22"/>
          <w:szCs w:val="22"/>
        </w:rPr>
        <w:t xml:space="preserve">Top 5 Research Proposals — Full Specifications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10"/>
              <w:left w:val="single" w:color="DDDDDD" w:sz="2"/>
              <w:bottom w:val="single" w:color="DDDDDD" w:sz="1"/>
              <w:right w:val="single" w:color="DDDDDD" w:sz="1"/>
            </w:tcBorders>
            <w:shd w:fill="FAFAFA" w:val="clear"/>
            <w:tcMar>
              <w:top w:type="dxa" w:w="160"/>
              <w:left w:type="dxa" w:w="260"/>
              <w:bottom w:type="dxa" w:w="160"/>
              <w:right w:type="dxa" w:w="260"/>
            </w:tcMar>
          </w:tcPr>
          <w:p>
            <w:pPr>
              <w:spacing w:before="0" w:after="40"/>
            </w:pPr>
            <w:r>
              <w:rPr>
                <w:rFonts w:ascii="Arial" w:cs="Arial" w:eastAsia="Arial" w:hAnsi="Arial"/>
                <w:b/>
                <w:bCs/>
                <w:color w:val="999999"/>
                <w:sz w:val="16"/>
                <w:szCs w:val="16"/>
              </w:rPr>
              <w:t xml:space="preserve">#1  </w:t>
            </w:r>
            <w:r>
              <w:rPr>
                <w:rFonts w:ascii="Arial" w:cs="Arial" w:eastAsia="Arial" w:hAnsi="Arial"/>
                <w:b/>
                <w:bCs/>
                <w:color w:val="005555"/>
                <w:sz w:val="22"/>
                <w:szCs w:val="22"/>
              </w:rPr>
              <w:t xml:space="preserve">African Discourse-Native SMME Agent Architecture</w:t>
            </w:r>
            <w:r>
              <w:rPr>
                <w:rFonts w:ascii="Arial" w:cs="Arial" w:eastAsia="Arial" w:hAnsi="Arial"/>
                <w:color w:val="999999"/>
                <w:sz w:val="16"/>
                <w:szCs w:val="16"/>
              </w:rPr>
              <w:t xml:space="preserve">   [cross_field]  N:9.0  F:7.5  I:9.5  Overall: 9.1/10</w:t>
            </w:r>
          </w:p>
          <w:p>
            <w:pPr>
              <w:spacing w:before="0" w:after="60" w:line="276"/>
            </w:pPr>
            <w:r>
              <w:rPr>
                <w:rFonts w:ascii="Georgia" w:cs="Georgia" w:eastAsia="Georgia" w:hAnsi="Georgia"/>
                <w:color w:val="1A1A1A"/>
                <w:sz w:val="22"/>
                <w:szCs w:val="22"/>
              </w:rPr>
              <w:t xml:space="preserve">This is the direct bridge between the Olujimi SLR and the African AI architecture series. The SLR demonstrates that agentic AI improves SMME operational efficiency but provides no guidelines for how those agents should structure explanations for African users. The African AI series (Weeks 1-5) demonstrates that explanation architecture is cognitively critical for African language users. The combination: design and empirically test a multi-agent SMME system where individual agents generate explanations following discourse-native patterns (Yoruba story-first, proverb-close; Igbo communal referencing; Hausa politeness register protocols). Measure operational outcomes AND user comprehension outcomes simultaneously. No study has done both. This is the study that makes the connection concrete.</w:t>
            </w:r>
          </w:p>
          <w:p>
            <w:pPr>
              <w:spacing w:before="0" w:after="0"/>
            </w:pPr>
            <w:r>
              <w:rPr>
                <w:rFonts w:ascii="Arial" w:cs="Arial" w:eastAsia="Arial" w:hAnsi="Arial"/>
                <w:i/>
                <w:iCs/>
                <w:color w:val="666666"/>
                <w:sz w:val="17"/>
                <w:szCs w:val="17"/>
              </w:rPr>
              <w:t xml:space="preserve">Supporting papers: Olujimi et al. 2025 (MDPI); Bergen 2012; Owomoyela 2005; Ehineni 2016; Agarwal et al. CHI 2025</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10"/>
              <w:left w:val="single" w:color="DDDDDD" w:sz="2"/>
              <w:bottom w:val="single" w:color="DDDDDD" w:sz="1"/>
              <w:right w:val="single" w:color="DDDDDD" w:sz="1"/>
            </w:tcBorders>
            <w:shd w:fill="FAFAFA" w:val="clear"/>
            <w:tcMar>
              <w:top w:type="dxa" w:w="160"/>
              <w:left w:type="dxa" w:w="260"/>
              <w:bottom w:type="dxa" w:w="160"/>
              <w:right w:type="dxa" w:w="260"/>
            </w:tcMar>
          </w:tcPr>
          <w:p>
            <w:pPr>
              <w:spacing w:before="0" w:after="40"/>
            </w:pPr>
            <w:r>
              <w:rPr>
                <w:rFonts w:ascii="Arial" w:cs="Arial" w:eastAsia="Arial" w:hAnsi="Arial"/>
                <w:b/>
                <w:bCs/>
                <w:color w:val="999999"/>
                <w:sz w:val="16"/>
                <w:szCs w:val="16"/>
              </w:rPr>
              <w:t xml:space="preserve">#2  </w:t>
            </w:r>
            <w:r>
              <w:rPr>
                <w:rFonts w:ascii="Arial" w:cs="Arial" w:eastAsia="Arial" w:hAnsi="Arial"/>
                <w:b/>
                <w:bCs/>
                <w:color w:val="005555"/>
                <w:sz w:val="22"/>
                <w:szCs w:val="22"/>
              </w:rPr>
              <w:t xml:space="preserve">First Empirical Validation: Agentic AI in African SMMEs</w:t>
            </w:r>
            <w:r>
              <w:rPr>
                <w:rFonts w:ascii="Arial" w:cs="Arial" w:eastAsia="Arial" w:hAnsi="Arial"/>
                <w:color w:val="999999"/>
                <w:sz w:val="16"/>
                <w:szCs w:val="16"/>
              </w:rPr>
              <w:t xml:space="preserve">   [future_work]  N:8.5  F:8.0  I:9.0  Overall: 8.8/10</w:t>
            </w:r>
          </w:p>
          <w:p>
            <w:pPr>
              <w:spacing w:before="0" w:after="60" w:line="276"/>
            </w:pPr>
            <w:r>
              <w:rPr>
                <w:rFonts w:ascii="Georgia" w:cs="Georgia" w:eastAsia="Georgia" w:hAnsi="Georgia"/>
                <w:color w:val="1A1A1A"/>
                <w:sz w:val="22"/>
                <w:szCs w:val="22"/>
              </w:rPr>
              <w:t xml:space="preserve">Olujimi et al. explicitly state: 'empirical validation is required.' The SLR covers 66 papers, all of which are conceptual, prototype-based, or pilot studies. No controlled empirical study exists measuring actual operational outcomes for African SMMEs using deployed agentic AI systems over 6+ months. This is not a gap in the African literature. It is the gap in the global literature, and African SMMEs are the natural first target because the contrast between current AI assumptions and actual SMME cognitive/cultural architecture is sharpest here. The research would contribute to global agentic AI validation literature while being the first Africa-specific empirical study.</w:t>
            </w:r>
          </w:p>
          <w:p>
            <w:pPr>
              <w:spacing w:before="0" w:after="0"/>
            </w:pPr>
            <w:r>
              <w:rPr>
                <w:rFonts w:ascii="Arial" w:cs="Arial" w:eastAsia="Arial" w:hAnsi="Arial"/>
                <w:i/>
                <w:iCs/>
                <w:color w:val="666666"/>
                <w:sz w:val="17"/>
                <w:szCs w:val="17"/>
              </w:rPr>
              <w:t xml:space="preserve">Supporting papers: Olujimi et al. 2025; Springer bibliometric companion 2025; Acharya et al. IEEE Access 2025</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10"/>
              <w:left w:val="single" w:color="DDDDDD" w:sz="2"/>
              <w:bottom w:val="single" w:color="DDDDDD" w:sz="1"/>
              <w:right w:val="single" w:color="DDDDDD" w:sz="1"/>
            </w:tcBorders>
            <w:shd w:fill="FAFAFA" w:val="clear"/>
            <w:tcMar>
              <w:top w:type="dxa" w:w="160"/>
              <w:left w:type="dxa" w:w="260"/>
              <w:bottom w:type="dxa" w:w="160"/>
              <w:right w:type="dxa" w:w="260"/>
            </w:tcMar>
          </w:tcPr>
          <w:p>
            <w:pPr>
              <w:spacing w:before="0" w:after="40"/>
            </w:pPr>
            <w:r>
              <w:rPr>
                <w:rFonts w:ascii="Arial" w:cs="Arial" w:eastAsia="Arial" w:hAnsi="Arial"/>
                <w:b/>
                <w:bCs/>
                <w:color w:val="999999"/>
                <w:sz w:val="16"/>
                <w:szCs w:val="16"/>
              </w:rPr>
              <w:t xml:space="preserve">#3  </w:t>
            </w:r>
            <w:r>
              <w:rPr>
                <w:rFonts w:ascii="Arial" w:cs="Arial" w:eastAsia="Arial" w:hAnsi="Arial"/>
                <w:b/>
                <w:bCs/>
                <w:color w:val="005555"/>
                <w:sz w:val="22"/>
                <w:szCs w:val="22"/>
              </w:rPr>
              <w:t xml:space="preserve">Ubuntu as Multi-Agent Alignment Architecture</w:t>
            </w:r>
            <w:r>
              <w:rPr>
                <w:rFonts w:ascii="Arial" w:cs="Arial" w:eastAsia="Arial" w:hAnsi="Arial"/>
                <w:color w:val="999999"/>
                <w:sz w:val="16"/>
                <w:szCs w:val="16"/>
              </w:rPr>
              <w:t xml:space="preserve">   [cross_field]  N:9.0  F:7.0  I:9.0  Overall: 8.8/10</w:t>
            </w:r>
          </w:p>
          <w:p>
            <w:pPr>
              <w:spacing w:before="0" w:after="60" w:line="276"/>
            </w:pPr>
            <w:r>
              <w:rPr>
                <w:rFonts w:ascii="Georgia" w:cs="Georgia" w:eastAsia="Georgia" w:hAnsi="Georgia"/>
                <w:color w:val="1A1A1A"/>
                <w:sz w:val="22"/>
                <w:szCs w:val="22"/>
              </w:rPr>
              <w:t xml:space="preserve">The Olujimi SLR identifies ethical governance as a critical unsolved problem in SMME agentic AI. Current alignment approaches (RLHF, constitutional AI) are built on individualist epistemology: the agent’s behaviour is evaluated against rules applied to that agent in isolation. Ubuntu’s relational model of personhood offers a structurally different alignment architecture: agent behaviour is evaluated against its impact on the network of relationships in which it operates. Mhlambi (Harvard, 2020) laid the theoretical groundwork. This study would operationalize Ubuntu’s relational model as a multi-agent alignment specification, implement it in a LangChain/AutoGen SMME context, and test whether relational alignment produces fewer harmful inter-agent interactions than rule-based constraint approaches. High novelty because no study has connected Ubuntu ethics to multi-agent system architecture at the implementation level.</w:t>
            </w:r>
          </w:p>
          <w:p>
            <w:pPr>
              <w:spacing w:before="0" w:after="0"/>
            </w:pPr>
            <w:r>
              <w:rPr>
                <w:rFonts w:ascii="Arial" w:cs="Arial" w:eastAsia="Arial" w:hAnsi="Arial"/>
                <w:i/>
                <w:iCs/>
                <w:color w:val="666666"/>
                <w:sz w:val="17"/>
                <w:szCs w:val="17"/>
              </w:rPr>
              <w:t xml:space="preserve">Supporting papers: Mhlambi 2020; Olujimi et al. 2025; Gwagwa 2022; Lewis et al. Abundant Intelligences 2024</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7B5000" w:sz="10"/>
              <w:left w:val="single" w:color="DDDDDD" w:sz="2"/>
              <w:bottom w:val="single" w:color="DDDDDD" w:sz="1"/>
              <w:right w:val="single" w:color="DDDDDD" w:sz="1"/>
            </w:tcBorders>
            <w:shd w:fill="FAFAFA" w:val="clear"/>
            <w:tcMar>
              <w:top w:type="dxa" w:w="160"/>
              <w:left w:type="dxa" w:w="260"/>
              <w:bottom w:type="dxa" w:w="160"/>
              <w:right w:type="dxa" w:w="260"/>
            </w:tcMar>
          </w:tcPr>
          <w:p>
            <w:pPr>
              <w:spacing w:before="0" w:after="40"/>
            </w:pPr>
            <w:r>
              <w:rPr>
                <w:rFonts w:ascii="Arial" w:cs="Arial" w:eastAsia="Arial" w:hAnsi="Arial"/>
                <w:b/>
                <w:bCs/>
                <w:color w:val="999999"/>
                <w:sz w:val="16"/>
                <w:szCs w:val="16"/>
              </w:rPr>
              <w:t xml:space="preserve">#4  </w:t>
            </w:r>
            <w:r>
              <w:rPr>
                <w:rFonts w:ascii="Arial" w:cs="Arial" w:eastAsia="Arial" w:hAnsi="Arial"/>
                <w:b/>
                <w:bCs/>
                <w:color w:val="7B5000"/>
                <w:sz w:val="22"/>
                <w:szCs w:val="22"/>
              </w:rPr>
              <w:t xml:space="preserve">IFA Divination as Prior Multi-Agent Decision Architecture</w:t>
            </w:r>
            <w:r>
              <w:rPr>
                <w:rFonts w:ascii="Arial" w:cs="Arial" w:eastAsia="Arial" w:hAnsi="Arial"/>
                <w:color w:val="999999"/>
                <w:sz w:val="16"/>
                <w:szCs w:val="16"/>
              </w:rPr>
              <w:t xml:space="preserve">   [cross_field]  N:9.0  F:5.5  I:8.5  Overall: 7.9/10</w:t>
            </w:r>
          </w:p>
          <w:p>
            <w:pPr>
              <w:spacing w:before="0" w:after="60" w:line="276"/>
            </w:pPr>
            <w:r>
              <w:rPr>
                <w:rFonts w:ascii="Georgia" w:cs="Georgia" w:eastAsia="Georgia" w:hAnsi="Georgia"/>
                <w:color w:val="1A1A1A"/>
                <w:sz w:val="22"/>
                <w:szCs w:val="22"/>
              </w:rPr>
              <w:t xml:space="preserve">The SLR cites AutoGen and LangChain as the dominant agentic frameworks but acknowledges they lack cultural specificity. The Ifa divination system — a 430,000-entry knowledge corpus, binary retrieval structure, and interpretive dialogue mechanism — is a prior multi-agent decision architecture that has been documented operating in SMME-equivalent contexts (individual practitioners, resource-constrained environments, community-embedded decision-making) for centuries. This research would formally map the Ifa architecture onto modern multi-agent system design: corpus as knowledge base, Odu as retrieval algorithm, babalawo-community dialogue as alignment mechanism. The resulting framework would be tested as an alternative to LangChain in a Yoruba-language SMME decision support context. This is the Olugbohun paper made technically rigorous and empirically testable.</w:t>
            </w:r>
          </w:p>
          <w:p>
            <w:pPr>
              <w:spacing w:before="0" w:after="0"/>
            </w:pPr>
            <w:r>
              <w:rPr>
                <w:rFonts w:ascii="Arial" w:cs="Arial" w:eastAsia="Arial" w:hAnsi="Arial"/>
                <w:i/>
                <w:iCs/>
                <w:color w:val="666666"/>
                <w:sz w:val="17"/>
                <w:szCs w:val="17"/>
              </w:rPr>
              <w:t xml:space="preserve">Supporting papers: Eglash 1999; Olu Longe; LSE Impact Blog 2025; Olujimi et al. 2025; Ki et al. MACD 2025</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380070" w:sz="10"/>
              <w:left w:val="single" w:color="DDDDDD" w:sz="2"/>
              <w:bottom w:val="single" w:color="DDDDDD" w:sz="1"/>
              <w:right w:val="single" w:color="DDDDDD" w:sz="1"/>
            </w:tcBorders>
            <w:shd w:fill="FAFAFA" w:val="clear"/>
            <w:tcMar>
              <w:top w:type="dxa" w:w="160"/>
              <w:left w:type="dxa" w:w="260"/>
              <w:bottom w:type="dxa" w:w="160"/>
              <w:right w:type="dxa" w:w="260"/>
            </w:tcMar>
          </w:tcPr>
          <w:p>
            <w:pPr>
              <w:spacing w:before="0" w:after="40"/>
            </w:pPr>
            <w:r>
              <w:rPr>
                <w:rFonts w:ascii="Arial" w:cs="Arial" w:eastAsia="Arial" w:hAnsi="Arial"/>
                <w:b/>
                <w:bCs/>
                <w:color w:val="999999"/>
                <w:sz w:val="16"/>
                <w:szCs w:val="16"/>
              </w:rPr>
              <w:t xml:space="preserve">#5  </w:t>
            </w:r>
            <w:r>
              <w:rPr>
                <w:rFonts w:ascii="Arial" w:cs="Arial" w:eastAsia="Arial" w:hAnsi="Arial"/>
                <w:b/>
                <w:bCs/>
                <w:color w:val="380070"/>
                <w:sz w:val="22"/>
                <w:szCs w:val="22"/>
              </w:rPr>
              <w:t xml:space="preserve">Proverb-Logic Prompt Framework for African SMME AI</w:t>
            </w:r>
            <w:r>
              <w:rPr>
                <w:rFonts w:ascii="Arial" w:cs="Arial" w:eastAsia="Arial" w:hAnsi="Arial"/>
                <w:color w:val="999999"/>
                <w:sz w:val="16"/>
                <w:szCs w:val="16"/>
              </w:rPr>
              <w:t xml:space="preserve">   [method_pivot]  N:8.5  F:7.5  I:8.5  Overall: 8.4/10</w:t>
            </w:r>
          </w:p>
          <w:p>
            <w:pPr>
              <w:spacing w:before="0" w:after="60" w:line="276"/>
            </w:pPr>
            <w:r>
              <w:rPr>
                <w:rFonts w:ascii="Georgia" w:cs="Georgia" w:eastAsia="Georgia" w:hAnsi="Georgia"/>
                <w:color w:val="1A1A1A"/>
                <w:sz w:val="22"/>
                <w:szCs w:val="22"/>
              </w:rPr>
              <w:t xml:space="preserve">The SLR identifies that LangChain and AutoGen provide insufficient SMME-specific guidelines. The African AI series identifies that discourse-native prompt architecture significantly changes explanation quality for African users. This idea combines both: design and publish a reusable, open-source prompt framework library specifically for African SMME use cases (inventory explanation, financial advisory, customer communication, HR decision support) that encodes Yoruba, Igbo, and Hausa discourse logic into system-level prompting. Each template: story-first context, appropriate proverb deployment, community-reference validation, and concise action close. Test each template against standard English-linear AI outputs on comprehension and trust metrics. The deliverable is not just a paper but a usable, publishable library that engineers can deploy immediately.</w:t>
            </w:r>
          </w:p>
          <w:p>
            <w:pPr>
              <w:spacing w:before="0" w:after="0"/>
            </w:pPr>
            <w:r>
              <w:rPr>
                <w:rFonts w:ascii="Arial" w:cs="Arial" w:eastAsia="Arial" w:hAnsi="Arial"/>
                <w:i/>
                <w:iCs/>
                <w:color w:val="666666"/>
                <w:sz w:val="17"/>
                <w:szCs w:val="17"/>
              </w:rPr>
              <w:t xml:space="preserve">Supporting papers: Olujimi et al. 2025; Ehineni 2016; Owomoyela 2005; Yankah 1989; Bergen 2012; Adelani 2024</w:t>
            </w:r>
          </w:p>
        </w:tc>
      </w:tr>
    </w:tbl>
    <w:p>
      <w:pPr>
        <w:spacing w:before="60" w:after="60"/>
      </w:pPr>
      <w:r>
        <w:t xml:space="preserve"/>
      </w:r>
    </w:p>
    <w:p>
      <w:pPr>
        <w:spacing w:before="200" w:after="60"/>
      </w:pPr>
      <w:r>
        <w:rPr>
          <w:rFonts w:ascii="Arial" w:cs="Arial" w:eastAsia="Arial" w:hAnsi="Arial"/>
          <w:b/>
          <w:bCs/>
          <w:color w:val="8B0000"/>
          <w:sz w:val="22"/>
          <w:szCs w:val="22"/>
        </w:rPr>
        <w:t xml:space="preserve">Unresolved Conflicts Identified</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40"/>
      </w:tblGrid>
      <w:tr>
        <w:trPr>
          <w:tblHeader/>
        </w:trPr>
        <w:tc>
          <w:tcPr>
            <w:tcW w:type="dxa" w:w="22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r>
              <w:rPr>
                <w:rFonts w:ascii="Arial" w:cs="Arial" w:eastAsia="Arial" w:hAnsi="Arial"/>
                <w:b/>
                <w:bCs/>
                <w:color w:val="FFFFFF"/>
                <w:sz w:val="16"/>
                <w:szCs w:val="16"/>
              </w:rPr>
              <w:t xml:space="preserve">Conflict</w:t>
            </w:r>
          </w:p>
        </w:tc>
        <w:tc>
          <w:tcPr>
            <w:tcW w:type="dxa" w:w="32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r>
              <w:rPr>
                <w:rFonts w:ascii="Arial" w:cs="Arial" w:eastAsia="Arial" w:hAnsi="Arial"/>
                <w:b/>
                <w:bCs/>
                <w:color w:val="FFFFFF"/>
                <w:sz w:val="16"/>
                <w:szCs w:val="16"/>
              </w:rPr>
              <w:t xml:space="preserve">Both Sides</w:t>
            </w:r>
          </w:p>
        </w:tc>
        <w:tc>
          <w:tcPr>
            <w:tcW w:type="dxa" w:w="324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r>
              <w:rPr>
                <w:rFonts w:ascii="Arial" w:cs="Arial" w:eastAsia="Arial" w:hAnsi="Arial"/>
                <w:b/>
                <w:bCs/>
                <w:color w:val="FFFFFF"/>
                <w:sz w:val="16"/>
                <w:szCs w:val="16"/>
              </w:rPr>
              <w:t xml:space="preserve">Resolution Direction</w:t>
            </w:r>
          </w:p>
        </w:tc>
      </w:tr>
      <w:tr>
        <w:tc>
          <w:tcPr>
            <w:tcW w:type="dxa" w:w="2200"/>
            <w:tcBorders>
              <w:top w:val="single" w:color="DDDDDD" w:sz="1"/>
              <w:left w:val="single" w:color="DDDDDD" w:sz="1"/>
              <w:bottom w:val="single" w:color="DDDDDD" w:sz="1"/>
              <w:right w:val="single" w:color="DDDDDD" w:sz="1"/>
            </w:tcBorders>
            <w:shd w:fill="F8F0F0" w:val="clear"/>
            <w:tcMar>
              <w:top w:type="dxa" w:w="100"/>
              <w:left w:type="dxa" w:w="120"/>
              <w:bottom w:type="dxa" w:w="100"/>
              <w:right w:type="dxa" w:w="120"/>
            </w:tcMar>
          </w:tcPr>
          <w:p>
            <w:r>
              <w:rPr>
                <w:rFonts w:ascii="Georgia" w:cs="Georgia" w:eastAsia="Georgia" w:hAnsi="Georgia"/>
                <w:b/>
                <w:bCs/>
                <w:color w:val="8B0000"/>
                <w:sz w:val="20"/>
                <w:szCs w:val="20"/>
              </w:rPr>
              <w:t xml:space="preserve">Modular agentic AI works in resource-constrained environments</w:t>
            </w:r>
          </w:p>
        </w:tc>
        <w:tc>
          <w:tcPr>
            <w:tcW w:type="dxa" w:w="3200"/>
            <w:tcBorders>
              <w:top w:val="single" w:color="DDDDDD" w:sz="1"/>
              <w:left w:val="single" w:color="DDDDDD" w:sz="1"/>
              <w:bottom w:val="single" w:color="DDDDDD" w:sz="1"/>
              <w:right w:val="single" w:color="DDDDDD" w:sz="1"/>
            </w:tcBorders>
            <w:shd w:fill="F8F0F0" w:val="clear"/>
            <w:tcMar>
              <w:top w:type="dxa" w:w="100"/>
              <w:left w:type="dxa" w:w="120"/>
              <w:bottom w:type="dxa" w:w="100"/>
              <w:right w:type="dxa" w:w="120"/>
            </w:tcMar>
          </w:tcPr>
          <w:p>
            <w:pPr>
              <w:spacing w:before="0" w:after="0" w:line="276"/>
            </w:pPr>
            <w:r>
              <w:rPr>
                <w:rFonts w:ascii="Arial" w:cs="Arial" w:eastAsia="Arial" w:hAnsi="Arial"/>
                <w:color w:val="1A1A1A"/>
                <w:sz w:val="19"/>
                <w:szCs w:val="19"/>
              </w:rPr>
              <w:t xml:space="preserve">Olujimi: modularity reduces infrastructure requirements. Counter: Sapkota et al. taxonomy (2025) notes neural agentic systems have high compute requirements that small firms cannot sustain.</w:t>
            </w:r>
          </w:p>
        </w:tc>
        <w:tc>
          <w:tcPr>
            <w:tcW w:type="dxa" w:w="3240"/>
            <w:tcBorders>
              <w:top w:val="single" w:color="DDDDDD" w:sz="1"/>
              <w:left w:val="single" w:color="DDDDDD" w:sz="1"/>
              <w:bottom w:val="single" w:color="DDDDDD" w:sz="1"/>
              <w:right w:val="single" w:color="DDDDDD" w:sz="1"/>
            </w:tcBorders>
            <w:shd w:fill="F8F0F0" w:val="clear"/>
            <w:tcMar>
              <w:top w:type="dxa" w:w="100"/>
              <w:left w:type="dxa" w:w="120"/>
              <w:bottom w:type="dxa" w:w="100"/>
              <w:right w:type="dxa" w:w="120"/>
            </w:tcMar>
          </w:tcPr>
          <w:p>
            <w:pPr>
              <w:spacing w:before="0" w:after="0" w:line="276"/>
            </w:pPr>
            <w:r>
              <w:rPr>
                <w:rFonts w:ascii="Arial" w:cs="Arial" w:eastAsia="Arial" w:hAnsi="Arial"/>
                <w:color w:val="005555"/>
                <w:sz w:val="19"/>
                <w:szCs w:val="19"/>
              </w:rPr>
              <w:t xml:space="preserve">Empirical cost-performance study in African SMME context. Measure actual infrastructure spend vs. claimed efficiency gain.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Georgia" w:cs="Georgia" w:eastAsia="Georgia" w:hAnsi="Georgia"/>
                <w:b/>
                <w:bCs/>
                <w:color w:val="8B0000"/>
                <w:sz w:val="20"/>
                <w:szCs w:val="20"/>
              </w:rPr>
              <w:t xml:space="preserve">LLM hallucination is manageable in SMME deployments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6"/>
            </w:pPr>
            <w:r>
              <w:rPr>
                <w:rFonts w:ascii="Arial" w:cs="Arial" w:eastAsia="Arial" w:hAnsi="Arial"/>
                <w:color w:val="1A1A1A"/>
                <w:sz w:val="19"/>
                <w:szCs w:val="19"/>
              </w:rPr>
              <w:t xml:space="preserve">AutoGen/LangChain documentation claims hallucination mitigation through multi-agent verification. Multiple SMME case studies report trust failures and incorrect automated decisions.</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6"/>
            </w:pPr>
            <w:r>
              <w:rPr>
                <w:rFonts w:ascii="Arial" w:cs="Arial" w:eastAsia="Arial" w:hAnsi="Arial"/>
                <w:color w:val="005555"/>
                <w:sz w:val="19"/>
                <w:szCs w:val="19"/>
              </w:rPr>
              <w:t xml:space="preserve">Controlled hallucination rate study in SMME use cases with non-expert users. Specific to African language inputs where training data is sparse.</w:t>
            </w:r>
          </w:p>
        </w:tc>
      </w:tr>
      <w:tr>
        <w:tc>
          <w:tcPr>
            <w:tcW w:type="dxa" w:w="2200"/>
            <w:tcBorders>
              <w:top w:val="single" w:color="DDDDDD" w:sz="1"/>
              <w:left w:val="single" w:color="DDDDDD" w:sz="1"/>
              <w:bottom w:val="single" w:color="DDDDDD" w:sz="1"/>
              <w:right w:val="single" w:color="DDDDDD" w:sz="1"/>
            </w:tcBorders>
            <w:shd w:fill="F8F0F0" w:val="clear"/>
            <w:tcMar>
              <w:top w:type="dxa" w:w="100"/>
              <w:left w:type="dxa" w:w="120"/>
              <w:bottom w:type="dxa" w:w="100"/>
              <w:right w:type="dxa" w:w="120"/>
            </w:tcMar>
          </w:tcPr>
          <w:p>
            <w:r>
              <w:rPr>
                <w:rFonts w:ascii="Georgia" w:cs="Georgia" w:eastAsia="Georgia" w:hAnsi="Georgia"/>
                <w:b/>
                <w:bCs/>
                <w:color w:val="8B0000"/>
                <w:sz w:val="20"/>
                <w:szCs w:val="20"/>
              </w:rPr>
              <w:t xml:space="preserve">Incremental adoption reduces implementation risk</w:t>
            </w:r>
          </w:p>
        </w:tc>
        <w:tc>
          <w:tcPr>
            <w:tcW w:type="dxa" w:w="3200"/>
            <w:tcBorders>
              <w:top w:val="single" w:color="DDDDDD" w:sz="1"/>
              <w:left w:val="single" w:color="DDDDDD" w:sz="1"/>
              <w:bottom w:val="single" w:color="DDDDDD" w:sz="1"/>
              <w:right w:val="single" w:color="DDDDDD" w:sz="1"/>
            </w:tcBorders>
            <w:shd w:fill="F8F0F0" w:val="clear"/>
            <w:tcMar>
              <w:top w:type="dxa" w:w="100"/>
              <w:left w:type="dxa" w:w="120"/>
              <w:bottom w:type="dxa" w:w="100"/>
              <w:right w:type="dxa" w:w="120"/>
            </w:tcMar>
          </w:tcPr>
          <w:p>
            <w:pPr>
              <w:spacing w:before="0" w:after="0" w:line="276"/>
            </w:pPr>
            <w:r>
              <w:rPr>
                <w:rFonts w:ascii="Arial" w:cs="Arial" w:eastAsia="Arial" w:hAnsi="Arial"/>
                <w:color w:val="1A1A1A"/>
                <w:sz w:val="19"/>
                <w:szCs w:val="19"/>
              </w:rPr>
              <w:t xml:space="preserve">Olujimi roadmap recommends incremental adoption. Bibliometric companion (Springer, 2025) finds no empirical evidence that incremental vs. full-deployment adoption produces different outcome distributions.</w:t>
            </w:r>
          </w:p>
        </w:tc>
        <w:tc>
          <w:tcPr>
            <w:tcW w:type="dxa" w:w="3240"/>
            <w:tcBorders>
              <w:top w:val="single" w:color="DDDDDD" w:sz="1"/>
              <w:left w:val="single" w:color="DDDDDD" w:sz="1"/>
              <w:bottom w:val="single" w:color="DDDDDD" w:sz="1"/>
              <w:right w:val="single" w:color="DDDDDD" w:sz="1"/>
            </w:tcBorders>
            <w:shd w:fill="F8F0F0" w:val="clear"/>
            <w:tcMar>
              <w:top w:type="dxa" w:w="100"/>
              <w:left w:type="dxa" w:w="120"/>
              <w:bottom w:type="dxa" w:w="100"/>
              <w:right w:type="dxa" w:w="120"/>
            </w:tcMar>
          </w:tcPr>
          <w:p>
            <w:pPr>
              <w:spacing w:before="0" w:after="0" w:line="276"/>
            </w:pPr>
            <w:r>
              <w:rPr>
                <w:rFonts w:ascii="Arial" w:cs="Arial" w:eastAsia="Arial" w:hAnsi="Arial"/>
                <w:color w:val="005555"/>
                <w:sz w:val="19"/>
                <w:szCs w:val="19"/>
              </w:rPr>
              <w:t xml:space="preserve">Longitudinal SMME study comparing incremental vs. phased full-deployment. Both groups measured at 12 and 24 months.</w:t>
            </w:r>
          </w:p>
        </w:tc>
      </w:tr>
    </w:tbl>
    <w:p>
      <w:pPr>
        <w:spacing w:before="60" w:after="60"/>
      </w:pPr>
      <w:r>
        <w:t xml:space="preserve"/>
      </w:r>
    </w:p>
    <w:p>
      <w:pPr>
        <w:pBdr>
          <w:bottom w:val="single" w:color="7B5000" w:sz="6" w:space="4"/>
        </w:pBdr>
        <w:spacing w:before="360" w:after="60"/>
      </w:pPr>
      <w:r>
        <w:rPr>
          <w:rFonts w:ascii="Arial" w:cs="Arial" w:eastAsia="Arial" w:hAnsi="Arial"/>
          <w:b/>
          <w:bCs/>
          <w:caps/>
          <w:color w:val="7B5000"/>
          <w:spacing w:val="100"/>
          <w:sz w:val="17"/>
          <w:szCs w:val="17"/>
        </w:rPr>
        <w:t xml:space="preserve">Skill 3 — Multi-Agent Action Plan: From Audit to Build</w:t>
      </w:r>
    </w:p>
    <w:p>
      <w:pPr>
        <w:spacing w:before="60" w:after="60"/>
      </w:pPr>
      <w:r>
        <w:t xml:space="preserve"/>
      </w:r>
    </w:p>
    <w:p>
      <w:pPr>
        <w:spacing w:before="0" w:after="200" w:line="286"/>
      </w:pPr>
      <w:r>
        <w:rPr>
          <w:rFonts w:ascii="Georgia" w:cs="Georgia" w:eastAsia="Georgia" w:hAnsi="Georgia"/>
          <w:color w:val="1A1A1A"/>
          <w:sz w:val="24"/>
          <w:szCs w:val="24"/>
        </w:rPr>
        <w:t xml:space="preserve">The multi-agent research skill translates the ranked ideas and conflicts into a concrete execution sequence. Each task specifies the phase, the action, which agent/skill handles it, the deliverable, and the priority level. Tasks are sequenced so Phase 1 outputs feed Phase 2 inputs.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2240"/>
        <w:gridCol w:w="1000"/>
      </w:tblGrid>
      <w:tr>
        <w:trPr>
          <w:tblHeader/>
        </w:trPr>
        <w:tc>
          <w:tcPr>
            <w:tcW w:type="dxa" w:w="1200"/>
            <w:tcBorders>
              <w:top w:val="single" w:color="DDDDDD" w:sz="1"/>
              <w:left w:val="single" w:color="DDDDDD" w:sz="1"/>
              <w:bottom w:val="single" w:color="DDDDDD" w:sz="1"/>
              <w:right w:val="single" w:color="DDDDDD" w:sz="1"/>
            </w:tcBorders>
            <w:shd w:fill="7B5000" w:val="clear"/>
            <w:tcMar>
              <w:top w:type="dxa" w:w="80"/>
              <w:left w:type="dxa" w:w="110"/>
              <w:bottom w:type="dxa" w:w="80"/>
              <w:right w:type="dxa" w:w="110"/>
            </w:tcMar>
          </w:tcPr>
          <w:p>
            <w:r>
              <w:rPr>
                <w:rFonts w:ascii="Arial" w:cs="Arial" w:eastAsia="Arial" w:hAnsi="Arial"/>
                <w:b/>
                <w:bCs/>
                <w:color w:val="FFFFFF"/>
                <w:sz w:val="16"/>
                <w:szCs w:val="16"/>
              </w:rPr>
              <w:t xml:space="preserve">Phase</w:t>
            </w:r>
          </w:p>
        </w:tc>
        <w:tc>
          <w:tcPr>
            <w:tcW w:type="dxa" w:w="2600"/>
            <w:tcBorders>
              <w:top w:val="single" w:color="DDDDDD" w:sz="1"/>
              <w:left w:val="single" w:color="DDDDDD" w:sz="1"/>
              <w:bottom w:val="single" w:color="DDDDDD" w:sz="1"/>
              <w:right w:val="single" w:color="DDDDDD" w:sz="1"/>
            </w:tcBorders>
            <w:shd w:fill="7B5000" w:val="clear"/>
            <w:tcMar>
              <w:top w:type="dxa" w:w="80"/>
              <w:left w:type="dxa" w:w="110"/>
              <w:bottom w:type="dxa" w:w="80"/>
              <w:right w:type="dxa" w:w="110"/>
            </w:tcMar>
          </w:tcPr>
          <w:p>
            <w:r>
              <w:rPr>
                <w:rFonts w:ascii="Arial" w:cs="Arial" w:eastAsia="Arial" w:hAnsi="Arial"/>
                <w:b/>
                <w:bCs/>
                <w:color w:val="FFFFFF"/>
                <w:sz w:val="16"/>
                <w:szCs w:val="16"/>
              </w:rPr>
              <w:t xml:space="preserve">Task</w:t>
            </w:r>
          </w:p>
        </w:tc>
        <w:tc>
          <w:tcPr>
            <w:tcW w:type="dxa" w:w="1600"/>
            <w:tcBorders>
              <w:top w:val="single" w:color="DDDDDD" w:sz="1"/>
              <w:left w:val="single" w:color="DDDDDD" w:sz="1"/>
              <w:bottom w:val="single" w:color="DDDDDD" w:sz="1"/>
              <w:right w:val="single" w:color="DDDDDD" w:sz="1"/>
            </w:tcBorders>
            <w:shd w:fill="7B5000" w:val="clear"/>
            <w:tcMar>
              <w:top w:type="dxa" w:w="80"/>
              <w:left w:type="dxa" w:w="110"/>
              <w:bottom w:type="dxa" w:w="80"/>
              <w:right w:type="dxa" w:w="110"/>
            </w:tcMar>
          </w:tcPr>
          <w:p>
            <w:r>
              <w:rPr>
                <w:rFonts w:ascii="Arial" w:cs="Arial" w:eastAsia="Arial" w:hAnsi="Arial"/>
                <w:b/>
                <w:bCs/>
                <w:color w:val="FFFFFF"/>
                <w:sz w:val="16"/>
                <w:szCs w:val="16"/>
              </w:rPr>
              <w:t xml:space="preserve">Skill / Agent</w:t>
            </w:r>
          </w:p>
        </w:tc>
        <w:tc>
          <w:tcPr>
            <w:tcW w:type="dxa" w:w="2240"/>
            <w:tcBorders>
              <w:top w:val="single" w:color="DDDDDD" w:sz="1"/>
              <w:left w:val="single" w:color="DDDDDD" w:sz="1"/>
              <w:bottom w:val="single" w:color="DDDDDD" w:sz="1"/>
              <w:right w:val="single" w:color="DDDDDD" w:sz="1"/>
            </w:tcBorders>
            <w:shd w:fill="7B5000" w:val="clear"/>
            <w:tcMar>
              <w:top w:type="dxa" w:w="80"/>
              <w:left w:type="dxa" w:w="110"/>
              <w:bottom w:type="dxa" w:w="80"/>
              <w:right w:type="dxa" w:w="110"/>
            </w:tcMar>
          </w:tcPr>
          <w:p>
            <w:r>
              <w:rPr>
                <w:rFonts w:ascii="Arial" w:cs="Arial" w:eastAsia="Arial" w:hAnsi="Arial"/>
                <w:b/>
                <w:bCs/>
                <w:color w:val="FFFFFF"/>
                <w:sz w:val="16"/>
                <w:szCs w:val="16"/>
              </w:rPr>
              <w:t xml:space="preserve">Output</w:t>
            </w:r>
          </w:p>
        </w:tc>
        <w:tc>
          <w:tcPr>
            <w:tcW w:type="dxa" w:w="1000"/>
            <w:tcBorders>
              <w:top w:val="single" w:color="DDDDDD" w:sz="1"/>
              <w:left w:val="single" w:color="DDDDDD" w:sz="1"/>
              <w:bottom w:val="single" w:color="DDDDDD" w:sz="1"/>
              <w:right w:val="single" w:color="DDDDDD" w:sz="1"/>
            </w:tcBorders>
            <w:shd w:fill="7B50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Priority</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b/>
                <w:bCs/>
                <w:color w:val="1F4E79"/>
                <w:sz w:val="19"/>
                <w:szCs w:val="19"/>
              </w:rPr>
              <w:t xml:space="preserve">1 — Map</w:t>
            </w:r>
          </w:p>
        </w:tc>
        <w:tc>
          <w:tcPr>
            <w:tcW w:type="dxa" w:w="2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Map Yoruba, Igbo, Hausa discourse patterns: default explanation order, proverb deployment positions, politeness registers, trust markers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i/>
                <w:iCs/>
                <w:color w:val="380070"/>
                <w:sz w:val="18"/>
                <w:szCs w:val="18"/>
              </w:rPr>
              <w:t xml:space="preserve">Research Inspiration Agent + Linguist collaboration</w:t>
            </w:r>
          </w:p>
        </w:tc>
        <w:tc>
          <w:tcPr>
            <w:tcW w:type="dxa" w:w="224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Discourse Architecture Specification document (50+ pages)</w:t>
            </w:r>
          </w:p>
        </w:tc>
        <w:tc>
          <w:tcPr>
            <w:tcW w:type="dxa" w:w="10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F4E79"/>
                <w:sz w:val="19"/>
                <w:szCs w:val="19"/>
              </w:rPr>
              <w:t xml:space="preserve">1 — Map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Map Ifa system onto LangChain multi-agent architecture: Odu=retrieval, babalawo=interpreter, community=alignment validator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i/>
                <w:iCs/>
                <w:color w:val="380070"/>
                <w:sz w:val="18"/>
                <w:szCs w:val="18"/>
              </w:rPr>
              <w:t xml:space="preserve">Research Inspiration Agent + web_fetch arXiv</w:t>
            </w:r>
          </w:p>
        </w:tc>
        <w:tc>
          <w:tcPr>
            <w:tcW w:type="dxa" w:w="224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Ifa-LangChain architecture mapping paper (draft)</w:t>
            </w:r>
          </w:p>
        </w:tc>
        <w:tc>
          <w:tcPr>
            <w:tcW w:type="dxa" w:w="10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b/>
                <w:bCs/>
                <w:color w:val="1F4E79"/>
                <w:sz w:val="19"/>
                <w:szCs w:val="19"/>
              </w:rPr>
              <w:t xml:space="preserve">1 — Map</w:t>
            </w:r>
          </w:p>
        </w:tc>
        <w:tc>
          <w:tcPr>
            <w:tcW w:type="dxa" w:w="2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Mine Olujimi SLR future work section: extract all explicit research directions and cluster by type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i/>
                <w:iCs/>
                <w:color w:val="380070"/>
                <w:sz w:val="18"/>
                <w:szCs w:val="18"/>
              </w:rPr>
              <w:t xml:space="preserve">Research Inspiration Agent</w:t>
            </w:r>
          </w:p>
        </w:tc>
        <w:tc>
          <w:tcPr>
            <w:tcW w:type="dxa" w:w="224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20-item future work gap register with cluster codes</w:t>
            </w:r>
          </w:p>
        </w:tc>
        <w:tc>
          <w:tcPr>
            <w:tcW w:type="dxa" w:w="10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F4E79"/>
                <w:sz w:val="19"/>
                <w:szCs w:val="19"/>
              </w:rPr>
              <w:t xml:space="preserve">2 — Measure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Design comprehension study: 2×2 controlled experiment, Yoruba/English speakers vs. discourse-aligned/standard AI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i/>
                <w:iCs/>
                <w:color w:val="380070"/>
                <w:sz w:val="18"/>
                <w:szCs w:val="18"/>
              </w:rPr>
              <w:t xml:space="preserve">Claim Map + Research Inspiration</w:t>
            </w:r>
          </w:p>
        </w:tc>
        <w:tc>
          <w:tcPr>
            <w:tcW w:type="dxa" w:w="224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IRB-ready study protocol document</w:t>
            </w:r>
          </w:p>
        </w:tc>
        <w:tc>
          <w:tcPr>
            <w:tcW w:type="dxa" w:w="10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b/>
                <w:bCs/>
                <w:color w:val="1F4E79"/>
                <w:sz w:val="19"/>
                <w:szCs w:val="19"/>
              </w:rPr>
              <w:t xml:space="preserve">2 — Measure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Verify Ubuntu alignment claim: check whether relational alignment specs exist in MAS literature (LangChain, AutoGen)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i/>
                <w:iCs/>
                <w:color w:val="380070"/>
                <w:sz w:val="18"/>
                <w:szCs w:val="18"/>
              </w:rPr>
              <w:t xml:space="preserve">Research Claim Map Agent</w:t>
            </w:r>
          </w:p>
        </w:tc>
        <w:tc>
          <w:tcPr>
            <w:tcW w:type="dxa" w:w="224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Novelty verification report + literature gap evidence</w:t>
            </w:r>
          </w:p>
        </w:tc>
        <w:tc>
          <w:tcPr>
            <w:tcW w:type="dxa" w:w="10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F4E79"/>
                <w:sz w:val="19"/>
                <w:szCs w:val="19"/>
              </w:rPr>
              <w:t xml:space="preserve">2 — Measure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Run conflict analysis: hallucination rates in African-language SMME inputs vs. English inputs across 3 models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i/>
                <w:iCs/>
                <w:color w:val="380070"/>
                <w:sz w:val="18"/>
                <w:szCs w:val="18"/>
              </w:rPr>
              <w:t xml:space="preserve">Multi-agent: 3 parallel claude-researcher agents</w:t>
            </w:r>
          </w:p>
        </w:tc>
        <w:tc>
          <w:tcPr>
            <w:tcW w:type="dxa" w:w="224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Conflict evidence brief + resolution proposal</w:t>
            </w:r>
          </w:p>
        </w:tc>
        <w:tc>
          <w:tcPr>
            <w:tcW w:type="dxa" w:w="1000"/>
            <w:tcBorders>
              <w:top w:val="single" w:color="DDDDDD" w:sz="1"/>
              <w:left w:val="single" w:color="DDDDDD" w:sz="1"/>
              <w:bottom w:val="single" w:color="DDDDDD" w:sz="1"/>
              <w:right w:val="single" w:color="DDDDDD" w:sz="1"/>
            </w:tcBorders>
            <w:shd w:fill="7B5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MED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b/>
                <w:bCs/>
                <w:color w:val="1F4E79"/>
                <w:sz w:val="19"/>
                <w:szCs w:val="19"/>
              </w:rPr>
              <w:t xml:space="preserve">3 — Build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Build Proverb-Logic Prompt Framework v1.0: Yoruba templates for 5 SMME use cases (inventory, finance, HR, customer, advisory)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i/>
                <w:iCs/>
                <w:color w:val="380070"/>
                <w:sz w:val="18"/>
                <w:szCs w:val="18"/>
              </w:rPr>
              <w:t xml:space="preserve">Anthropic API artifact + docx skill</w:t>
            </w:r>
          </w:p>
        </w:tc>
        <w:tc>
          <w:tcPr>
            <w:tcW w:type="dxa" w:w="224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Open-source prompt library + companion technical paper</w:t>
            </w:r>
          </w:p>
        </w:tc>
        <w:tc>
          <w:tcPr>
            <w:tcW w:type="dxa" w:w="10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F4E79"/>
                <w:sz w:val="19"/>
                <w:szCs w:val="19"/>
              </w:rPr>
              <w:t xml:space="preserve">3 — Build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Implement Ubuntu alignment layer: relational constraint spec for AutoGen multi-agent SMME system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i/>
                <w:iCs/>
                <w:color w:val="380070"/>
                <w:sz w:val="18"/>
                <w:szCs w:val="18"/>
              </w:rPr>
              <w:t xml:space="preserve">Multi-agent build skill (MACD framework)</w:t>
            </w:r>
          </w:p>
        </w:tc>
        <w:tc>
          <w:tcPr>
            <w:tcW w:type="dxa" w:w="224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Working prototype + evaluation report vs. standard RLHF</w:t>
            </w:r>
          </w:p>
        </w:tc>
        <w:tc>
          <w:tcPr>
            <w:tcW w:type="dxa" w:w="10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b/>
                <w:bCs/>
                <w:color w:val="1F4E79"/>
                <w:sz w:val="19"/>
                <w:szCs w:val="19"/>
              </w:rPr>
              <w:t xml:space="preserve">3 — Build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Draft Ifa-to-LangChain architecture specification as formal research proposal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i/>
                <w:iCs/>
                <w:color w:val="380070"/>
                <w:sz w:val="18"/>
                <w:szCs w:val="18"/>
              </w:rPr>
              <w:t xml:space="preserve">Research Inspiration Agent + docx skill</w:t>
            </w:r>
          </w:p>
        </w:tc>
        <w:tc>
          <w:tcPr>
            <w:tcW w:type="dxa" w:w="224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Full research proposal (15 pages) ready for journal submission</w:t>
            </w:r>
          </w:p>
        </w:tc>
        <w:tc>
          <w:tcPr>
            <w:tcW w:type="dxa" w:w="1000"/>
            <w:tcBorders>
              <w:top w:val="single" w:color="DDDDDD" w:sz="1"/>
              <w:left w:val="single" w:color="DDDDDD" w:sz="1"/>
              <w:bottom w:val="single" w:color="DDDDDD" w:sz="1"/>
              <w:right w:val="single" w:color="DDDDDD" w:sz="1"/>
            </w:tcBorders>
            <w:shd w:fill="7B5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F4E79"/>
                <w:sz w:val="19"/>
                <w:szCs w:val="19"/>
              </w:rPr>
              <w:t xml:space="preserve">4 — Publish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Synthesize Claim Map + Research Inspiration findings into one unified paper: African Cognitive Architecture for SMME Agentic AI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i/>
                <w:iCs/>
                <w:color w:val="380070"/>
                <w:sz w:val="18"/>
                <w:szCs w:val="18"/>
              </w:rPr>
              <w:t xml:space="preserve">All skills combined</w:t>
            </w:r>
          </w:p>
        </w:tc>
        <w:tc>
          <w:tcPr>
            <w:tcW w:type="dxa" w:w="224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Journal submission draft: AI (MDPI) or JASIST target</w:t>
            </w:r>
          </w:p>
        </w:tc>
        <w:tc>
          <w:tcPr>
            <w:tcW w:type="dxa" w:w="10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b/>
                <w:bCs/>
                <w:color w:val="1F4E79"/>
                <w:sz w:val="19"/>
                <w:szCs w:val="19"/>
              </w:rPr>
              <w:t xml:space="preserve">4 — Publish</w:t>
            </w:r>
          </w:p>
        </w:tc>
        <w:tc>
          <w:tcPr>
            <w:tcW w:type="dxa" w:w="2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Post public essay: ‘What Ifa understood about AI that LangChain has not yet’ — PG writing, 2,000 words, references Olugbohun as origin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r>
              <w:rPr>
                <w:rFonts w:ascii="Arial" w:cs="Arial" w:eastAsia="Arial" w:hAnsi="Arial"/>
                <w:i/>
                <w:iCs/>
                <w:color w:val="380070"/>
                <w:sz w:val="18"/>
                <w:szCs w:val="18"/>
              </w:rPr>
              <w:t xml:space="preserve">PG writing skill</w:t>
            </w:r>
          </w:p>
        </w:tc>
        <w:tc>
          <w:tcPr>
            <w:tcW w:type="dxa" w:w="2240"/>
            <w:tcBorders>
              <w:top w:val="single" w:color="DDDDDD" w:sz="1"/>
              <w:left w:val="single" w:color="DDDDDD" w:sz="1"/>
              <w:bottom w:val="single" w:color="DDDDDD" w:sz="1"/>
              <w:right w:val="single" w:color="DDDDDD" w:sz="1"/>
            </w:tcBorders>
            <w:shd w:fill="F5F5F5"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LinkedIn/Substack essay, shareable summary of research position</w:t>
            </w:r>
          </w:p>
        </w:tc>
        <w:tc>
          <w:tcPr>
            <w:tcW w:type="dxa" w:w="1000"/>
            <w:tcBorders>
              <w:top w:val="single" w:color="DDDDDD" w:sz="1"/>
              <w:left w:val="single" w:color="DDDDDD" w:sz="1"/>
              <w:bottom w:val="single" w:color="DDDDDD" w:sz="1"/>
              <w:right w:val="single" w:color="DDDDDD" w:sz="1"/>
            </w:tcBorders>
            <w:shd w:fill="7B5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F4E79"/>
                <w:sz w:val="19"/>
                <w:szCs w:val="19"/>
              </w:rPr>
              <w:t xml:space="preserve">4 — Publish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Georgia" w:cs="Georgia" w:eastAsia="Georgia" w:hAnsi="Georgia"/>
                <w:color w:val="1A1A1A"/>
                <w:sz w:val="20"/>
                <w:szCs w:val="20"/>
              </w:rPr>
              <w:t xml:space="preserve">Submit comprehension study protocol to University of Ibadan/Lagos IRB. Recruit cognitive scientist collaborator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i/>
                <w:iCs/>
                <w:color w:val="380070"/>
                <w:sz w:val="18"/>
                <w:szCs w:val="18"/>
              </w:rPr>
              <w:t xml:space="preserve">Institutional outreach</w:t>
            </w:r>
          </w:p>
        </w:tc>
        <w:tc>
          <w:tcPr>
            <w:tcW w:type="dxa" w:w="224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pPr>
              <w:spacing w:before="0" w:after="0" w:line="270"/>
            </w:pPr>
            <w:r>
              <w:rPr>
                <w:rFonts w:ascii="Arial" w:cs="Arial" w:eastAsia="Arial" w:hAnsi="Arial"/>
                <w:color w:val="666666"/>
                <w:sz w:val="19"/>
                <w:szCs w:val="19"/>
              </w:rPr>
              <w:t xml:space="preserve">IRB application + collaborator contact list</w:t>
            </w:r>
          </w:p>
        </w:tc>
        <w:tc>
          <w:tcPr>
            <w:tcW w:type="dxa" w:w="10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r>
    </w:tbl>
    <w:p>
      <w:pPr>
        <w:spacing w:before="60" w:after="60"/>
      </w:pPr>
      <w:r>
        <w:t xml:space="preserve"/>
      </w:r>
    </w:p>
    <w:p>
      <w:pPr>
        <w:pBdr>
          <w:bottom w:val="single" w:color="1F4E79" w:sz="6" w:space="4"/>
        </w:pBdr>
        <w:spacing w:before="360" w:after="60"/>
      </w:pPr>
      <w:r>
        <w:rPr>
          <w:rFonts w:ascii="Arial" w:cs="Arial" w:eastAsia="Arial" w:hAnsi="Arial"/>
          <w:b/>
          <w:bCs/>
          <w:caps/>
          <w:color w:val="1F4E79"/>
          <w:spacing w:val="100"/>
          <w:sz w:val="17"/>
          <w:szCs w:val="17"/>
        </w:rPr>
        <w:t xml:space="preserve">The Bridge — How This Paper Connects to Your Existing Work</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F4E79" w:sz="22"/>
              <w:bottom w:val="none" w:color="FFFFFF" w:sz="0"/>
              <w:right w:val="none" w:color="FFFFFF" w:sz="0"/>
            </w:tcBorders>
            <w:shd w:fill="FAFAFA" w:val="clear"/>
            <w:tcMar>
              <w:top w:type="dxa" w:w="160"/>
              <w:left w:type="dxa" w:w="340"/>
              <w:bottom w:type="dxa" w:w="160"/>
              <w:right w:type="dxa" w:w="200"/>
            </w:tcMar>
          </w:tcPr>
          <w:p>
            <w:r>
              <w:rPr>
                <w:rFonts w:ascii="Georgia" w:cs="Georgia" w:eastAsia="Georgia" w:hAnsi="Georgia"/>
                <w:b/>
                <w:bCs/>
                <w:i/>
                <w:iCs/>
                <w:color w:val="1F4E79"/>
                <w:sz w:val="28"/>
                <w:szCs w:val="28"/>
              </w:rPr>
              <w:t xml:space="preserve">The Olujimi SLR proves the field is ready for what the African AI series built. It validated the gap. Your work fills it.</w:t>
            </w:r>
          </w:p>
        </w:tc>
      </w:tr>
    </w:tbl>
    <w:p>
      <w:pPr>
        <w:spacing w:before="60" w:after="60"/>
      </w:pPr>
      <w:r>
        <w:t xml:space="preserve"/>
      </w:r>
    </w:p>
    <w:p>
      <w:pPr>
        <w:spacing w:before="0" w:after="200" w:line="286"/>
      </w:pPr>
      <w:r>
        <w:rPr>
          <w:rFonts w:ascii="Georgia" w:cs="Georgia" w:eastAsia="Georgia" w:hAnsi="Georgia"/>
          <w:color w:val="1A1A1A"/>
          <w:sz w:val="24"/>
          <w:szCs w:val="24"/>
        </w:rPr>
        <w:t xml:space="preserve">The connection between the Olujimi SLR and the five-week series is not a coincidence. It is a convergence. The SLR establishes, from 66 papers, that agentic AI has transformative potential for SMMEs but lacks SMME-specific guidelines, lacks empirical validation, and lacks ethical governance frameworks appropriate to non-Western contexts. The five-week series establishes, from linguistic and cognitive science scholarship, exactly what those guidelines should look like, how empirical validation should be designed, and why Ubuntu-relational ethics is the right governance framework.</w:t>
      </w:r>
    </w:p>
    <w:p>
      <w:pPr>
        <w:spacing w:before="0" w:after="200" w:line="286"/>
      </w:pPr>
      <w:r>
        <w:rPr>
          <w:rFonts w:ascii="Georgia" w:cs="Georgia" w:eastAsia="Georgia" w:hAnsi="Georgia"/>
          <w:color w:val="1A1A1A"/>
          <w:sz w:val="24"/>
          <w:szCs w:val="24"/>
        </w:rPr>
        <w:t xml:space="preserve">The Olugbohun paper is the origin of all of it. It saw, before either literature had been systematically reviewed, that the architecture of intelligence matters more than the substrate that runs it. The Olugbohun insight — that a spiritual conduit and a language model are both channels for a pre-existing intelligence, and that the quality of what they channel depends on the architecture through which channeling happens — is now supported by: 66 SMME agentic AI papers showing architectural gaps, 22 African NLP benchmarks showing measurement failures, the Cornell CHI 2025 study showing cognitive architecture mismatch is measurable, and the Abundant Intelligences programme showing this is recognized internationally as the structural problem in AI design.</w:t>
      </w:r>
    </w:p>
    <w:p>
      <w:pPr>
        <w:spacing w:before="0" w:after="200" w:line="286"/>
      </w:pPr>
      <w:r>
        <w:rPr>
          <w:rFonts w:ascii="Georgia" w:cs="Georgia" w:eastAsia="Georgia" w:hAnsi="Georgia"/>
          <w:color w:val="1A1A1A"/>
          <w:sz w:val="24"/>
          <w:szCs w:val="24"/>
        </w:rPr>
        <w:t xml:space="preserve">The next step is not more essays. It is research proposals, institutional partnerships, and one controlled empirical study that makes the argument the only kind of argument a field will listen to: empirical.</w:t>
      </w:r>
    </w:p>
    <w:p>
      <w:pPr>
        <w:spacing w:before="60" w:after="60"/>
      </w:pPr>
      <w:r>
        <w:t xml:space="preserve"/>
      </w:r>
    </w:p>
    <w:p>
      <w:pPr>
        <w:pBdr>
          <w:bottom w:val="single" w:color="7B5000" w:sz="6" w:space="1"/>
        </w:pBdr>
        <w:spacing w:before="100" w:after="100"/>
      </w:pPr>
      <w:r>
        <w:t xml:space="preserve"/>
      </w:r>
    </w:p>
    <w:p>
      <w:pPr>
        <w:spacing w:before="200" w:after="200"/>
      </w:pPr>
      <w:r>
        <w:t xml:space="preserve"/>
      </w:r>
    </w:p>
    <w:p>
      <w:pPr>
        <w:spacing w:before="0" w:after="80"/>
      </w:pPr>
      <w:r>
        <w:rPr>
          <w:rFonts w:ascii="Arial" w:cs="Arial" w:eastAsia="Arial" w:hAnsi="Arial"/>
          <w:b/>
          <w:bCs/>
          <w:color w:val="1F4E79"/>
          <w:sz w:val="20"/>
          <w:szCs w:val="20"/>
        </w:rPr>
        <w:t xml:space="preserve">Research Sources Across This Audit</w:t>
      </w:r>
    </w:p>
    <w:p>
      <w:pPr>
        <w:pBdr>
          <w:bottom w:val="single" w:color="1F4E79" w:sz="2" w:space="1"/>
        </w:pBdr>
        <w:spacing w:before="100" w:after="100"/>
      </w:pPr>
      <w:r>
        <w:t xml:space="preserve"/>
      </w:r>
    </w:p>
    <w:p>
      <w:pPr>
        <w:spacing w:before="60" w:after="60"/>
      </w:pPr>
      <w:r>
        <w:t xml:space="preserve"/>
      </w:r>
    </w:p>
    <w:p>
      <w:pPr>
        <w:spacing w:before="80" w:after="20"/>
      </w:pPr>
      <w:r>
        <w:rPr>
          <w:rFonts w:ascii="Arial" w:cs="Arial" w:eastAsia="Arial" w:hAnsi="Arial"/>
          <w:b/>
          <w:bCs/>
          <w:color w:val="1F4E79"/>
          <w:sz w:val="19"/>
          <w:szCs w:val="19"/>
        </w:rPr>
        <w:t xml:space="preserve">Primary paper audited:</w:t>
      </w:r>
    </w:p>
    <w:p>
      <w:pPr>
        <w:spacing w:before="0" w:after="100" w:line="260"/>
      </w:pPr>
      <w:r>
        <w:rPr>
          <w:rFonts w:ascii="Arial" w:cs="Arial" w:eastAsia="Arial" w:hAnsi="Arial"/>
          <w:color w:val="666666"/>
          <w:sz w:val="17"/>
          <w:szCs w:val="17"/>
        </w:rPr>
        <w:t xml:space="preserve">Olujimi, P.A., Owolawi, P.A., Mogase, R.C., van Wyk, E. (2025). Agentic AI Frameworks in SMMEs: A Systematic Literature Review of Ecosystemic Interconnected Agents. AI (MDPI), 6(6), 123. DOI: 10.3390/ai6060123. Also available: preprints.org/manuscript/202504.1797</w:t>
      </w:r>
    </w:p>
    <w:p>
      <w:pPr>
        <w:spacing w:before="80" w:after="20"/>
      </w:pPr>
      <w:r>
        <w:rPr>
          <w:rFonts w:ascii="Arial" w:cs="Arial" w:eastAsia="Arial" w:hAnsi="Arial"/>
          <w:b/>
          <w:bCs/>
          <w:color w:val="1F4E79"/>
          <w:sz w:val="19"/>
          <w:szCs w:val="19"/>
        </w:rPr>
        <w:t xml:space="preserve">Companion and citing papers:</w:t>
      </w:r>
    </w:p>
    <w:p>
      <w:pPr>
        <w:spacing w:before="0" w:after="100" w:line="260"/>
      </w:pPr>
      <w:r>
        <w:rPr>
          <w:rFonts w:ascii="Arial" w:cs="Arial" w:eastAsia="Arial" w:hAnsi="Arial"/>
          <w:color w:val="666666"/>
          <w:sz w:val="17"/>
          <w:szCs w:val="17"/>
        </w:rPr>
        <w:t xml:space="preserve">Springer Discover AI (2025). Mapping the research landscape of agentic AI in SMMEs through bibliometric analysis. 214 studies, 2019-2025. — Sapkota, R. et al. (2025). AI Agents vs. Agentic AI: A Conceptual Taxonomy. Information Fusion. arXiv:2505.10468. — Preprints.org (2025). Agentic AI: A Review, Applications, and Open Research Challenges. arXiv:202512.0592. — arXiv (2025). The Rise of Agentic AI: A Comprehensive Survey. arXiv:2510.25445.</w:t>
      </w:r>
    </w:p>
    <w:p>
      <w:pPr>
        <w:spacing w:before="80" w:after="20"/>
      </w:pPr>
      <w:r>
        <w:rPr>
          <w:rFonts w:ascii="Arial" w:cs="Arial" w:eastAsia="Arial" w:hAnsi="Arial"/>
          <w:b/>
          <w:bCs/>
          <w:color w:val="1F4E79"/>
          <w:sz w:val="19"/>
          <w:szCs w:val="19"/>
        </w:rPr>
        <w:t xml:space="preserve">African AI and language cognition:</w:t>
      </w:r>
    </w:p>
    <w:p>
      <w:pPr>
        <w:spacing w:before="0" w:after="100" w:line="260"/>
      </w:pPr>
      <w:r>
        <w:rPr>
          <w:rFonts w:ascii="Arial" w:cs="Arial" w:eastAsia="Arial" w:hAnsi="Arial"/>
          <w:color w:val="666666"/>
          <w:sz w:val="17"/>
          <w:szCs w:val="17"/>
        </w:rPr>
        <w:t xml:space="preserve">Eglash, R. (1999). African Fractals. Rutgers UP. — Owomoyela, O. (2005). Yorùbá Proverbs. University of Nebraska Press. — Ehineni, T.O. (2016). Colombian Applied Linguistics Journal. — Bergen, B.K. (2012). Louder Than Words. Basic Books. — Mhlambi, S. (2020). From Rationality to Relationality. Harvard Carr Center. — Lewis, J.E. et al. (2024). Abundant Intelligences. Springer AI &amp; Society. — Adelani, D. et al. (2024). AfroBench. arXiv:2311.07978. — Agarwal, N. et al. (2025). CHI 2025.</w:t>
      </w:r>
    </w:p>
    <w:p>
      <w:pPr>
        <w:spacing w:before="80" w:after="20"/>
      </w:pPr>
      <w:r>
        <w:rPr>
          <w:rFonts w:ascii="Arial" w:cs="Arial" w:eastAsia="Arial" w:hAnsi="Arial"/>
          <w:b/>
          <w:bCs/>
          <w:color w:val="1F4E79"/>
          <w:sz w:val="19"/>
          <w:szCs w:val="19"/>
        </w:rPr>
        <w:t xml:space="preserve">Agentic AI frameworks cited:</w:t>
      </w:r>
    </w:p>
    <w:p>
      <w:pPr>
        <w:spacing w:before="0" w:after="100" w:line="260"/>
      </w:pPr>
      <w:r>
        <w:rPr>
          <w:rFonts w:ascii="Arial" w:cs="Arial" w:eastAsia="Arial" w:hAnsi="Arial"/>
          <w:color w:val="666666"/>
          <w:sz w:val="17"/>
          <w:szCs w:val="17"/>
        </w:rPr>
        <w:t xml:space="preserve">Ki, J. et al. (2025). MACD: Multi-Agent Context Dialogue. arXiv:2601.12091. — OG-MAR (2025). arXiv:2601.21700. — LangChain documentation (2024). — AutoGen: Microsoft Research (2023). — Acharya, D.B. et al. (2025). Agentic AI: Autonomous Intelligence for Complex Goals. IEEE Access 13, 18912-18936.</w:t>
      </w:r>
    </w:p>
    <w:sectPr>
      <w:pgSz w:w="12240" w:h="15840"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2026-03-22T01:07:25.082Z</dcterms:created>
  <dcterms:modified xsi:type="dcterms:W3CDTF">2026-03-22T01:07:25.083Z</dcterms:modified>
</cp:coreProperties>
</file>

<file path=docProps/custom.xml><?xml version="1.0" encoding="utf-8"?>
<Properties xmlns="http://schemas.openxmlformats.org/officeDocument/2006/custom-properties" xmlns:vt="http://schemas.openxmlformats.org/officeDocument/2006/docPropsVTypes"/>
</file>