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53B17" w14:textId="5D8025DF" w:rsidR="006E3610" w:rsidRPr="006E3610" w:rsidRDefault="000869AC" w:rsidP="006E3610">
      <w:pPr>
        <w:rPr>
          <w:b/>
          <w:bCs/>
        </w:rPr>
      </w:pPr>
      <w:r>
        <w:rPr>
          <w:b/>
          <w:bCs/>
        </w:rPr>
        <w:br/>
      </w:r>
      <w:r w:rsidR="006E3610" w:rsidRPr="006E3610">
        <w:rPr>
          <w:b/>
          <w:bCs/>
        </w:rPr>
        <w:t>Maximising Renewable Energy Value Through Predictive Energy Portfolio Management</w:t>
      </w:r>
    </w:p>
    <w:p w14:paraId="5A48AB9C" w14:textId="77777777" w:rsidR="006E3610" w:rsidRPr="006E3610" w:rsidRDefault="006E3610" w:rsidP="006E3610">
      <w:r w:rsidRPr="006E3610">
        <w:t>How Integrum Helped a Leading Graphite Manufacturer Transform Renewable Energy Variability into Commercial Advantage</w:t>
      </w:r>
    </w:p>
    <w:p w14:paraId="30EC59BD" w14:textId="1F8DA7C5" w:rsidR="006E3610" w:rsidRPr="006E3610" w:rsidRDefault="006E3610" w:rsidP="006E3610"/>
    <w:p w14:paraId="763B67DF" w14:textId="77777777" w:rsidR="006E3610" w:rsidRPr="006E3610" w:rsidRDefault="006E3610" w:rsidP="006E3610">
      <w:pPr>
        <w:rPr>
          <w:b/>
          <w:bCs/>
        </w:rPr>
      </w:pPr>
      <w:r w:rsidRPr="006E3610">
        <w:rPr>
          <w:b/>
          <w:bCs/>
        </w:rPr>
        <w:t>Executive Summary</w:t>
      </w:r>
    </w:p>
    <w:p w14:paraId="600CC966" w14:textId="77777777" w:rsidR="006E3610" w:rsidRPr="006E3610" w:rsidRDefault="006E3610" w:rsidP="006E3610">
      <w:r w:rsidRPr="006E3610">
        <w:t>For energy-intensive manufacturing industries, renewable energy optimisation extends beyond installing generation assets—it requires continuously balancing generation, consumption, sourcing, and commercial opportunities throughout the asset lifecycle. Given the inherent variability of renewable energy generation, particularly wind power, organisations often experience periods of surplus generation as well as energy deficits that impact commercial performance.</w:t>
      </w:r>
    </w:p>
    <w:p w14:paraId="659743C4" w14:textId="70D78FF4" w:rsidR="006E3610" w:rsidRPr="006E3610" w:rsidRDefault="006E3610" w:rsidP="006E3610">
      <w:r w:rsidRPr="006E3610">
        <w:t>Integrum's SPARK methodology, enabled by its Energy Intelligence Platform, is built around this philosophy. Rather than treating renewable energy as a static generation asset, Integrum actively manages the customer's entire energy portfolio through predictive forecasting, operational optimisation, commercial decision-making, and lifecycle asset management.</w:t>
      </w:r>
    </w:p>
    <w:p w14:paraId="770F9DC0" w14:textId="77777777" w:rsidR="006E3610" w:rsidRPr="006E3610" w:rsidRDefault="006E3610" w:rsidP="006E3610">
      <w:r w:rsidRPr="006E3610">
        <w:t>This case study demonstrates how Integrum enabled a leading graphite manufacturer to maximise the commercial value of its existing wind assets by forecasting seasonal generation patterns, strategically monetising surplus energy during monsoon months, optimising energy sourcing during low-generation periods, and continuously managing plant performance throughout the operational lifecycle.</w:t>
      </w:r>
    </w:p>
    <w:p w14:paraId="2D23D001" w14:textId="1869EACA" w:rsidR="006E3610" w:rsidRPr="006E3610" w:rsidRDefault="006E3610" w:rsidP="006E3610"/>
    <w:p w14:paraId="6AA4D8CA" w14:textId="77777777" w:rsidR="006E3610" w:rsidRPr="006E3610" w:rsidRDefault="006E3610" w:rsidP="006E3610">
      <w:pPr>
        <w:rPr>
          <w:b/>
          <w:bCs/>
        </w:rPr>
      </w:pPr>
      <w:r w:rsidRPr="006E3610">
        <w:rPr>
          <w:b/>
          <w:bCs/>
        </w:rPr>
        <w:t>Customer Background</w:t>
      </w:r>
    </w:p>
    <w:p w14:paraId="0F615680" w14:textId="77777777" w:rsidR="006E3610" w:rsidRPr="006E3610" w:rsidRDefault="006E3610" w:rsidP="006E3610">
      <w:r w:rsidRPr="006E3610">
        <w:t>A leading graphite manufacturer operated a hybrid renewable energy portfolio comprising captive wind and solar assets to support its energy-intensive manufacturing operations. While solar generation provided stable daytime energy and compensated for lower wind generation during non-monsoon periods, the wind assets produced significantly higher generation during the monsoon season, resulting in periods of surplus renewable energy beyond the plant's consumption requirements.</w:t>
      </w:r>
    </w:p>
    <w:p w14:paraId="24C54338" w14:textId="562366D4" w:rsidR="006E3610" w:rsidRDefault="006E3610" w:rsidP="006E3610">
      <w:r w:rsidRPr="006E3610">
        <w:t xml:space="preserve">Recognising these seasonal generation patterns, the renewable energy portfolio was intentionally designed to maximise long-term commercial value rather than simply matching the plant's average annual consumption. The complementary wind-solar profile reduced seasonal variability; however, during periods of exceptionally high renewable generation, surplus energy remained available, while during certain low-generation periods, additional power was sourced from third-party suppliers. Integrum managed both scenarios by </w:t>
      </w:r>
      <w:r w:rsidRPr="006E3610">
        <w:lastRenderedPageBreak/>
        <w:t>monetising surplus renewable energy and assisting the customer in procuring deficit power, ensuring an optimised and commercially balanced energy portfolio throughout the year.</w:t>
      </w:r>
    </w:p>
    <w:p w14:paraId="7AB05F8B" w14:textId="77777777" w:rsidR="006E3610" w:rsidRPr="006E3610" w:rsidRDefault="006E3610" w:rsidP="006E3610"/>
    <w:p w14:paraId="3EB0885F" w14:textId="77777777" w:rsidR="006E3610" w:rsidRPr="006E3610" w:rsidRDefault="006E3610" w:rsidP="006E3610">
      <w:pPr>
        <w:rPr>
          <w:b/>
          <w:bCs/>
        </w:rPr>
      </w:pPr>
      <w:r w:rsidRPr="006E3610">
        <w:rPr>
          <w:b/>
          <w:bCs/>
        </w:rPr>
        <w:t>Business Challenge</w:t>
      </w:r>
    </w:p>
    <w:p w14:paraId="156C73DD" w14:textId="77777777" w:rsidR="006E3610" w:rsidRPr="006E3610" w:rsidRDefault="006E3610" w:rsidP="006E3610">
      <w:r w:rsidRPr="006E3610">
        <w:t>The customer faced four key challenges:</w:t>
      </w:r>
    </w:p>
    <w:p w14:paraId="7CA5A678" w14:textId="77777777" w:rsidR="006E3610" w:rsidRPr="006E3610" w:rsidRDefault="006E3610" w:rsidP="006E3610">
      <w:pPr>
        <w:numPr>
          <w:ilvl w:val="0"/>
          <w:numId w:val="5"/>
        </w:numPr>
      </w:pPr>
      <w:r w:rsidRPr="006E3610">
        <w:t xml:space="preserve">Managing significant seasonal variability in renewable energy generation. </w:t>
      </w:r>
    </w:p>
    <w:p w14:paraId="79F04AD8" w14:textId="77777777" w:rsidR="006E3610" w:rsidRPr="006E3610" w:rsidRDefault="006E3610" w:rsidP="006E3610">
      <w:pPr>
        <w:numPr>
          <w:ilvl w:val="0"/>
          <w:numId w:val="5"/>
        </w:numPr>
      </w:pPr>
      <w:r w:rsidRPr="006E3610">
        <w:t xml:space="preserve">Balancing renewable generation with changing plant consumption patterns throughout the year. </w:t>
      </w:r>
    </w:p>
    <w:p w14:paraId="1274270C" w14:textId="77777777" w:rsidR="006E3610" w:rsidRPr="006E3610" w:rsidRDefault="006E3610" w:rsidP="006E3610">
      <w:pPr>
        <w:numPr>
          <w:ilvl w:val="0"/>
          <w:numId w:val="5"/>
        </w:numPr>
      </w:pPr>
      <w:r w:rsidRPr="006E3610">
        <w:t xml:space="preserve">Monetising surplus renewable energy while ensuring reliable power availability during low-generation periods. </w:t>
      </w:r>
    </w:p>
    <w:p w14:paraId="0D0AC477" w14:textId="77777777" w:rsidR="006E3610" w:rsidRPr="006E3610" w:rsidRDefault="006E3610" w:rsidP="006E3610">
      <w:pPr>
        <w:numPr>
          <w:ilvl w:val="0"/>
          <w:numId w:val="5"/>
        </w:numPr>
      </w:pPr>
      <w:r w:rsidRPr="006E3610">
        <w:t xml:space="preserve">Maximising lifecycle value from existing renewable assets through continuous operational and commercial optimisation. </w:t>
      </w:r>
    </w:p>
    <w:p w14:paraId="711FB92F" w14:textId="74C82416" w:rsidR="006E3610" w:rsidRPr="006E3610" w:rsidRDefault="006E3610" w:rsidP="006E3610"/>
    <w:p w14:paraId="69102380" w14:textId="77777777" w:rsidR="006E3610" w:rsidRPr="006E3610" w:rsidRDefault="006E3610" w:rsidP="006E3610">
      <w:pPr>
        <w:rPr>
          <w:b/>
          <w:bCs/>
        </w:rPr>
      </w:pPr>
      <w:r w:rsidRPr="006E3610">
        <w:rPr>
          <w:b/>
          <w:bCs/>
        </w:rPr>
        <w:t>Integrum's Energy Intelligence Solution</w:t>
      </w:r>
    </w:p>
    <w:p w14:paraId="6A7C354E" w14:textId="77777777" w:rsidR="006E3610" w:rsidRPr="006E3610" w:rsidRDefault="006E3610" w:rsidP="006E3610">
      <w:r w:rsidRPr="006E3610">
        <w:t xml:space="preserve">Rather than managing renewable energy through conventional operational practices, Integrum adopted a predictive, intelligence-led approach built around the </w:t>
      </w:r>
      <w:r w:rsidRPr="006E3610">
        <w:rPr>
          <w:b/>
          <w:bCs/>
        </w:rPr>
        <w:t>Run &amp; Maintain (R)</w:t>
      </w:r>
      <w:r w:rsidRPr="006E3610">
        <w:t xml:space="preserve"> and </w:t>
      </w:r>
      <w:r w:rsidRPr="006E3610">
        <w:rPr>
          <w:b/>
          <w:bCs/>
        </w:rPr>
        <w:t>Keep Optimising (K)</w:t>
      </w:r>
      <w:r w:rsidRPr="006E3610">
        <w:t xml:space="preserve"> phases of its SPARK methodology.</w:t>
      </w:r>
    </w:p>
    <w:p w14:paraId="3A15D6F0" w14:textId="77777777" w:rsidR="006E3610" w:rsidRPr="006E3610" w:rsidRDefault="006E3610" w:rsidP="006E3610">
      <w:r w:rsidRPr="006E3610">
        <w:t>Through its Energy Intelligence Platform, Integrum continuously forecasts renewable generation, plant consumption, and seasonal energy availability by analysing historical generation patterns, weather data, operational performance, and consumption behaviour. These insights enable proactive operational and commercial decision-making across the customer's entire renewable energy portfolio.</w:t>
      </w:r>
    </w:p>
    <w:p w14:paraId="72E39AB6" w14:textId="77777777" w:rsidR="006E3610" w:rsidRPr="006E3610" w:rsidRDefault="006E3610" w:rsidP="006E3610">
      <w:r w:rsidRPr="006E3610">
        <w:t>The platform supports continuous optimisation by enabling:</w:t>
      </w:r>
    </w:p>
    <w:p w14:paraId="20B33D0B" w14:textId="77777777" w:rsidR="006E3610" w:rsidRPr="006E3610" w:rsidRDefault="006E3610" w:rsidP="006E3610">
      <w:pPr>
        <w:numPr>
          <w:ilvl w:val="0"/>
          <w:numId w:val="9"/>
        </w:numPr>
      </w:pPr>
      <w:r w:rsidRPr="006E3610">
        <w:t xml:space="preserve">Generation and consumption forecasting. </w:t>
      </w:r>
    </w:p>
    <w:p w14:paraId="17398B77" w14:textId="77777777" w:rsidR="006E3610" w:rsidRPr="006E3610" w:rsidRDefault="006E3610" w:rsidP="006E3610">
      <w:pPr>
        <w:numPr>
          <w:ilvl w:val="0"/>
          <w:numId w:val="9"/>
        </w:numPr>
      </w:pPr>
      <w:r w:rsidRPr="006E3610">
        <w:t xml:space="preserve">Consumption modulation by aligning higher manufacturing loads with periods of increased renewable energy generation. </w:t>
      </w:r>
    </w:p>
    <w:p w14:paraId="15A81E1D" w14:textId="77777777" w:rsidR="006E3610" w:rsidRPr="006E3610" w:rsidRDefault="006E3610" w:rsidP="006E3610">
      <w:pPr>
        <w:numPr>
          <w:ilvl w:val="0"/>
          <w:numId w:val="9"/>
        </w:numPr>
      </w:pPr>
      <w:r w:rsidRPr="006E3610">
        <w:t xml:space="preserve">Strategic sale of surplus renewable energy during high-generation monsoon months through Power Purchase Agreements (PPAs). </w:t>
      </w:r>
    </w:p>
    <w:p w14:paraId="6D97F5C1" w14:textId="77777777" w:rsidR="006E3610" w:rsidRPr="006E3610" w:rsidRDefault="006E3610" w:rsidP="006E3610">
      <w:pPr>
        <w:numPr>
          <w:ilvl w:val="0"/>
          <w:numId w:val="9"/>
        </w:numPr>
      </w:pPr>
      <w:r w:rsidRPr="006E3610">
        <w:t xml:space="preserve">Deficit power procurement from external suppliers during low-generation periods. </w:t>
      </w:r>
    </w:p>
    <w:p w14:paraId="79BBE84B" w14:textId="77777777" w:rsidR="006E3610" w:rsidRPr="006E3610" w:rsidRDefault="006E3610" w:rsidP="006E3610">
      <w:pPr>
        <w:numPr>
          <w:ilvl w:val="0"/>
          <w:numId w:val="9"/>
        </w:numPr>
      </w:pPr>
      <w:r w:rsidRPr="006E3610">
        <w:t xml:space="preserve">O&amp;M planning and plant uptime management. </w:t>
      </w:r>
    </w:p>
    <w:p w14:paraId="38CB76C3" w14:textId="77777777" w:rsidR="006E3610" w:rsidRPr="006E3610" w:rsidRDefault="006E3610" w:rsidP="006E3610">
      <w:pPr>
        <w:numPr>
          <w:ilvl w:val="0"/>
          <w:numId w:val="9"/>
        </w:numPr>
      </w:pPr>
      <w:r w:rsidRPr="006E3610">
        <w:t xml:space="preserve">Operational approvals, scheduling, settlements, and commercial reconciliation. </w:t>
      </w:r>
    </w:p>
    <w:p w14:paraId="7097F7DF" w14:textId="77777777" w:rsidR="006E3610" w:rsidRPr="006E3610" w:rsidRDefault="006E3610" w:rsidP="006E3610">
      <w:pPr>
        <w:numPr>
          <w:ilvl w:val="0"/>
          <w:numId w:val="9"/>
        </w:numPr>
      </w:pPr>
      <w:r w:rsidRPr="006E3610">
        <w:t xml:space="preserve">Regulatory monitoring, impact assessment, and advisory. </w:t>
      </w:r>
    </w:p>
    <w:p w14:paraId="110D0878" w14:textId="77777777" w:rsidR="006E3610" w:rsidRPr="006E3610" w:rsidRDefault="006E3610" w:rsidP="006E3610">
      <w:pPr>
        <w:numPr>
          <w:ilvl w:val="0"/>
          <w:numId w:val="9"/>
        </w:numPr>
      </w:pPr>
      <w:r w:rsidRPr="006E3610">
        <w:lastRenderedPageBreak/>
        <w:t xml:space="preserve">Insurance advisory and renewable asset risk management. </w:t>
      </w:r>
    </w:p>
    <w:p w14:paraId="3C0AB125" w14:textId="77777777" w:rsidR="006E3610" w:rsidRPr="006E3610" w:rsidRDefault="006E3610" w:rsidP="006E3610">
      <w:r w:rsidRPr="006E3610">
        <w:t>Rather than treating operations as routine asset maintenance, Integrum continuously optimises the customer's renewable energy portfolio to maximise commercial performance throughout the asset lifecycle.</w:t>
      </w:r>
    </w:p>
    <w:p w14:paraId="351A1608" w14:textId="7FA5A02D" w:rsidR="006E3610" w:rsidRPr="006E3610" w:rsidRDefault="006E3610" w:rsidP="006E3610"/>
    <w:p w14:paraId="44CC06C6" w14:textId="77777777" w:rsidR="006E3610" w:rsidRPr="006E3610" w:rsidRDefault="006E3610" w:rsidP="006E3610">
      <w:pPr>
        <w:rPr>
          <w:b/>
          <w:bCs/>
        </w:rPr>
      </w:pPr>
      <w:r w:rsidRPr="006E3610">
        <w:rPr>
          <w:b/>
          <w:bCs/>
        </w:rPr>
        <w:t>Business Value Delivered</w:t>
      </w:r>
    </w:p>
    <w:p w14:paraId="622CB9E9" w14:textId="77777777" w:rsidR="006E3610" w:rsidRPr="006E3610" w:rsidRDefault="006E3610" w:rsidP="006E3610">
      <w:r w:rsidRPr="006E3610">
        <w:t>The project generated measurable value by transforming renewable energy variability into a commercially optimised energy portfolio.</w:t>
      </w:r>
    </w:p>
    <w:p w14:paraId="68E513A2" w14:textId="77777777" w:rsidR="006E3610" w:rsidRPr="006E3610" w:rsidRDefault="006E3610" w:rsidP="006E3610">
      <w:pPr>
        <w:rPr>
          <w:b/>
          <w:bCs/>
        </w:rPr>
      </w:pPr>
      <w:r w:rsidRPr="006E3610">
        <w:rPr>
          <w:b/>
          <w:bCs/>
        </w:rPr>
        <w:t>Commercial Value</w:t>
      </w:r>
    </w:p>
    <w:p w14:paraId="77E6DDB5" w14:textId="77777777" w:rsidR="006E3610" w:rsidRDefault="006E3610" w:rsidP="006E3610">
      <w:pPr>
        <w:pStyle w:val="ListParagraph"/>
        <w:numPr>
          <w:ilvl w:val="0"/>
          <w:numId w:val="10"/>
        </w:numPr>
      </w:pPr>
      <w:r>
        <w:t>Enabled strategic sale of surplus renewable energy during high-generation monsoon periods through Power Purchase Agreements.</w:t>
      </w:r>
    </w:p>
    <w:p w14:paraId="6ED45180" w14:textId="77777777" w:rsidR="006E3610" w:rsidRDefault="006E3610" w:rsidP="006E3610">
      <w:pPr>
        <w:pStyle w:val="ListParagraph"/>
        <w:numPr>
          <w:ilvl w:val="0"/>
          <w:numId w:val="10"/>
        </w:numPr>
      </w:pPr>
      <w:r>
        <w:t>Converted surplus renewable energy into an additional revenue stream instead of allowing excess generation to lapse or remain underutilised.</w:t>
      </w:r>
    </w:p>
    <w:p w14:paraId="6247994E" w14:textId="77777777" w:rsidR="006E3610" w:rsidRDefault="006E3610" w:rsidP="006E3610">
      <w:pPr>
        <w:pStyle w:val="ListParagraph"/>
        <w:numPr>
          <w:ilvl w:val="0"/>
          <w:numId w:val="10"/>
        </w:numPr>
      </w:pPr>
      <w:r>
        <w:t>Optimised deficit power procurement during low-generation seasons, reducing overall sourcing costs.</w:t>
      </w:r>
    </w:p>
    <w:p w14:paraId="7D5049AA" w14:textId="77777777" w:rsidR="006E3610" w:rsidRDefault="006E3610" w:rsidP="006E3610">
      <w:pPr>
        <w:pStyle w:val="ListParagraph"/>
        <w:numPr>
          <w:ilvl w:val="0"/>
          <w:numId w:val="10"/>
        </w:numPr>
      </w:pPr>
      <w:r>
        <w:t>Maximised commercial returns from the customer's existing renewable energy portfolio through continuous operational optimisation.</w:t>
      </w:r>
    </w:p>
    <w:p w14:paraId="623F3326" w14:textId="44835492" w:rsidR="006E3610" w:rsidRPr="006E3610" w:rsidRDefault="006E3610" w:rsidP="006E3610">
      <w:pPr>
        <w:rPr>
          <w:b/>
          <w:bCs/>
        </w:rPr>
      </w:pPr>
      <w:r w:rsidRPr="006E3610">
        <w:rPr>
          <w:b/>
          <w:bCs/>
        </w:rPr>
        <w:t>Operational Value</w:t>
      </w:r>
    </w:p>
    <w:p w14:paraId="2D9A1B56" w14:textId="77777777" w:rsidR="006E3610" w:rsidRPr="006E3610" w:rsidRDefault="006E3610" w:rsidP="006E3610">
      <w:pPr>
        <w:numPr>
          <w:ilvl w:val="0"/>
          <w:numId w:val="7"/>
        </w:numPr>
      </w:pPr>
      <w:r w:rsidRPr="006E3610">
        <w:t xml:space="preserve">Achieved approximately </w:t>
      </w:r>
      <w:r w:rsidRPr="006E3610">
        <w:rPr>
          <w:b/>
          <w:bCs/>
        </w:rPr>
        <w:t>80–85% renewable energy replacement</w:t>
      </w:r>
      <w:r w:rsidRPr="006E3610">
        <w:t xml:space="preserve"> across manufacturing operations. </w:t>
      </w:r>
    </w:p>
    <w:p w14:paraId="0C17869D" w14:textId="77777777" w:rsidR="006E3610" w:rsidRPr="006E3610" w:rsidRDefault="006E3610" w:rsidP="006E3610">
      <w:pPr>
        <w:numPr>
          <w:ilvl w:val="0"/>
          <w:numId w:val="7"/>
        </w:numPr>
      </w:pPr>
      <w:r w:rsidRPr="006E3610">
        <w:t xml:space="preserve">Forecasted renewable generation and plant consumption to support proactive operational planning. </w:t>
      </w:r>
    </w:p>
    <w:p w14:paraId="7D93FCBD" w14:textId="77777777" w:rsidR="006E3610" w:rsidRPr="006E3610" w:rsidRDefault="006E3610" w:rsidP="006E3610">
      <w:pPr>
        <w:numPr>
          <w:ilvl w:val="0"/>
          <w:numId w:val="7"/>
        </w:numPr>
      </w:pPr>
      <w:r w:rsidRPr="006E3610">
        <w:t xml:space="preserve">Enabled consumption modulation by aligning higher manufacturing loads with periods of increased renewable energy availability. </w:t>
      </w:r>
    </w:p>
    <w:p w14:paraId="3153D858" w14:textId="77777777" w:rsidR="006E3610" w:rsidRPr="006E3610" w:rsidRDefault="006E3610" w:rsidP="006E3610">
      <w:pPr>
        <w:numPr>
          <w:ilvl w:val="0"/>
          <w:numId w:val="7"/>
        </w:numPr>
      </w:pPr>
      <w:r w:rsidRPr="006E3610">
        <w:t xml:space="preserve">Improved plant uptime through continuous monitoring, predictive operations, and integrated O&amp;M management. </w:t>
      </w:r>
    </w:p>
    <w:p w14:paraId="789F8135" w14:textId="77777777" w:rsidR="006E3610" w:rsidRPr="006E3610" w:rsidRDefault="006E3610" w:rsidP="006E3610">
      <w:pPr>
        <w:numPr>
          <w:ilvl w:val="0"/>
          <w:numId w:val="7"/>
        </w:numPr>
      </w:pPr>
      <w:r w:rsidRPr="006E3610">
        <w:t xml:space="preserve">Digitised scheduling, approvals, settlements, and operational workflows, improving execution efficiency. </w:t>
      </w:r>
    </w:p>
    <w:p w14:paraId="1A2CB4E9" w14:textId="77777777" w:rsidR="006E3610" w:rsidRPr="006E3610" w:rsidRDefault="006E3610" w:rsidP="006E3610">
      <w:pPr>
        <w:rPr>
          <w:b/>
          <w:bCs/>
        </w:rPr>
      </w:pPr>
      <w:r w:rsidRPr="006E3610">
        <w:rPr>
          <w:b/>
          <w:bCs/>
        </w:rPr>
        <w:t>Strategic Value</w:t>
      </w:r>
    </w:p>
    <w:p w14:paraId="4024FC6D" w14:textId="77777777" w:rsidR="006E3610" w:rsidRPr="006E3610" w:rsidRDefault="006E3610" w:rsidP="006E3610">
      <w:pPr>
        <w:numPr>
          <w:ilvl w:val="0"/>
          <w:numId w:val="8"/>
        </w:numPr>
      </w:pPr>
      <w:r w:rsidRPr="006E3610">
        <w:t xml:space="preserve">Delivered continuous regulatory monitoring, impact assessment, and advisory support for changing renewable energy policies. </w:t>
      </w:r>
    </w:p>
    <w:p w14:paraId="65F4BAC3" w14:textId="77777777" w:rsidR="006E3610" w:rsidRPr="006E3610" w:rsidRDefault="006E3610" w:rsidP="006E3610">
      <w:pPr>
        <w:numPr>
          <w:ilvl w:val="0"/>
          <w:numId w:val="8"/>
        </w:numPr>
      </w:pPr>
      <w:r w:rsidRPr="006E3610">
        <w:t xml:space="preserve">Enabled insurance advisory and lifecycle asset risk management. </w:t>
      </w:r>
    </w:p>
    <w:p w14:paraId="78ADAA85" w14:textId="77777777" w:rsidR="006E3610" w:rsidRPr="006E3610" w:rsidRDefault="006E3610" w:rsidP="006E3610">
      <w:pPr>
        <w:numPr>
          <w:ilvl w:val="0"/>
          <w:numId w:val="8"/>
        </w:numPr>
      </w:pPr>
      <w:r w:rsidRPr="006E3610">
        <w:lastRenderedPageBreak/>
        <w:t xml:space="preserve">Established a predictive energy management framework combining generation forecasting, sourcing optimisation, commercial settlements, and asset performance management. </w:t>
      </w:r>
    </w:p>
    <w:p w14:paraId="260592F7" w14:textId="79A47E05" w:rsidR="006E3610" w:rsidRPr="006E3610" w:rsidRDefault="006E3610" w:rsidP="006E3610">
      <w:pPr>
        <w:numPr>
          <w:ilvl w:val="0"/>
          <w:numId w:val="8"/>
        </w:numPr>
      </w:pPr>
      <w:r w:rsidRPr="006E3610">
        <w:t xml:space="preserve">Positioned renewable energy as an actively managed commercial portfolio rather than a standalone generation asset. </w:t>
      </w:r>
    </w:p>
    <w:p w14:paraId="3EE3D2D1" w14:textId="77777777" w:rsidR="006E3610" w:rsidRPr="006E3610" w:rsidRDefault="006E3610" w:rsidP="006E3610">
      <w:pPr>
        <w:rPr>
          <w:b/>
          <w:bCs/>
        </w:rPr>
      </w:pPr>
      <w:r w:rsidRPr="006E3610">
        <w:rPr>
          <w:b/>
          <w:bCs/>
        </w:rPr>
        <w:t>Conclusion</w:t>
      </w:r>
    </w:p>
    <w:p w14:paraId="451B6189" w14:textId="77777777" w:rsidR="006E3610" w:rsidRPr="006E3610" w:rsidRDefault="006E3610" w:rsidP="006E3610">
      <w:r w:rsidRPr="006E3610">
        <w:t>This project demonstrates Integrum's philosophy of managing renewable energy as a dynamic business asset rather than a static infrastructure investment. By combining predictive intelligence with continuous operational and commercial management, Integrum enabled the customer to maximise renewable energy utilisation, monetise seasonal surplus generation, optimise energy procurement during deficit periods, and improve overall project economics.</w:t>
      </w:r>
    </w:p>
    <w:p w14:paraId="467994CB" w14:textId="77777777" w:rsidR="006E3610" w:rsidRPr="006E3610" w:rsidRDefault="006E3610" w:rsidP="006E3610">
      <w:r w:rsidRPr="006E3610">
        <w:t xml:space="preserve">The case highlights the essence of Integrum's </w:t>
      </w:r>
      <w:r w:rsidRPr="006E3610">
        <w:rPr>
          <w:b/>
          <w:bCs/>
        </w:rPr>
        <w:t>SPARK Energy Management Framework</w:t>
      </w:r>
      <w:r w:rsidRPr="006E3610">
        <w:t>—where forecasting, operations, commercial optimisation, regulatory advisory, and asset management operate as a unified lifecycle solution. Rather than simply delivering renewable energy projects, Integrum serves as an end-to-end Energy Manager, continuously helping customers optimise energy sourcing, maximise renewable asset performance, manage commercial transactions, and unlock greater long-term value from their entire energy ecosystem.</w:t>
      </w:r>
    </w:p>
    <w:p w14:paraId="52E893AD" w14:textId="769AB20F" w:rsidR="0059044D" w:rsidRPr="006E3610" w:rsidRDefault="0059044D" w:rsidP="006E3610"/>
    <w:sectPr w:rsidR="0059044D" w:rsidRPr="006E3610">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15D09" w14:textId="77777777" w:rsidR="00400318" w:rsidRDefault="00400318" w:rsidP="009F7627">
      <w:pPr>
        <w:spacing w:after="0" w:line="240" w:lineRule="auto"/>
      </w:pPr>
      <w:r>
        <w:separator/>
      </w:r>
    </w:p>
  </w:endnote>
  <w:endnote w:type="continuationSeparator" w:id="0">
    <w:p w14:paraId="1396DC77" w14:textId="77777777" w:rsidR="00400318" w:rsidRDefault="00400318" w:rsidP="009F76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4605A" w14:textId="77777777" w:rsidR="009830EE" w:rsidRDefault="009830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0994057"/>
      <w:docPartObj>
        <w:docPartGallery w:val="Page Numbers (Bottom of Page)"/>
        <w:docPartUnique/>
      </w:docPartObj>
    </w:sdtPr>
    <w:sdtEndPr>
      <w:rPr>
        <w:noProof/>
      </w:rPr>
    </w:sdtEndPr>
    <w:sdtContent>
      <w:p w14:paraId="4CE8A64E" w14:textId="20AC4DDB" w:rsidR="009F7627" w:rsidRDefault="009F762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60923F5" w14:textId="77777777" w:rsidR="009F7627" w:rsidRDefault="009F762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0BBF1" w14:textId="77777777" w:rsidR="009830EE" w:rsidRDefault="009830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540B90" w14:textId="77777777" w:rsidR="00400318" w:rsidRDefault="00400318" w:rsidP="009F7627">
      <w:pPr>
        <w:spacing w:after="0" w:line="240" w:lineRule="auto"/>
      </w:pPr>
      <w:r>
        <w:separator/>
      </w:r>
    </w:p>
  </w:footnote>
  <w:footnote w:type="continuationSeparator" w:id="0">
    <w:p w14:paraId="0C4B31A1" w14:textId="77777777" w:rsidR="00400318" w:rsidRDefault="00400318" w:rsidP="009F76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D25E2" w14:textId="77777777" w:rsidR="009830EE" w:rsidRDefault="009830E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78629" w14:textId="7D228484" w:rsidR="000869AC" w:rsidRPr="000869AC" w:rsidRDefault="009830EE" w:rsidP="009830EE">
    <w:pPr>
      <w:pStyle w:val="Header"/>
      <w:tabs>
        <w:tab w:val="left" w:pos="2640"/>
        <w:tab w:val="center" w:pos="4167"/>
      </w:tabs>
    </w:pPr>
    <w:r>
      <w:tab/>
    </w:r>
    <w:r>
      <w:tab/>
    </w:r>
    <w:r w:rsidR="000869AC" w:rsidRPr="000869AC">
      <w:drawing>
        <wp:anchor distT="0" distB="0" distL="114300" distR="114300" simplePos="0" relativeHeight="251658240" behindDoc="1" locked="0" layoutInCell="1" allowOverlap="1" wp14:anchorId="27C7A46D" wp14:editId="7781603B">
          <wp:simplePos x="0" y="0"/>
          <wp:positionH relativeFrom="page">
            <wp:posOffset>6252482</wp:posOffset>
          </wp:positionH>
          <wp:positionV relativeFrom="paragraph">
            <wp:posOffset>-413385</wp:posOffset>
          </wp:positionV>
          <wp:extent cx="1302385" cy="718185"/>
          <wp:effectExtent l="0" t="0" r="0" b="0"/>
          <wp:wrapTight wrapText="bothSides">
            <wp:wrapPolygon edited="0">
              <wp:start x="3791" y="4011"/>
              <wp:lineTo x="2212" y="5729"/>
              <wp:lineTo x="948" y="9740"/>
              <wp:lineTo x="1264" y="14324"/>
              <wp:lineTo x="3159" y="16615"/>
              <wp:lineTo x="3791" y="17761"/>
              <wp:lineTo x="5371" y="17761"/>
              <wp:lineTo x="20220" y="14897"/>
              <wp:lineTo x="20852" y="7448"/>
              <wp:lineTo x="19273" y="6875"/>
              <wp:lineTo x="5371" y="4011"/>
              <wp:lineTo x="3791" y="4011"/>
            </wp:wrapPolygon>
          </wp:wrapTight>
          <wp:docPr id="21461350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2385" cy="7181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869AC">
      <w:t>Business Case</w:t>
    </w:r>
  </w:p>
  <w:p w14:paraId="7648B313" w14:textId="77777777" w:rsidR="000869AC" w:rsidRDefault="000869A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0AFD3" w14:textId="77777777" w:rsidR="009830EE" w:rsidRDefault="009830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91F95"/>
    <w:multiLevelType w:val="multilevel"/>
    <w:tmpl w:val="B4EA0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D3044C"/>
    <w:multiLevelType w:val="hybridMultilevel"/>
    <w:tmpl w:val="1CCAE1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B8163A9"/>
    <w:multiLevelType w:val="multilevel"/>
    <w:tmpl w:val="1DE41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0B605C"/>
    <w:multiLevelType w:val="multilevel"/>
    <w:tmpl w:val="CB062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4225CF"/>
    <w:multiLevelType w:val="multilevel"/>
    <w:tmpl w:val="84F07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4C3C13"/>
    <w:multiLevelType w:val="multilevel"/>
    <w:tmpl w:val="B33A4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A408FB"/>
    <w:multiLevelType w:val="multilevel"/>
    <w:tmpl w:val="79CC0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0F05F3"/>
    <w:multiLevelType w:val="multilevel"/>
    <w:tmpl w:val="CB40F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A04795"/>
    <w:multiLevelType w:val="multilevel"/>
    <w:tmpl w:val="AE50C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3A5ADA"/>
    <w:multiLevelType w:val="multilevel"/>
    <w:tmpl w:val="5B2AD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489868">
    <w:abstractNumId w:val="2"/>
  </w:num>
  <w:num w:numId="2" w16cid:durableId="119037998">
    <w:abstractNumId w:val="3"/>
  </w:num>
  <w:num w:numId="3" w16cid:durableId="232088877">
    <w:abstractNumId w:val="8"/>
  </w:num>
  <w:num w:numId="4" w16cid:durableId="1050885036">
    <w:abstractNumId w:val="4"/>
  </w:num>
  <w:num w:numId="5" w16cid:durableId="1514874304">
    <w:abstractNumId w:val="6"/>
  </w:num>
  <w:num w:numId="6" w16cid:durableId="633027414">
    <w:abstractNumId w:val="7"/>
  </w:num>
  <w:num w:numId="7" w16cid:durableId="47262702">
    <w:abstractNumId w:val="0"/>
  </w:num>
  <w:num w:numId="8" w16cid:durableId="101848843">
    <w:abstractNumId w:val="9"/>
  </w:num>
  <w:num w:numId="9" w16cid:durableId="1398286474">
    <w:abstractNumId w:val="5"/>
  </w:num>
  <w:num w:numId="10" w16cid:durableId="11077769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1D9"/>
    <w:rsid w:val="00071B59"/>
    <w:rsid w:val="000869AC"/>
    <w:rsid w:val="000C71D9"/>
    <w:rsid w:val="003C566A"/>
    <w:rsid w:val="00400318"/>
    <w:rsid w:val="00542891"/>
    <w:rsid w:val="0059044D"/>
    <w:rsid w:val="00681B27"/>
    <w:rsid w:val="006E3610"/>
    <w:rsid w:val="009830EE"/>
    <w:rsid w:val="009C6E8B"/>
    <w:rsid w:val="009F7627"/>
    <w:rsid w:val="00C83E9D"/>
    <w:rsid w:val="00D528F5"/>
    <w:rsid w:val="00E75EED"/>
    <w:rsid w:val="00EC37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965CA"/>
  <w15:chartTrackingRefBased/>
  <w15:docId w15:val="{F8474849-68C0-4530-96C6-8D53CB3EB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71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71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71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71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71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71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71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71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71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71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71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71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71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71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71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71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71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71D9"/>
    <w:rPr>
      <w:rFonts w:eastAsiaTheme="majorEastAsia" w:cstheme="majorBidi"/>
      <w:color w:val="272727" w:themeColor="text1" w:themeTint="D8"/>
    </w:rPr>
  </w:style>
  <w:style w:type="paragraph" w:styleId="Title">
    <w:name w:val="Title"/>
    <w:basedOn w:val="Normal"/>
    <w:next w:val="Normal"/>
    <w:link w:val="TitleChar"/>
    <w:uiPriority w:val="10"/>
    <w:qFormat/>
    <w:rsid w:val="000C71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71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71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71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71D9"/>
    <w:pPr>
      <w:spacing w:before="160"/>
      <w:jc w:val="center"/>
    </w:pPr>
    <w:rPr>
      <w:i/>
      <w:iCs/>
      <w:color w:val="404040" w:themeColor="text1" w:themeTint="BF"/>
    </w:rPr>
  </w:style>
  <w:style w:type="character" w:customStyle="1" w:styleId="QuoteChar">
    <w:name w:val="Quote Char"/>
    <w:basedOn w:val="DefaultParagraphFont"/>
    <w:link w:val="Quote"/>
    <w:uiPriority w:val="29"/>
    <w:rsid w:val="000C71D9"/>
    <w:rPr>
      <w:i/>
      <w:iCs/>
      <w:color w:val="404040" w:themeColor="text1" w:themeTint="BF"/>
    </w:rPr>
  </w:style>
  <w:style w:type="paragraph" w:styleId="ListParagraph">
    <w:name w:val="List Paragraph"/>
    <w:basedOn w:val="Normal"/>
    <w:uiPriority w:val="34"/>
    <w:qFormat/>
    <w:rsid w:val="000C71D9"/>
    <w:pPr>
      <w:ind w:left="720"/>
      <w:contextualSpacing/>
    </w:pPr>
  </w:style>
  <w:style w:type="character" w:styleId="IntenseEmphasis">
    <w:name w:val="Intense Emphasis"/>
    <w:basedOn w:val="DefaultParagraphFont"/>
    <w:uiPriority w:val="21"/>
    <w:qFormat/>
    <w:rsid w:val="000C71D9"/>
    <w:rPr>
      <w:i/>
      <w:iCs/>
      <w:color w:val="2F5496" w:themeColor="accent1" w:themeShade="BF"/>
    </w:rPr>
  </w:style>
  <w:style w:type="paragraph" w:styleId="IntenseQuote">
    <w:name w:val="Intense Quote"/>
    <w:basedOn w:val="Normal"/>
    <w:next w:val="Normal"/>
    <w:link w:val="IntenseQuoteChar"/>
    <w:uiPriority w:val="30"/>
    <w:qFormat/>
    <w:rsid w:val="000C71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71D9"/>
    <w:rPr>
      <w:i/>
      <w:iCs/>
      <w:color w:val="2F5496" w:themeColor="accent1" w:themeShade="BF"/>
    </w:rPr>
  </w:style>
  <w:style w:type="character" w:styleId="IntenseReference">
    <w:name w:val="Intense Reference"/>
    <w:basedOn w:val="DefaultParagraphFont"/>
    <w:uiPriority w:val="32"/>
    <w:qFormat/>
    <w:rsid w:val="000C71D9"/>
    <w:rPr>
      <w:b/>
      <w:bCs/>
      <w:smallCaps/>
      <w:color w:val="2F5496" w:themeColor="accent1" w:themeShade="BF"/>
      <w:spacing w:val="5"/>
    </w:rPr>
  </w:style>
  <w:style w:type="paragraph" w:styleId="Header">
    <w:name w:val="header"/>
    <w:basedOn w:val="Normal"/>
    <w:link w:val="HeaderChar"/>
    <w:uiPriority w:val="99"/>
    <w:unhideWhenUsed/>
    <w:rsid w:val="009F7627"/>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7627"/>
  </w:style>
  <w:style w:type="paragraph" w:styleId="Footer">
    <w:name w:val="footer"/>
    <w:basedOn w:val="Normal"/>
    <w:link w:val="FooterChar"/>
    <w:uiPriority w:val="99"/>
    <w:unhideWhenUsed/>
    <w:rsid w:val="009F7627"/>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76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1090</Words>
  <Characters>6219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 Kumar</dc:creator>
  <cp:keywords/>
  <dc:description/>
  <cp:lastModifiedBy>Koushal Lahoti</cp:lastModifiedBy>
  <cp:revision>5</cp:revision>
  <dcterms:created xsi:type="dcterms:W3CDTF">2026-07-27T11:57:00Z</dcterms:created>
  <dcterms:modified xsi:type="dcterms:W3CDTF">2026-07-29T05:23:00Z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f9210ee0-5e7e-44e0-bd5c-1c7fa9e64d7c</vt:lpwstr>
  </property>
</Properties>
</file>