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A0787D">
      <w:pPr>
        <w:pStyle w:val="2"/>
      </w:pPr>
      <w:r>
        <w:t>Manager / Senior Manager / Head – Power Sales &amp; Trading</w:t>
      </w:r>
    </w:p>
    <w:p w14:paraId="01AAC4B4"/>
    <w:p w14:paraId="723B1F89">
      <w:r>
        <w:t xml:space="preserve">Department: Power sales, Trading &amp; Energy Management </w:t>
      </w:r>
    </w:p>
    <w:p w14:paraId="6135B996">
      <w:r>
        <w:t>Reports to: CXO group</w:t>
      </w:r>
    </w:p>
    <w:p w14:paraId="651DA235">
      <w:pPr>
        <w:pStyle w:val="3"/>
      </w:pPr>
      <w:r>
        <w:t>Company Overview</w:t>
      </w:r>
    </w:p>
    <w:p w14:paraId="3CE4A89D">
      <w:r>
        <w:t>Integrum Energy Infrastructure Limited (IEIL) is a leading renewable-energy solutions provider focused on wind, solar, hybrid projects for industrial and commercial consumers across India. It also actively works with its clients for their power management and trading requirements.</w:t>
      </w:r>
      <w:r>
        <w:br w:type="textWrapping"/>
      </w:r>
      <w:r>
        <w:br w:type="textWrapping"/>
      </w:r>
      <w:r>
        <w:t>As part of its digital transformation, Integrum is also developing a Power Management &amp; Trading Platform (“PowerEdge”) that integrates forecasting, scheduling, portfolio optimisation, settlement automation, and analytics for client portfolios. This role is central to scaling Integrum’s power trading and the energy management platform as the backbone of Integrum’s power-sales and trading business.</w:t>
      </w:r>
    </w:p>
    <w:p w14:paraId="2B257550">
      <w:pPr>
        <w:pStyle w:val="3"/>
      </w:pPr>
      <w:r>
        <w:t>Role Purpose</w:t>
      </w:r>
    </w:p>
    <w:p w14:paraId="57125594">
      <w:r>
        <w:t>The incumbent will lead power-sales origination, trading operations, and digital energy-management using the Integrum PowerEdge platform. The role blends commercial, analytical, and technological capabilities to optimize trading performance, client savings, and platform adoption.</w:t>
      </w:r>
    </w:p>
    <w:p w14:paraId="7569EE99">
      <w:pPr>
        <w:pStyle w:val="3"/>
      </w:pPr>
      <w:r>
        <w:t>Key Responsibilities</w:t>
      </w:r>
    </w:p>
    <w:p w14:paraId="7BF349A2">
      <w:pPr>
        <w:pStyle w:val="4"/>
      </w:pPr>
      <w:r>
        <w:t>1. Power Sales &amp; Origination</w:t>
      </w:r>
    </w:p>
    <w:p w14:paraId="6320BF0A">
      <w:pPr>
        <w:pStyle w:val="147"/>
        <w:numPr>
          <w:ilvl w:val="0"/>
          <w:numId w:val="7"/>
        </w:numPr>
      </w:pPr>
      <w:r>
        <w:t>Identify and close power-sourcing opportunities under group-captive, bilateral, exchange, or virtual-PPA models.</w:t>
      </w:r>
    </w:p>
    <w:p w14:paraId="1AA5BFA1">
      <w:pPr>
        <w:pStyle w:val="147"/>
        <w:numPr>
          <w:ilvl w:val="0"/>
          <w:numId w:val="7"/>
        </w:numPr>
      </w:pPr>
      <w:r>
        <w:t xml:space="preserve">Engage with industrial and commercial clients to offer </w:t>
      </w:r>
      <w:r>
        <w:rPr>
          <w:rStyle w:val="37"/>
        </w:rPr>
        <w:t>renewable power-supply and cost-optimisation</w:t>
      </w:r>
      <w:r>
        <w:t xml:space="preserve"> solutions. </w:t>
      </w:r>
    </w:p>
    <w:p w14:paraId="6419000B">
      <w:pPr>
        <w:pStyle w:val="147"/>
        <w:numPr>
          <w:ilvl w:val="0"/>
          <w:numId w:val="7"/>
        </w:numPr>
      </w:pPr>
      <w:r>
        <w:t>Structure and negotiate commercial offers considering tariff benchmarks, open-access charges, and RE mix.</w:t>
      </w:r>
    </w:p>
    <w:p w14:paraId="757FE2C7">
      <w:pPr>
        <w:pStyle w:val="147"/>
        <w:numPr>
          <w:ilvl w:val="0"/>
          <w:numId w:val="7"/>
        </w:numPr>
      </w:pPr>
      <w:r>
        <w:t>Manage client engagement from proposal through execution, ensuring compliance with open-access and regulatory frameworks.</w:t>
      </w:r>
    </w:p>
    <w:p w14:paraId="3F5CB4D4">
      <w:pPr>
        <w:pStyle w:val="147"/>
        <w:numPr>
          <w:ilvl w:val="0"/>
          <w:numId w:val="7"/>
        </w:numPr>
      </w:pPr>
      <w:r>
        <w:t>Liaise with legal, finance, and asset-operations teams for seamless deal delivery.</w:t>
      </w:r>
    </w:p>
    <w:p w14:paraId="6291EEEC">
      <w:pPr>
        <w:pStyle w:val="4"/>
      </w:pPr>
      <w:r>
        <w:t>2. Trading &amp; Portfolio Management</w:t>
      </w:r>
    </w:p>
    <w:p w14:paraId="080D23F4">
      <w:pPr>
        <w:pStyle w:val="147"/>
        <w:numPr>
          <w:ilvl w:val="0"/>
          <w:numId w:val="7"/>
        </w:numPr>
      </w:pPr>
      <w:r>
        <w:t>Execute trades on IEX/PXIL and through OTC bilateral contracts to optimise Integrum’s and clients’ portfolios.</w:t>
      </w:r>
    </w:p>
    <w:p w14:paraId="45B1CEA6">
      <w:pPr>
        <w:pStyle w:val="147"/>
        <w:numPr>
          <w:ilvl w:val="0"/>
          <w:numId w:val="7"/>
        </w:numPr>
      </w:pPr>
      <w:r>
        <w:t>Use PowerEdge dashboards to monitor day-ahead and real-time positions, DSM exposure, congestion, and deviation costs.</w:t>
      </w:r>
    </w:p>
    <w:p w14:paraId="75BFAFBD">
      <w:pPr>
        <w:pStyle w:val="147"/>
        <w:numPr>
          <w:ilvl w:val="0"/>
          <w:numId w:val="7"/>
        </w:numPr>
      </w:pPr>
      <w:r>
        <w:t>Manage scheduling, forecasting, and balancing obligations for captive and third-party clients.</w:t>
      </w:r>
    </w:p>
    <w:p w14:paraId="749A68CF">
      <w:pPr>
        <w:pStyle w:val="147"/>
        <w:numPr>
          <w:ilvl w:val="0"/>
          <w:numId w:val="7"/>
        </w:numPr>
      </w:pPr>
      <w:r>
        <w:t xml:space="preserve">Work on optimizing the green certificate and carbon trading opportunities for clients. </w:t>
      </w:r>
    </w:p>
    <w:p w14:paraId="1387BFA2">
      <w:pPr>
        <w:pStyle w:val="147"/>
        <w:numPr>
          <w:ilvl w:val="0"/>
          <w:numId w:val="7"/>
        </w:numPr>
      </w:pPr>
      <w:r>
        <w:t>Continuously identify margin-improvement and cost-saving opportunities.</w:t>
      </w:r>
    </w:p>
    <w:p w14:paraId="59CF72E8">
      <w:pPr>
        <w:pStyle w:val="4"/>
      </w:pPr>
      <w:r>
        <w:t>3. Platform Development and digital transition – Integrum PowerEdge</w:t>
      </w:r>
    </w:p>
    <w:p w14:paraId="3BBBE38B">
      <w:pPr>
        <w:pStyle w:val="36"/>
        <w:numPr>
          <w:ilvl w:val="0"/>
          <w:numId w:val="8"/>
        </w:numPr>
      </w:pPr>
      <w:r>
        <w:t xml:space="preserve">Collaborate with the </w:t>
      </w:r>
      <w:r>
        <w:rPr>
          <w:rStyle w:val="37"/>
        </w:rPr>
        <w:t>technology and analytics teams</w:t>
      </w:r>
      <w:r>
        <w:t xml:space="preserve"> to define the </w:t>
      </w:r>
      <w:r>
        <w:rPr>
          <w:rStyle w:val="20"/>
        </w:rPr>
        <w:t>functional requirements</w:t>
      </w:r>
      <w:r>
        <w:t xml:space="preserve"> of the PowerEdge platform — covering:</w:t>
      </w:r>
    </w:p>
    <w:p w14:paraId="32153106">
      <w:pPr>
        <w:pStyle w:val="36"/>
        <w:numPr>
          <w:ilvl w:val="1"/>
          <w:numId w:val="8"/>
        </w:numPr>
      </w:pPr>
      <w:r>
        <w:t>Data capture from generation (SCADA), scheduling, and SLDC systems.</w:t>
      </w:r>
    </w:p>
    <w:p w14:paraId="7A4074A3">
      <w:pPr>
        <w:pStyle w:val="36"/>
        <w:numPr>
          <w:ilvl w:val="1"/>
          <w:numId w:val="8"/>
        </w:numPr>
      </w:pPr>
      <w:r>
        <w:t>Development of forecasting and predictive modules</w:t>
      </w:r>
    </w:p>
    <w:p w14:paraId="720691BD">
      <w:pPr>
        <w:pStyle w:val="36"/>
        <w:numPr>
          <w:ilvl w:val="1"/>
          <w:numId w:val="8"/>
        </w:numPr>
      </w:pPr>
      <w:r>
        <w:t>Integration of trading positions, DSM analytics, and dashboards.</w:t>
      </w:r>
    </w:p>
    <w:p w14:paraId="0111E258">
      <w:pPr>
        <w:pStyle w:val="36"/>
        <w:numPr>
          <w:ilvl w:val="1"/>
          <w:numId w:val="8"/>
        </w:numPr>
      </w:pPr>
      <w:r>
        <w:t>Portfolio reporting, alerts, and client-facing modules.</w:t>
      </w:r>
    </w:p>
    <w:p w14:paraId="262505FD">
      <w:pPr>
        <w:pStyle w:val="36"/>
        <w:numPr>
          <w:ilvl w:val="0"/>
          <w:numId w:val="8"/>
        </w:numPr>
      </w:pPr>
      <w:r>
        <w:t xml:space="preserve">Act as a </w:t>
      </w:r>
      <w:r>
        <w:rPr>
          <w:rStyle w:val="37"/>
        </w:rPr>
        <w:t>business-side anchor</w:t>
      </w:r>
      <w:r>
        <w:t xml:space="preserve"> for testing, validating, and refining the PowerEdge prototype.</w:t>
      </w:r>
    </w:p>
    <w:p w14:paraId="75638157">
      <w:pPr>
        <w:pStyle w:val="36"/>
        <w:numPr>
          <w:ilvl w:val="0"/>
          <w:numId w:val="8"/>
        </w:numPr>
      </w:pPr>
      <w:r>
        <w:t xml:space="preserve">Support </w:t>
      </w:r>
      <w:r>
        <w:rPr>
          <w:rStyle w:val="37"/>
        </w:rPr>
        <w:t>UAT (User Acceptance Testing)</w:t>
      </w:r>
      <w:r>
        <w:t xml:space="preserve"> and ensure the platform aligns with real trading workflows.</w:t>
      </w:r>
    </w:p>
    <w:p w14:paraId="0565E86C">
      <w:pPr>
        <w:pStyle w:val="36"/>
        <w:numPr>
          <w:ilvl w:val="0"/>
          <w:numId w:val="8"/>
        </w:numPr>
      </w:pPr>
      <w:r>
        <w:t xml:space="preserve">Provide </w:t>
      </w:r>
      <w:r>
        <w:rPr>
          <w:rStyle w:val="37"/>
        </w:rPr>
        <w:t>feedback from field use-cases</w:t>
      </w:r>
      <w:r>
        <w:t xml:space="preserve"> (open access, scheduling, forecasting) to improve platform design.</w:t>
      </w:r>
    </w:p>
    <w:p w14:paraId="3192320E">
      <w:pPr>
        <w:pStyle w:val="36"/>
        <w:numPr>
          <w:ilvl w:val="0"/>
          <w:numId w:val="8"/>
        </w:numPr>
      </w:pPr>
      <w:r>
        <w:t xml:space="preserve">Lead initial </w:t>
      </w:r>
      <w:r>
        <w:rPr>
          <w:rStyle w:val="37"/>
        </w:rPr>
        <w:t>pilot deployments</w:t>
      </w:r>
      <w:r>
        <w:t xml:space="preserve"> for internal or select client portfolios once the system is ready.</w:t>
      </w:r>
    </w:p>
    <w:p w14:paraId="466EF856">
      <w:pPr>
        <w:pStyle w:val="4"/>
      </w:pPr>
      <w:r>
        <w:t>4. Analytics, Risk &amp; Reporting</w:t>
      </w:r>
    </w:p>
    <w:p w14:paraId="05F22C4B">
      <w:pPr>
        <w:pStyle w:val="36"/>
        <w:numPr>
          <w:ilvl w:val="0"/>
          <w:numId w:val="8"/>
        </w:numPr>
      </w:pPr>
      <w:r>
        <w:t>Build and maintain commercial models for pricing, trading margins, DSM impact, and client savings.</w:t>
      </w:r>
    </w:p>
    <w:p w14:paraId="7CA462B5">
      <w:pPr>
        <w:pStyle w:val="36"/>
        <w:numPr>
          <w:ilvl w:val="0"/>
          <w:numId w:val="8"/>
        </w:numPr>
      </w:pPr>
      <w:r>
        <w:t>Track performance metrics — traded volumes, cost optimisation, forecast accuracy, and risk analysis and mitigation.</w:t>
      </w:r>
    </w:p>
    <w:p w14:paraId="44F36810">
      <w:pPr>
        <w:pStyle w:val="36"/>
        <w:numPr>
          <w:ilvl w:val="0"/>
          <w:numId w:val="8"/>
        </w:numPr>
      </w:pPr>
      <w:r>
        <w:t>Generate MIS, dashboards, and insights that will later feed into PowerEdge analytics.</w:t>
      </w:r>
    </w:p>
    <w:p w14:paraId="0A9E968D">
      <w:r>
        <w:t>Qualifications &amp; Skills</w:t>
      </w:r>
    </w:p>
    <w:p w14:paraId="128BF963">
      <w:pPr>
        <w:pStyle w:val="147"/>
        <w:numPr>
          <w:ilvl w:val="0"/>
          <w:numId w:val="9"/>
        </w:numPr>
      </w:pPr>
      <w:r>
        <w:t>Essential:</w:t>
      </w:r>
    </w:p>
    <w:p w14:paraId="22411069">
      <w:pPr>
        <w:pStyle w:val="147"/>
        <w:numPr>
          <w:ilvl w:val="1"/>
          <w:numId w:val="9"/>
        </w:numPr>
      </w:pPr>
      <w:r>
        <w:rPr>
          <w:rFonts w:ascii="Times New Roman" w:hAnsi="Times New Roman" w:eastAsia="Times New Roman" w:cs="Times New Roman"/>
          <w:sz w:val="24"/>
          <w:szCs w:val="24"/>
          <w:lang w:val="en-IN" w:eastAsia="en-GB"/>
        </w:rPr>
        <w:t>Bachelor’s degree in Engineering / Energy / Economics / Finance.</w:t>
      </w:r>
    </w:p>
    <w:p w14:paraId="66587253">
      <w:pPr>
        <w:pStyle w:val="147"/>
        <w:numPr>
          <w:ilvl w:val="1"/>
          <w:numId w:val="9"/>
        </w:numPr>
      </w:pPr>
      <w:r>
        <w:rPr>
          <w:rFonts w:ascii="Times New Roman" w:hAnsi="Times New Roman" w:eastAsia="Times New Roman" w:cs="Times New Roman"/>
          <w:sz w:val="24"/>
          <w:szCs w:val="24"/>
          <w:lang w:val="en-IN" w:eastAsia="en-GB"/>
        </w:rPr>
        <w:t>5–10 years’ experience in power trading, open-access sales, or energy portfolio management.</w:t>
      </w:r>
    </w:p>
    <w:p w14:paraId="3A04934E">
      <w:pPr>
        <w:pStyle w:val="147"/>
        <w:numPr>
          <w:ilvl w:val="1"/>
          <w:numId w:val="9"/>
        </w:numPr>
      </w:pPr>
      <w:r>
        <w:rPr>
          <w:rFonts w:ascii="Times New Roman" w:hAnsi="Times New Roman" w:eastAsia="Times New Roman" w:cs="Times New Roman"/>
          <w:sz w:val="24"/>
          <w:szCs w:val="24"/>
          <w:lang w:val="en-IN" w:eastAsia="en-GB"/>
        </w:rPr>
        <w:t>Understanding of Indian power markets, REC trading, and DSM regulations.</w:t>
      </w:r>
    </w:p>
    <w:p w14:paraId="71FB927D">
      <w:pPr>
        <w:pStyle w:val="147"/>
        <w:numPr>
          <w:ilvl w:val="1"/>
          <w:numId w:val="9"/>
        </w:numPr>
      </w:pPr>
      <w:r>
        <w:rPr>
          <w:rFonts w:ascii="Times New Roman" w:hAnsi="Times New Roman" w:eastAsia="Times New Roman" w:cs="Times New Roman"/>
          <w:sz w:val="24"/>
          <w:szCs w:val="24"/>
          <w:lang w:val="en-IN" w:eastAsia="en-GB"/>
        </w:rPr>
        <w:t>Strong analytical and negotiation skills; proficiency in Excel and Power BI.</w:t>
      </w:r>
    </w:p>
    <w:p w14:paraId="3C3AAE1B">
      <w:pPr>
        <w:pStyle w:val="147"/>
        <w:numPr>
          <w:ilvl w:val="1"/>
          <w:numId w:val="9"/>
        </w:numPr>
      </w:pPr>
      <w:r>
        <w:rPr>
          <w:rFonts w:ascii="Times New Roman" w:hAnsi="Times New Roman" w:eastAsia="Times New Roman" w:cs="Times New Roman"/>
          <w:sz w:val="24"/>
          <w:szCs w:val="24"/>
          <w:lang w:val="en-IN" w:eastAsia="en-GB"/>
        </w:rPr>
        <w:t>Familiarity with energy-management or trading-</w:t>
      </w:r>
      <w:r>
        <w:t>software platforms (EMS/ETRM).</w:t>
      </w:r>
    </w:p>
    <w:p w14:paraId="5F1A94A2">
      <w:pPr>
        <w:pStyle w:val="147"/>
      </w:pPr>
    </w:p>
    <w:p w14:paraId="412E90EF">
      <w:pPr>
        <w:pStyle w:val="147"/>
      </w:pPr>
    </w:p>
    <w:p w14:paraId="327C229B">
      <w:pPr>
        <w:pStyle w:val="147"/>
      </w:pPr>
    </w:p>
    <w:p w14:paraId="40884B34">
      <w:pPr>
        <w:pStyle w:val="147"/>
        <w:numPr>
          <w:ilvl w:val="0"/>
          <w:numId w:val="9"/>
        </w:numPr>
      </w:pPr>
      <w:r>
        <w:t>Preferred:</w:t>
      </w:r>
    </w:p>
    <w:p w14:paraId="42DC94D0">
      <w:pPr>
        <w:pStyle w:val="147"/>
        <w:numPr>
          <w:ilvl w:val="1"/>
          <w:numId w:val="9"/>
        </w:numPr>
      </w:pPr>
      <w:r>
        <w:t>MBA / Master’s in Energy Management or Finance.</w:t>
      </w:r>
    </w:p>
    <w:p w14:paraId="12FFB094">
      <w:pPr>
        <w:pStyle w:val="147"/>
        <w:numPr>
          <w:ilvl w:val="1"/>
          <w:numId w:val="9"/>
        </w:numPr>
      </w:pPr>
      <w:r>
        <w:t>Prior experience using or developing digital energy-management systems.</w:t>
      </w:r>
    </w:p>
    <w:p w14:paraId="23E6316E">
      <w:pPr>
        <w:pStyle w:val="147"/>
        <w:numPr>
          <w:ilvl w:val="1"/>
          <w:numId w:val="9"/>
        </w:numPr>
      </w:pPr>
      <w:r>
        <w:t>Exposure to AI/ML-based forecasting, RE dispatch, and data analytics for energy portfolios.</w:t>
      </w:r>
    </w:p>
    <w:p w14:paraId="50E391EE">
      <w:pPr>
        <w:pStyle w:val="3"/>
      </w:pPr>
      <w:r>
        <w:t>Performance Metrics</w:t>
      </w:r>
    </w:p>
    <w:p w14:paraId="69A4BC0E">
      <w:pPr>
        <w:pStyle w:val="147"/>
        <w:numPr>
          <w:ilvl w:val="0"/>
          <w:numId w:val="9"/>
        </w:numPr>
      </w:pPr>
      <w:r>
        <w:t>MW and revenue closed under PPAs and trades.</w:t>
      </w:r>
    </w:p>
    <w:p w14:paraId="74224E69">
      <w:pPr>
        <w:pStyle w:val="147"/>
        <w:numPr>
          <w:ilvl w:val="0"/>
          <w:numId w:val="9"/>
        </w:numPr>
      </w:pPr>
      <w:r>
        <w:t>Traded volumes and margins .</w:t>
      </w:r>
    </w:p>
    <w:p w14:paraId="4A3CBF1F">
      <w:pPr>
        <w:pStyle w:val="147"/>
        <w:numPr>
          <w:ilvl w:val="0"/>
          <w:numId w:val="9"/>
        </w:numPr>
      </w:pPr>
      <w:r>
        <w:t>Portfolio yield improvement, savings achieved and customer engagement.</w:t>
      </w:r>
    </w:p>
    <w:p w14:paraId="45624B27">
      <w:pPr>
        <w:pStyle w:val="147"/>
        <w:numPr>
          <w:ilvl w:val="0"/>
          <w:numId w:val="9"/>
        </w:numPr>
      </w:pPr>
      <w:r>
        <w:t>Implementation and Commercialization of the PowerEdge dashboards.</w:t>
      </w:r>
      <w:r>
        <w:br w:type="textWrapping"/>
      </w:r>
    </w:p>
    <w:p w14:paraId="66E9E77D">
      <w:pPr>
        <w:pStyle w:val="3"/>
      </w:pPr>
      <w:r>
        <w:t>Career Progression</w:t>
      </w:r>
      <w:bookmarkStart w:id="0" w:name="_GoBack"/>
      <w:bookmarkEnd w:id="0"/>
    </w:p>
    <w:p w14:paraId="36629BD3">
      <w:r>
        <w:t>• Senior Manager – Power Trading &amp; Digital Energy</w:t>
      </w:r>
      <w:r>
        <w:br w:type="textWrapping"/>
      </w:r>
      <w:r>
        <w:t>• Head – PowerEdge Platform &amp; Energy Markets</w:t>
      </w:r>
      <w:r>
        <w:br w:type="textWrapping"/>
      </w:r>
      <w:r>
        <w:t>• Business Head – Digital Energy Solutions</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857D07">
    <w:pPr>
      <w:pStyle w:val="22"/>
      <w:jc w:val="right"/>
    </w:pPr>
    <w:r>
      <w:rPr>
        <w:b/>
        <w:bCs/>
        <w:sz w:val="36"/>
        <w:szCs w:val="36"/>
        <w:lang w:eastAsia="en-IN"/>
      </w:rPr>
      <w:drawing>
        <wp:inline distT="0" distB="0" distL="0" distR="0">
          <wp:extent cx="1577340" cy="869950"/>
          <wp:effectExtent l="0" t="0" r="0" b="0"/>
          <wp:docPr id="1379111130" name="Picture 8" descr="A logo with blue and yellow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11130" name="Picture 8" descr="A logo with blue and yellow text&#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29639" cy="898512"/>
                  </a:xfrm>
                  <a:prstGeom prst="rect">
                    <a:avLst/>
                  </a:prstGeom>
                </pic:spPr>
              </pic:pic>
            </a:graphicData>
          </a:graphic>
        </wp:inline>
      </w:drawing>
    </w:r>
    <w:r>
      <w:tab/>
    </w:r>
    <w:r>
      <w:tab/>
    </w:r>
    <w:r>
      <w:rPr>
        <w:b/>
        <w:bCs/>
        <w:sz w:val="36"/>
        <w:szCs w:val="36"/>
      </w:rPr>
      <w:drawing>
        <wp:inline distT="0" distB="0" distL="0" distR="0">
          <wp:extent cx="706755" cy="1308100"/>
          <wp:effectExtent l="0" t="0" r="0" b="6350"/>
          <wp:docPr id="2050861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61586" name="Picture 1"/>
                  <pic:cNvPicPr>
                    <a:picLocks noChangeAspect="1"/>
                  </pic:cNvPicPr>
                </pic:nvPicPr>
                <pic:blipFill>
                  <a:blip r:embed="rId2"/>
                  <a:stretch>
                    <a:fillRect/>
                  </a:stretch>
                </pic:blipFill>
                <pic:spPr>
                  <a:xfrm>
                    <a:off x="0" y="0"/>
                    <a:ext cx="711050" cy="1315442"/>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4"/>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7"/>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2"/>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6"/>
      <w:lvlText w:val=""/>
      <w:lvlJc w:val="left"/>
      <w:pPr>
        <w:tabs>
          <w:tab w:val="left" w:pos="360"/>
        </w:tabs>
        <w:ind w:left="360" w:hanging="360"/>
      </w:pPr>
      <w:rPr>
        <w:rFonts w:hint="default" w:ascii="Symbol" w:hAnsi="Symbol"/>
      </w:rPr>
    </w:lvl>
  </w:abstractNum>
  <w:abstractNum w:abstractNumId="6">
    <w:nsid w:val="03051234"/>
    <w:multiLevelType w:val="multilevel"/>
    <w:tmpl w:val="03051234"/>
    <w:lvl w:ilvl="0" w:tentative="0">
      <w:start w:val="0"/>
      <w:numFmt w:val="bullet"/>
      <w:lvlText w:val="•"/>
      <w:lvlJc w:val="left"/>
      <w:pPr>
        <w:ind w:left="720" w:hanging="360"/>
      </w:pPr>
      <w:rPr>
        <w:rFonts w:hint="default" w:ascii="Cambria" w:hAnsi="Cambria" w:eastAsiaTheme="minorEastAsia" w:cstheme="minorBid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067B451D"/>
    <w:multiLevelType w:val="multilevel"/>
    <w:tmpl w:val="067B451D"/>
    <w:lvl w:ilvl="0" w:tentative="0">
      <w:start w:val="0"/>
      <w:numFmt w:val="bullet"/>
      <w:lvlText w:val="•"/>
      <w:lvlJc w:val="left"/>
      <w:pPr>
        <w:ind w:left="720" w:hanging="360"/>
      </w:pPr>
      <w:rPr>
        <w:rFonts w:hint="default" w:ascii="Cambria" w:hAnsi="Cambria" w:eastAsiaTheme="minorEastAsia" w:cstheme="minorBid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36564256"/>
    <w:multiLevelType w:val="multilevel"/>
    <w:tmpl w:val="3656425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7"/>
  </w:num>
  <w:num w:numId="8">
    <w:abstractNumId w:val="8"/>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trackRevision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441E"/>
    <w:rsid w:val="00034616"/>
    <w:rsid w:val="0006063C"/>
    <w:rsid w:val="000B1438"/>
    <w:rsid w:val="0015074B"/>
    <w:rsid w:val="001800A0"/>
    <w:rsid w:val="0029639D"/>
    <w:rsid w:val="00326F90"/>
    <w:rsid w:val="00425F79"/>
    <w:rsid w:val="00571500"/>
    <w:rsid w:val="008E457E"/>
    <w:rsid w:val="009D71A4"/>
    <w:rsid w:val="00A319F3"/>
    <w:rsid w:val="00A355B2"/>
    <w:rsid w:val="00AA1D8D"/>
    <w:rsid w:val="00B03017"/>
    <w:rsid w:val="00B47730"/>
    <w:rsid w:val="00C91421"/>
    <w:rsid w:val="00CB0664"/>
    <w:rsid w:val="00D73AF5"/>
    <w:rsid w:val="00ED2971"/>
    <w:rsid w:val="00FC693F"/>
    <w:rsid w:val="22781A0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2"/>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8"/>
    <w:unhideWhenUsed/>
    <w:qFormat/>
    <w:uiPriority w:val="99"/>
    <w:pPr>
      <w:spacing w:after="120"/>
    </w:pPr>
  </w:style>
  <w:style w:type="paragraph" w:styleId="14">
    <w:name w:val="Body Text 2"/>
    <w:basedOn w:val="1"/>
    <w:link w:val="149"/>
    <w:unhideWhenUsed/>
    <w:qFormat/>
    <w:uiPriority w:val="99"/>
    <w:pPr>
      <w:spacing w:after="120" w:line="480" w:lineRule="auto"/>
    </w:pPr>
  </w:style>
  <w:style w:type="paragraph" w:styleId="15">
    <w:name w:val="Body Text 3"/>
    <w:basedOn w:val="1"/>
    <w:link w:val="150"/>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annotation reference"/>
    <w:basedOn w:val="11"/>
    <w:semiHidden/>
    <w:unhideWhenUsed/>
    <w:uiPriority w:val="99"/>
    <w:rPr>
      <w:sz w:val="16"/>
      <w:szCs w:val="16"/>
    </w:rPr>
  </w:style>
  <w:style w:type="paragraph" w:styleId="18">
    <w:name w:val="annotation text"/>
    <w:basedOn w:val="1"/>
    <w:link w:val="169"/>
    <w:unhideWhenUsed/>
    <w:uiPriority w:val="99"/>
    <w:pPr>
      <w:spacing w:line="240" w:lineRule="auto"/>
    </w:pPr>
    <w:rPr>
      <w:sz w:val="20"/>
      <w:szCs w:val="20"/>
    </w:rPr>
  </w:style>
  <w:style w:type="paragraph" w:styleId="19">
    <w:name w:val="annotation subject"/>
    <w:basedOn w:val="18"/>
    <w:next w:val="18"/>
    <w:link w:val="170"/>
    <w:semiHidden/>
    <w:unhideWhenUsed/>
    <w:uiPriority w:val="99"/>
    <w:rPr>
      <w:b/>
      <w:bCs/>
    </w:rPr>
  </w:style>
  <w:style w:type="character" w:styleId="20">
    <w:name w:val="Emphasis"/>
    <w:basedOn w:val="11"/>
    <w:qFormat/>
    <w:uiPriority w:val="20"/>
    <w:rPr>
      <w:i/>
      <w:iCs/>
    </w:rPr>
  </w:style>
  <w:style w:type="paragraph" w:styleId="21">
    <w:name w:val="footer"/>
    <w:basedOn w:val="1"/>
    <w:link w:val="140"/>
    <w:unhideWhenUsed/>
    <w:qFormat/>
    <w:uiPriority w:val="99"/>
    <w:pPr>
      <w:tabs>
        <w:tab w:val="center" w:pos="4680"/>
        <w:tab w:val="right" w:pos="9360"/>
      </w:tabs>
      <w:spacing w:after="0" w:line="240" w:lineRule="auto"/>
    </w:pPr>
  </w:style>
  <w:style w:type="paragraph" w:styleId="22">
    <w:name w:val="header"/>
    <w:basedOn w:val="1"/>
    <w:link w:val="139"/>
    <w:unhideWhenUsed/>
    <w:qFormat/>
    <w:uiPriority w:val="99"/>
    <w:pPr>
      <w:tabs>
        <w:tab w:val="center" w:pos="4680"/>
        <w:tab w:val="right" w:pos="9360"/>
      </w:tabs>
      <w:spacing w:after="0" w:line="240" w:lineRule="auto"/>
    </w:pPr>
  </w:style>
  <w:style w:type="paragraph" w:styleId="23">
    <w:name w:val="List"/>
    <w:basedOn w:val="1"/>
    <w:unhideWhenUsed/>
    <w:uiPriority w:val="99"/>
    <w:pPr>
      <w:ind w:left="360" w:hanging="360"/>
      <w:contextualSpacing/>
    </w:pPr>
  </w:style>
  <w:style w:type="paragraph" w:styleId="24">
    <w:name w:val="List 2"/>
    <w:basedOn w:val="1"/>
    <w:unhideWhenUsed/>
    <w:qFormat/>
    <w:uiPriority w:val="99"/>
    <w:pPr>
      <w:ind w:left="720" w:hanging="360"/>
      <w:contextualSpacing/>
    </w:pPr>
  </w:style>
  <w:style w:type="paragraph" w:styleId="25">
    <w:name w:val="List 3"/>
    <w:basedOn w:val="1"/>
    <w:unhideWhenUsed/>
    <w:qFormat/>
    <w:uiPriority w:val="99"/>
    <w:pPr>
      <w:ind w:left="1080" w:hanging="360"/>
      <w:contextualSpacing/>
    </w:pPr>
  </w:style>
  <w:style w:type="paragraph" w:styleId="26">
    <w:name w:val="List Bullet"/>
    <w:basedOn w:val="1"/>
    <w:unhideWhenUsed/>
    <w:qFormat/>
    <w:uiPriority w:val="99"/>
    <w:pPr>
      <w:numPr>
        <w:ilvl w:val="0"/>
        <w:numId w:val="1"/>
      </w:numPr>
      <w:contextualSpacing/>
    </w:pPr>
  </w:style>
  <w:style w:type="paragraph" w:styleId="27">
    <w:name w:val="List Bullet 2"/>
    <w:basedOn w:val="1"/>
    <w:unhideWhenUsed/>
    <w:qFormat/>
    <w:uiPriority w:val="99"/>
    <w:pPr>
      <w:numPr>
        <w:ilvl w:val="0"/>
        <w:numId w:val="2"/>
      </w:numPr>
      <w:contextualSpacing/>
    </w:pPr>
  </w:style>
  <w:style w:type="paragraph" w:styleId="28">
    <w:name w:val="List Bullet 3"/>
    <w:basedOn w:val="1"/>
    <w:unhideWhenUsed/>
    <w:qFormat/>
    <w:uiPriority w:val="99"/>
    <w:pPr>
      <w:numPr>
        <w:ilvl w:val="0"/>
        <w:numId w:val="3"/>
      </w:numPr>
      <w:contextualSpacing/>
    </w:pPr>
  </w:style>
  <w:style w:type="paragraph" w:styleId="29">
    <w:name w:val="List Continue"/>
    <w:basedOn w:val="1"/>
    <w:unhideWhenUsed/>
    <w:uiPriority w:val="99"/>
    <w:pPr>
      <w:spacing w:after="120"/>
      <w:ind w:left="360"/>
      <w:contextualSpacing/>
    </w:pPr>
  </w:style>
  <w:style w:type="paragraph" w:styleId="30">
    <w:name w:val="List Continue 2"/>
    <w:basedOn w:val="1"/>
    <w:unhideWhenUsed/>
    <w:uiPriority w:val="99"/>
    <w:pPr>
      <w:spacing w:after="120"/>
      <w:ind w:left="720"/>
      <w:contextualSpacing/>
    </w:pPr>
  </w:style>
  <w:style w:type="paragraph" w:styleId="31">
    <w:name w:val="List Continue 3"/>
    <w:basedOn w:val="1"/>
    <w:unhideWhenUsed/>
    <w:uiPriority w:val="99"/>
    <w:pPr>
      <w:spacing w:after="120"/>
      <w:ind w:left="1080"/>
      <w:contextualSpacing/>
    </w:pPr>
  </w:style>
  <w:style w:type="paragraph" w:styleId="32">
    <w:name w:val="List Number"/>
    <w:basedOn w:val="1"/>
    <w:unhideWhenUsed/>
    <w:qFormat/>
    <w:uiPriority w:val="99"/>
    <w:pPr>
      <w:numPr>
        <w:ilvl w:val="0"/>
        <w:numId w:val="4"/>
      </w:numPr>
      <w:contextualSpacing/>
    </w:pPr>
  </w:style>
  <w:style w:type="paragraph" w:styleId="33">
    <w:name w:val="List Number 2"/>
    <w:basedOn w:val="1"/>
    <w:unhideWhenUsed/>
    <w:uiPriority w:val="99"/>
    <w:pPr>
      <w:numPr>
        <w:ilvl w:val="0"/>
        <w:numId w:val="5"/>
      </w:numPr>
      <w:contextualSpacing/>
    </w:pPr>
  </w:style>
  <w:style w:type="paragraph" w:styleId="34">
    <w:name w:val="List Number 3"/>
    <w:basedOn w:val="1"/>
    <w:unhideWhenUsed/>
    <w:uiPriority w:val="99"/>
    <w:pPr>
      <w:numPr>
        <w:ilvl w:val="0"/>
        <w:numId w:val="6"/>
      </w:numPr>
      <w:contextualSpacing/>
    </w:pPr>
  </w:style>
  <w:style w:type="paragraph" w:styleId="35">
    <w:name w:val="macro"/>
    <w:link w:val="151"/>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6">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lang w:val="en-IN" w:eastAsia="en-GB"/>
    </w:rPr>
  </w:style>
  <w:style w:type="character" w:styleId="37">
    <w:name w:val="Strong"/>
    <w:basedOn w:val="11"/>
    <w:qFormat/>
    <w:uiPriority w:val="22"/>
    <w:rPr>
      <w:b/>
      <w:bCs/>
    </w:rPr>
  </w:style>
  <w:style w:type="paragraph" w:styleId="38">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9">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40">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41">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2">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3">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4">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6">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7">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8">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9">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0">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1">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2">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3">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4">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5">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6">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7">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8">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9">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0">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1">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2">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3">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4">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5">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6">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7">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8">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9">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7">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8">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9">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0">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1">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2">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3">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1">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2">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3">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4">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5">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6">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7">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8">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9">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0">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1">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2">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3">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4">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5">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6">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7">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8">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9">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0">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1">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2">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3">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4">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5">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6">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7">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8">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2">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6">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7">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8">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9">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0">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1">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2">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3">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4">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5">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6">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7">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8">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9">
    <w:name w:val="Header Char"/>
    <w:basedOn w:val="11"/>
    <w:link w:val="22"/>
    <w:qFormat/>
    <w:uiPriority w:val="99"/>
  </w:style>
  <w:style w:type="character" w:customStyle="1" w:styleId="140">
    <w:name w:val="Footer Char"/>
    <w:basedOn w:val="11"/>
    <w:link w:val="21"/>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1"/>
    <w:link w:val="40"/>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1"/>
    <w:link w:val="3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1"/>
    <w:link w:val="13"/>
    <w:qFormat/>
    <w:uiPriority w:val="99"/>
  </w:style>
  <w:style w:type="character" w:customStyle="1" w:styleId="149">
    <w:name w:val="Body Text 2 Char"/>
    <w:basedOn w:val="11"/>
    <w:link w:val="14"/>
    <w:qFormat/>
    <w:uiPriority w:val="99"/>
  </w:style>
  <w:style w:type="character" w:customStyle="1" w:styleId="150">
    <w:name w:val="Body Text 3 Char"/>
    <w:basedOn w:val="11"/>
    <w:link w:val="15"/>
    <w:qFormat/>
    <w:uiPriority w:val="99"/>
    <w:rPr>
      <w:sz w:val="16"/>
      <w:szCs w:val="16"/>
    </w:rPr>
  </w:style>
  <w:style w:type="character" w:customStyle="1" w:styleId="151">
    <w:name w:val="Macro Text Char"/>
    <w:basedOn w:val="11"/>
    <w:link w:val="35"/>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1"/>
    <w:link w:val="152"/>
    <w:uiPriority w:val="29"/>
    <w:rPr>
      <w:i/>
      <w:iCs/>
      <w:color w:val="000000" w:themeColor="text1"/>
      <w14:textFill>
        <w14:solidFill>
          <w14:schemeClr w14:val="tx1"/>
        </w14:solidFill>
      </w14:textFill>
    </w:rPr>
  </w:style>
  <w:style w:type="character" w:customStyle="1" w:styleId="154">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6">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1"/>
    <w:link w:val="160"/>
    <w:uiPriority w:val="30"/>
    <w:rPr>
      <w:b/>
      <w:bCs/>
      <w:i/>
      <w:iCs/>
      <w:color w:val="4F81BD" w:themeColor="accent1"/>
      <w14:textFill>
        <w14:solidFill>
          <w14:schemeClr w14:val="accent1"/>
        </w14:solidFill>
      </w14:textFill>
    </w:rPr>
  </w:style>
  <w:style w:type="character" w:customStyle="1" w:styleId="162">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1"/>
    <w:qFormat/>
    <w:uiPriority w:val="21"/>
    <w:rPr>
      <w:b/>
      <w:bCs/>
      <w:i/>
      <w:iCs/>
      <w:color w:val="4F81BD" w:themeColor="accent1"/>
      <w14:textFill>
        <w14:solidFill>
          <w14:schemeClr w14:val="accent1"/>
        </w14:solidFill>
      </w14:textFill>
    </w:rPr>
  </w:style>
  <w:style w:type="character" w:customStyle="1" w:styleId="164">
    <w:name w:val="Subtle Reference"/>
    <w:basedOn w:val="11"/>
    <w:qFormat/>
    <w:uiPriority w:val="31"/>
    <w:rPr>
      <w:smallCaps/>
      <w:color w:val="C0504D" w:themeColor="accent2"/>
      <w:u w:val="single"/>
      <w14:textFill>
        <w14:solidFill>
          <w14:schemeClr w14:val="accent2"/>
        </w14:solidFill>
      </w14:textFill>
    </w:rPr>
  </w:style>
  <w:style w:type="character" w:customStyle="1" w:styleId="165">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1"/>
    <w:qFormat/>
    <w:uiPriority w:val="33"/>
    <w:rPr>
      <w:b/>
      <w:bCs/>
      <w:smallCaps/>
      <w:spacing w:val="5"/>
    </w:rPr>
  </w:style>
  <w:style w:type="paragraph" w:customStyle="1" w:styleId="167">
    <w:name w:val="TOC Heading"/>
    <w:basedOn w:val="2"/>
    <w:next w:val="1"/>
    <w:semiHidden/>
    <w:unhideWhenUsed/>
    <w:qFormat/>
    <w:uiPriority w:val="39"/>
    <w:pPr>
      <w:outlineLvl w:val="9"/>
    </w:pPr>
  </w:style>
  <w:style w:type="paragraph" w:customStyle="1" w:styleId="168">
    <w:name w:val="Revision"/>
    <w:hidden/>
    <w:semiHidden/>
    <w:uiPriority w:val="99"/>
    <w:pPr>
      <w:spacing w:after="0" w:line="240" w:lineRule="auto"/>
    </w:pPr>
    <w:rPr>
      <w:rFonts w:asciiTheme="minorHAnsi" w:hAnsiTheme="minorHAnsi" w:eastAsiaTheme="minorEastAsia" w:cstheme="minorBidi"/>
      <w:sz w:val="22"/>
      <w:szCs w:val="22"/>
      <w:lang w:val="en-US" w:eastAsia="en-US" w:bidi="ar-SA"/>
    </w:rPr>
  </w:style>
  <w:style w:type="character" w:customStyle="1" w:styleId="169">
    <w:name w:val="Comment Text Char"/>
    <w:basedOn w:val="11"/>
    <w:link w:val="18"/>
    <w:uiPriority w:val="99"/>
    <w:rPr>
      <w:sz w:val="20"/>
      <w:szCs w:val="20"/>
    </w:rPr>
  </w:style>
  <w:style w:type="character" w:customStyle="1" w:styleId="170">
    <w:name w:val="Comment Subject Char"/>
    <w:basedOn w:val="169"/>
    <w:link w:val="19"/>
    <w:semiHidden/>
    <w:uiPriority w:val="99"/>
    <w:rPr>
      <w:b/>
      <w:bCs/>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3</Pages>
  <Words>586</Words>
  <Characters>3878</Characters>
  <Lines>31</Lines>
  <Paragraphs>8</Paragraphs>
  <TotalTime>20</TotalTime>
  <ScaleCrop>false</ScaleCrop>
  <LinksUpToDate>false</LinksUpToDate>
  <CharactersWithSpaces>4409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2026-08-13T08:40:00Z</dcterms:created>
  <dc:creator>python-docx</dc:creator>
  <dc:description>generated by python-docx</dc:description>
  <cp:lastModifiedBy>Rachana Chawla</cp:lastModifiedBy>
  <dcterms:modified xsi:type="dcterms:W3CDTF">2026-09-03T12:26:30Z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eyJoZGlkIjoiMzA3MTRhMWI1YmVkZmUwMmY5ODM1NmYyY2RkMDkwZWQiLCJ1c2VySWQiOiI1Njc0ODE2NzQxMTQifQ==</vt:lpwstr>
  </property>
  <property fmtid="{D5CDD505-2E9C-101B-9397-08002B2CF9AE}" pid="3" name="KSOProductBuildVer">
    <vt:lpwstr>1033-12.1.0.28032</vt:lpwstr>
  </property>
  <property fmtid="{D5CDD505-2E9C-101B-9397-08002B2CF9AE}" pid="4" name="ICV">
    <vt:lpwstr>6DE8DB4CBBD1429AB477E4049D942F72_13</vt:lpwstr>
  </property>
</Properties>
</file>