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4D7D9" w14:textId="1BB49BF1" w:rsidR="00C84A9E" w:rsidRPr="00E22281" w:rsidRDefault="00E22281" w:rsidP="00E22281">
      <w:pPr>
        <w:jc w:val="center"/>
        <w:rPr>
          <w:rFonts w:ascii="Tahoma" w:hAnsi="Tahoma" w:cs="Tahoma"/>
          <w:b/>
          <w:bCs/>
          <w:sz w:val="44"/>
          <w:szCs w:val="44"/>
        </w:rPr>
      </w:pPr>
      <w:r w:rsidRPr="00E22281">
        <w:rPr>
          <w:rFonts w:ascii="Tahoma" w:eastAsia="맑은 고딕" w:hAnsi="Tahoma" w:cs="Tahoma"/>
          <w:b/>
          <w:bCs/>
          <w:color w:val="1F1F1F"/>
          <w:kern w:val="0"/>
          <w:sz w:val="32"/>
          <w:szCs w:val="32"/>
          <w14:ligatures w14:val="none"/>
        </w:rPr>
        <w:t>원자층증착의</w:t>
      </w:r>
      <w:r w:rsidRPr="00E22281">
        <w:rPr>
          <w:rFonts w:ascii="Tahoma" w:eastAsia="Times New Roman" w:hAnsi="Tahoma" w:cs="Tahoma"/>
          <w:b/>
          <w:bCs/>
          <w:color w:val="1F1F1F"/>
          <w:kern w:val="0"/>
          <w:sz w:val="32"/>
          <w:szCs w:val="32"/>
          <w14:ligatures w14:val="none"/>
        </w:rPr>
        <w:t xml:space="preserve"> </w:t>
      </w:r>
      <w:r w:rsidRPr="00E22281">
        <w:rPr>
          <w:rFonts w:ascii="Tahoma" w:eastAsia="맑은 고딕" w:hAnsi="Tahoma" w:cs="Tahoma"/>
          <w:b/>
          <w:bCs/>
          <w:color w:val="1F1F1F"/>
          <w:kern w:val="0"/>
          <w:sz w:val="32"/>
          <w:szCs w:val="32"/>
          <w14:ligatures w14:val="none"/>
        </w:rPr>
        <w:t>외도</w:t>
      </w:r>
      <w:r w:rsidRPr="00E22281">
        <w:rPr>
          <w:rFonts w:ascii="Tahoma" w:eastAsia="Times New Roman" w:hAnsi="Tahoma" w:cs="Tahoma"/>
          <w:b/>
          <w:bCs/>
          <w:color w:val="1F1F1F"/>
          <w:kern w:val="0"/>
          <w:sz w:val="32"/>
          <w:szCs w:val="32"/>
          <w14:ligatures w14:val="none"/>
        </w:rPr>
        <w:t>(</w:t>
      </w:r>
      <w:r w:rsidRPr="00E22281">
        <w:rPr>
          <w:rFonts w:ascii="Tahoma" w:eastAsia="맑은 고딕" w:hAnsi="Tahoma" w:cs="Tahoma"/>
          <w:b/>
          <w:bCs/>
          <w:color w:val="1F1F1F"/>
          <w:kern w:val="0"/>
          <w:sz w:val="32"/>
          <w:szCs w:val="32"/>
          <w14:ligatures w14:val="none"/>
        </w:rPr>
        <w:t>外道</w:t>
      </w:r>
      <w:r w:rsidRPr="00E22281">
        <w:rPr>
          <w:rFonts w:ascii="Tahoma" w:eastAsia="Times New Roman" w:hAnsi="Tahoma" w:cs="Tahoma"/>
          <w:b/>
          <w:bCs/>
          <w:color w:val="1F1F1F"/>
          <w:kern w:val="0"/>
          <w:sz w:val="32"/>
          <w:szCs w:val="32"/>
          <w14:ligatures w14:val="none"/>
        </w:rPr>
        <w:t xml:space="preserve">): </w:t>
      </w:r>
      <w:r w:rsidRPr="00E22281">
        <w:rPr>
          <w:rFonts w:ascii="Tahoma" w:eastAsia="맑은 고딕" w:hAnsi="Tahoma" w:cs="Tahoma"/>
          <w:b/>
          <w:bCs/>
          <w:color w:val="1F1F1F"/>
          <w:kern w:val="0"/>
          <w:sz w:val="32"/>
          <w:szCs w:val="32"/>
          <w14:ligatures w14:val="none"/>
        </w:rPr>
        <w:t>반도체는</w:t>
      </w:r>
      <w:r w:rsidRPr="00E22281">
        <w:rPr>
          <w:rFonts w:ascii="Tahoma" w:eastAsia="Times New Roman" w:hAnsi="Tahoma" w:cs="Tahoma"/>
          <w:b/>
          <w:bCs/>
          <w:color w:val="1F1F1F"/>
          <w:kern w:val="0"/>
          <w:sz w:val="32"/>
          <w:szCs w:val="32"/>
          <w14:ligatures w14:val="none"/>
        </w:rPr>
        <w:t xml:space="preserve"> </w:t>
      </w:r>
      <w:r w:rsidRPr="00E22281">
        <w:rPr>
          <w:rFonts w:ascii="Tahoma" w:eastAsia="맑은 고딕" w:hAnsi="Tahoma" w:cs="Tahoma"/>
          <w:b/>
          <w:bCs/>
          <w:color w:val="1F1F1F"/>
          <w:kern w:val="0"/>
          <w:sz w:val="32"/>
          <w:szCs w:val="32"/>
          <w14:ligatures w14:val="none"/>
        </w:rPr>
        <w:t>두고</w:t>
      </w:r>
      <w:r w:rsidRPr="00E22281">
        <w:rPr>
          <w:rFonts w:ascii="Tahoma" w:eastAsia="Times New Roman" w:hAnsi="Tahoma" w:cs="Tahoma"/>
          <w:b/>
          <w:bCs/>
          <w:color w:val="1F1F1F"/>
          <w:kern w:val="0"/>
          <w:sz w:val="32"/>
          <w:szCs w:val="32"/>
          <w14:ligatures w14:val="none"/>
        </w:rPr>
        <w:t xml:space="preserve">, </w:t>
      </w:r>
      <w:r w:rsidRPr="00E22281">
        <w:rPr>
          <w:rFonts w:ascii="Tahoma" w:eastAsia="맑은 고딕" w:hAnsi="Tahoma" w:cs="Tahoma"/>
          <w:b/>
          <w:bCs/>
          <w:color w:val="1F1F1F"/>
          <w:kern w:val="0"/>
          <w:sz w:val="32"/>
          <w:szCs w:val="32"/>
          <w14:ligatures w14:val="none"/>
        </w:rPr>
        <w:t>배터리와</w:t>
      </w:r>
      <w:r w:rsidRPr="00E22281">
        <w:rPr>
          <w:rFonts w:ascii="Tahoma" w:eastAsia="Times New Roman" w:hAnsi="Tahoma" w:cs="Tahoma"/>
          <w:b/>
          <w:bCs/>
          <w:color w:val="1F1F1F"/>
          <w:kern w:val="0"/>
          <w:sz w:val="32"/>
          <w:szCs w:val="32"/>
          <w14:ligatures w14:val="none"/>
        </w:rPr>
        <w:t xml:space="preserve"> </w:t>
      </w:r>
      <w:r w:rsidRPr="00E22281">
        <w:rPr>
          <w:rFonts w:ascii="Tahoma" w:eastAsia="맑은 고딕" w:hAnsi="Tahoma" w:cs="Tahoma"/>
          <w:b/>
          <w:bCs/>
          <w:color w:val="1F1F1F"/>
          <w:kern w:val="0"/>
          <w:sz w:val="32"/>
          <w:szCs w:val="32"/>
          <w14:ligatures w14:val="none"/>
        </w:rPr>
        <w:t>자연으로</w:t>
      </w:r>
    </w:p>
    <w:p w14:paraId="5AB8F5E2" w14:textId="197B4169" w:rsidR="00E22281" w:rsidRPr="00E22281" w:rsidRDefault="00E22281" w:rsidP="00E22281">
      <w:pPr>
        <w:jc w:val="both"/>
        <w:rPr>
          <w:rFonts w:ascii="Tahoma" w:hAnsi="Tahoma" w:cs="Tahoma"/>
          <w:sz w:val="36"/>
          <w:szCs w:val="36"/>
        </w:rPr>
      </w:pPr>
    </w:p>
    <w:p w14:paraId="6EFC51B7" w14:textId="1E927FCF" w:rsidR="00E22281" w:rsidRPr="00E22281" w:rsidRDefault="00E22281" w:rsidP="00E22281">
      <w:pPr>
        <w:jc w:val="both"/>
        <w:rPr>
          <w:rFonts w:ascii="Tahoma" w:hAnsi="Tahoma" w:cs="Tahoma"/>
          <w:sz w:val="36"/>
          <w:szCs w:val="36"/>
        </w:rPr>
      </w:pPr>
      <w:r w:rsidRPr="00E22281">
        <w:rPr>
          <w:rFonts w:ascii="Tahoma" w:eastAsia="Times New Roman" w:hAnsi="Tahoma" w:cs="Tahoma"/>
          <w:color w:val="1F1F1F"/>
          <w:kern w:val="0"/>
          <w14:ligatures w14:val="none"/>
        </w:rPr>
        <w:t>Atomic layer deposition (ALD) excels at growing pinhole-free films with precise thickness control at the sub-nanometer scale. While these unique advantages have traditionally made ALD an indispensable tool in semiconductor manufacturing, its signature self-limiting surface chemistry is now expanding far beyond the cleanroom. In this review, we explore the translation of ALD into three emerging fields, beginning with rechargeable batteries, where conformal oxide nanolayers are deposited onto electrode particles and porous structures to suppress interfacial side reactions and buffer chemomechanical stress, effectively mitigating the microcracking that drives capacity fade. Second, we examine vapor phase infiltration (VPI), a technique derived from ALD in which inorganic precursors diffuse and react directly inside a polymer matrix to create an organic-inorganic hybrid. This process yields a sharp increase in stiffness, toughness, and stability, imbuing commodity plastics with unprecedented properties. Third, we look at biomimicry inspired by naturally occurring nacre, which achieves high strength and fracture toughness simultaneously through a brick-and-mortar structure reinforced by molecular-scale inorganic components;</w:t>
      </w:r>
      <w:r>
        <w:rPr>
          <w:rFonts w:ascii="Tahoma" w:eastAsia="Times New Roman" w:hAnsi="Tahoma" w:cs="Tahoma"/>
          <w:color w:val="1F1F1F"/>
          <w:kern w:val="0"/>
          <w14:ligatures w14:val="none"/>
        </w:rPr>
        <w:t xml:space="preserve"> </w:t>
      </w:r>
      <w:r w:rsidRPr="00E22281">
        <w:rPr>
          <w:rFonts w:ascii="Tahoma" w:eastAsia="Times New Roman" w:hAnsi="Tahoma" w:cs="Tahoma"/>
          <w:color w:val="1F1F1F"/>
          <w:kern w:val="0"/>
          <w14:ligatures w14:val="none"/>
        </w:rPr>
        <w:t>a structural design that VPI precisely aims to replicate. Ultimately, these diverse applications converge on a single message: ALD is no longer just a niche tool for the semiconductor industry, but a versatile platform for tuning mechanical behavior at the molecular level.</w:t>
      </w:r>
    </w:p>
    <w:p w14:paraId="7DAEE43F" w14:textId="03417DAA" w:rsidR="00E22281" w:rsidRPr="00E22281" w:rsidRDefault="00E22281" w:rsidP="00E22281">
      <w:pPr>
        <w:jc w:val="both"/>
        <w:rPr>
          <w:rFonts w:ascii="Tahoma" w:hAnsi="Tahoma" w:cs="Tahoma"/>
          <w:sz w:val="36"/>
          <w:szCs w:val="36"/>
        </w:rPr>
      </w:pPr>
    </w:p>
    <w:p w14:paraId="027E8288" w14:textId="3414BB8A" w:rsidR="00E22281" w:rsidRPr="00E22281" w:rsidRDefault="00E22281" w:rsidP="00E22281">
      <w:pPr>
        <w:jc w:val="both"/>
        <w:rPr>
          <w:rFonts w:ascii="Tahoma" w:hAnsi="Tahoma" w:cs="Tahoma"/>
          <w:b/>
          <w:bCs/>
        </w:rPr>
      </w:pPr>
      <w:r w:rsidRPr="00E22281">
        <w:rPr>
          <w:rFonts w:ascii="Tahoma" w:hAnsi="Tahoma" w:cs="Tahoma"/>
          <w:b/>
          <w:bCs/>
        </w:rPr>
        <w:t>Keywords:</w:t>
      </w:r>
    </w:p>
    <w:p w14:paraId="38901BBD" w14:textId="0B84EFBD" w:rsidR="00E22281" w:rsidRPr="00E22281" w:rsidRDefault="00E22281" w:rsidP="00E22281">
      <w:pPr>
        <w:jc w:val="both"/>
        <w:rPr>
          <w:rFonts w:ascii="Tahoma" w:hAnsi="Tahoma" w:cs="Tahoma"/>
          <w:sz w:val="36"/>
          <w:szCs w:val="36"/>
        </w:rPr>
      </w:pPr>
      <w:r w:rsidRPr="00E22281">
        <w:rPr>
          <w:rFonts w:ascii="Tahoma" w:eastAsia="Times New Roman" w:hAnsi="Tahoma" w:cs="Tahoma"/>
          <w:color w:val="1F1F1F"/>
          <w:kern w:val="0"/>
          <w14:ligatures w14:val="none"/>
        </w:rPr>
        <w:t>atomic layer deposition (ALD), vapor phase infiltration (VPI), battery electrodes, organic–inorganic hybrids, biomimicry, fracture toughness</w:t>
      </w:r>
    </w:p>
    <w:p w14:paraId="2CDC54F9" w14:textId="77777777" w:rsidR="00E22281" w:rsidRDefault="00E22281"/>
    <w:tbl>
      <w:tblPr>
        <w:tblpPr w:leftFromText="45" w:rightFromText="45" w:vertAnchor="text" w:tblpXSpec="right" w:tblpYSpec="center"/>
        <w:tblW w:w="5000" w:type="pct"/>
        <w:tblCellSpacing w:w="5" w:type="dxa"/>
        <w:shd w:val="clear" w:color="auto" w:fill="D1D1D1"/>
        <w:tblCellMar>
          <w:left w:w="0" w:type="dxa"/>
          <w:right w:w="0" w:type="dxa"/>
        </w:tblCellMar>
        <w:tblLook w:val="04A0" w:firstRow="1" w:lastRow="0" w:firstColumn="1" w:lastColumn="0" w:noHBand="0" w:noVBand="1"/>
      </w:tblPr>
      <w:tblGrid>
        <w:gridCol w:w="1821"/>
        <w:gridCol w:w="7539"/>
      </w:tblGrid>
      <w:tr w:rsidR="00E22281" w:rsidRPr="00E22281" w14:paraId="6C38A708" w14:textId="77777777" w:rsidTr="00E22281">
        <w:trPr>
          <w:gridAfter w:val="1"/>
          <w:trHeight w:val="250"/>
          <w:tblCellSpacing w:w="5" w:type="dxa"/>
        </w:trPr>
        <w:tc>
          <w:tcPr>
            <w:tcW w:w="0" w:type="auto"/>
            <w:shd w:val="clear" w:color="auto" w:fill="FFFFFF"/>
            <w:vAlign w:val="center"/>
            <w:hideMark/>
          </w:tcPr>
          <w:p w14:paraId="6240D502" w14:textId="77777777" w:rsidR="00E22281" w:rsidRPr="00E22281" w:rsidRDefault="00E22281" w:rsidP="00E22281">
            <w:pPr>
              <w:spacing w:after="0" w:line="270" w:lineRule="atLeast"/>
              <w:rPr>
                <w:rFonts w:ascii="Times New Roman" w:eastAsia="Times New Roman" w:hAnsi="Times New Roman" w:cs="Times New Roman"/>
                <w:color w:val="1F1F1F"/>
                <w:kern w:val="0"/>
                <w:sz w:val="18"/>
                <w:szCs w:val="18"/>
                <w14:ligatures w14:val="none"/>
              </w:rPr>
            </w:pPr>
            <w:r w:rsidRPr="00E22281">
              <w:rPr>
                <w:rFonts w:ascii="맑은 고딕" w:eastAsia="맑은 고딕" w:hAnsi="맑은 고딕" w:cs="맑은 고딕" w:hint="eastAsia"/>
                <w:color w:val="1F1F1F"/>
                <w:kern w:val="0"/>
                <w:sz w:val="18"/>
                <w:szCs w:val="18"/>
                <w14:ligatures w14:val="none"/>
              </w:rPr>
              <w:lastRenderedPageBreak/>
              <w:t>원자층증착의</w:t>
            </w:r>
            <w:r w:rsidRPr="00E22281">
              <w:rPr>
                <w:rFonts w:ascii="Times New Roman" w:eastAsia="Times New Roman" w:hAnsi="Times New Roman" w:cs="Times New Roman"/>
                <w:color w:val="1F1F1F"/>
                <w:kern w:val="0"/>
                <w:sz w:val="18"/>
                <w:szCs w:val="18"/>
                <w14:ligatures w14:val="none"/>
              </w:rPr>
              <w:t xml:space="preserve"> </w:t>
            </w:r>
            <w:r w:rsidRPr="00E22281">
              <w:rPr>
                <w:rFonts w:ascii="맑은 고딕" w:eastAsia="맑은 고딕" w:hAnsi="맑은 고딕" w:cs="맑은 고딕" w:hint="eastAsia"/>
                <w:color w:val="1F1F1F"/>
                <w:kern w:val="0"/>
                <w:sz w:val="18"/>
                <w:szCs w:val="18"/>
                <w14:ligatures w14:val="none"/>
              </w:rPr>
              <w:t>외도</w:t>
            </w:r>
            <w:r w:rsidRPr="00E22281">
              <w:rPr>
                <w:rFonts w:ascii="Times New Roman" w:eastAsia="Times New Roman" w:hAnsi="Times New Roman" w:cs="Times New Roman"/>
                <w:color w:val="1F1F1F"/>
                <w:kern w:val="0"/>
                <w:sz w:val="18"/>
                <w:szCs w:val="18"/>
                <w14:ligatures w14:val="none"/>
              </w:rPr>
              <w:t>(</w:t>
            </w:r>
            <w:r w:rsidRPr="00E22281">
              <w:rPr>
                <w:rFonts w:ascii="맑은 고딕" w:eastAsia="맑은 고딕" w:hAnsi="맑은 고딕" w:cs="맑은 고딕" w:hint="eastAsia"/>
                <w:color w:val="1F1F1F"/>
                <w:kern w:val="0"/>
                <w:sz w:val="18"/>
                <w:szCs w:val="18"/>
                <w14:ligatures w14:val="none"/>
              </w:rPr>
              <w:t>外道</w:t>
            </w:r>
            <w:r w:rsidRPr="00E22281">
              <w:rPr>
                <w:rFonts w:ascii="Times New Roman" w:eastAsia="Times New Roman" w:hAnsi="Times New Roman" w:cs="Times New Roman"/>
                <w:color w:val="1F1F1F"/>
                <w:kern w:val="0"/>
                <w:sz w:val="18"/>
                <w:szCs w:val="18"/>
                <w14:ligatures w14:val="none"/>
              </w:rPr>
              <w:t xml:space="preserve">): </w:t>
            </w:r>
            <w:r w:rsidRPr="00E22281">
              <w:rPr>
                <w:rFonts w:ascii="맑은 고딕" w:eastAsia="맑은 고딕" w:hAnsi="맑은 고딕" w:cs="맑은 고딕" w:hint="eastAsia"/>
                <w:color w:val="1F1F1F"/>
                <w:kern w:val="0"/>
                <w:sz w:val="18"/>
                <w:szCs w:val="18"/>
                <w14:ligatures w14:val="none"/>
              </w:rPr>
              <w:t>반도체는</w:t>
            </w:r>
            <w:r w:rsidRPr="00E22281">
              <w:rPr>
                <w:rFonts w:ascii="Times New Roman" w:eastAsia="Times New Roman" w:hAnsi="Times New Roman" w:cs="Times New Roman"/>
                <w:color w:val="1F1F1F"/>
                <w:kern w:val="0"/>
                <w:sz w:val="18"/>
                <w:szCs w:val="18"/>
                <w14:ligatures w14:val="none"/>
              </w:rPr>
              <w:t xml:space="preserve"> </w:t>
            </w:r>
            <w:r w:rsidRPr="00E22281">
              <w:rPr>
                <w:rFonts w:ascii="맑은 고딕" w:eastAsia="맑은 고딕" w:hAnsi="맑은 고딕" w:cs="맑은 고딕" w:hint="eastAsia"/>
                <w:color w:val="1F1F1F"/>
                <w:kern w:val="0"/>
                <w:sz w:val="18"/>
                <w:szCs w:val="18"/>
                <w14:ligatures w14:val="none"/>
              </w:rPr>
              <w:t>두고</w:t>
            </w:r>
            <w:r w:rsidRPr="00E22281">
              <w:rPr>
                <w:rFonts w:ascii="Times New Roman" w:eastAsia="Times New Roman" w:hAnsi="Times New Roman" w:cs="Times New Roman"/>
                <w:color w:val="1F1F1F"/>
                <w:kern w:val="0"/>
                <w:sz w:val="18"/>
                <w:szCs w:val="18"/>
                <w14:ligatures w14:val="none"/>
              </w:rPr>
              <w:t xml:space="preserve">, </w:t>
            </w:r>
            <w:r w:rsidRPr="00E22281">
              <w:rPr>
                <w:rFonts w:ascii="맑은 고딕" w:eastAsia="맑은 고딕" w:hAnsi="맑은 고딕" w:cs="맑은 고딕" w:hint="eastAsia"/>
                <w:color w:val="1F1F1F"/>
                <w:kern w:val="0"/>
                <w:sz w:val="18"/>
                <w:szCs w:val="18"/>
                <w14:ligatures w14:val="none"/>
              </w:rPr>
              <w:t>배터리와</w:t>
            </w:r>
            <w:r w:rsidRPr="00E22281">
              <w:rPr>
                <w:rFonts w:ascii="Times New Roman" w:eastAsia="Times New Roman" w:hAnsi="Times New Roman" w:cs="Times New Roman"/>
                <w:color w:val="1F1F1F"/>
                <w:kern w:val="0"/>
                <w:sz w:val="18"/>
                <w:szCs w:val="18"/>
                <w14:ligatures w14:val="none"/>
              </w:rPr>
              <w:t xml:space="preserve"> </w:t>
            </w:r>
            <w:r w:rsidRPr="00E22281">
              <w:rPr>
                <w:rFonts w:ascii="맑은 고딕" w:eastAsia="맑은 고딕" w:hAnsi="맑은 고딕" w:cs="맑은 고딕" w:hint="eastAsia"/>
                <w:color w:val="1F1F1F"/>
                <w:kern w:val="0"/>
                <w:sz w:val="18"/>
                <w:szCs w:val="18"/>
                <w14:ligatures w14:val="none"/>
              </w:rPr>
              <w:t>자연으</w:t>
            </w:r>
            <w:r w:rsidRPr="00E22281">
              <w:rPr>
                <w:rFonts w:ascii="맑은 고딕" w:eastAsia="맑은 고딕" w:hAnsi="맑은 고딕" w:cs="맑은 고딕"/>
                <w:color w:val="1F1F1F"/>
                <w:kern w:val="0"/>
                <w:sz w:val="18"/>
                <w:szCs w:val="18"/>
                <w14:ligatures w14:val="none"/>
              </w:rPr>
              <w:t>로</w:t>
            </w:r>
          </w:p>
        </w:tc>
      </w:tr>
      <w:tr w:rsidR="00E22281" w:rsidRPr="00E22281" w14:paraId="0EED7E57" w14:textId="77777777" w:rsidTr="00E22281">
        <w:trPr>
          <w:trHeight w:val="250"/>
          <w:tblCellSpacing w:w="5" w:type="dxa"/>
        </w:trPr>
        <w:tc>
          <w:tcPr>
            <w:tcW w:w="0" w:type="auto"/>
            <w:shd w:val="clear" w:color="auto" w:fill="E8E8E8"/>
            <w:vAlign w:val="center"/>
            <w:hideMark/>
          </w:tcPr>
          <w:p w14:paraId="546CE108" w14:textId="77777777" w:rsidR="00E22281" w:rsidRPr="00E22281" w:rsidRDefault="00E22281" w:rsidP="00E22281">
            <w:pPr>
              <w:spacing w:after="0" w:line="240" w:lineRule="auto"/>
              <w:jc w:val="center"/>
              <w:rPr>
                <w:rFonts w:ascii="Times New Roman" w:eastAsia="Times New Roman" w:hAnsi="Times New Roman" w:cs="Times New Roman"/>
                <w:b/>
                <w:bCs/>
                <w:color w:val="1F1F1F"/>
                <w:kern w:val="0"/>
                <w:sz w:val="18"/>
                <w:szCs w:val="18"/>
                <w14:ligatures w14:val="none"/>
              </w:rPr>
            </w:pPr>
            <w:r w:rsidRPr="00E22281">
              <w:rPr>
                <w:rFonts w:ascii="맑은 고딕" w:eastAsia="맑은 고딕" w:hAnsi="맑은 고딕" w:cs="맑은 고딕"/>
                <w:b/>
                <w:bCs/>
                <w:color w:val="1F1F1F"/>
                <w:kern w:val="0"/>
                <w:sz w:val="18"/>
                <w:szCs w:val="18"/>
                <w14:ligatures w14:val="none"/>
              </w:rPr>
              <w:t>발표초록</w:t>
            </w:r>
            <w:r w:rsidRPr="00E22281">
              <w:rPr>
                <w:rFonts w:ascii="Times New Roman" w:eastAsia="Times New Roman" w:hAnsi="Times New Roman" w:cs="Times New Roman"/>
                <w:b/>
                <w:bCs/>
                <w:color w:val="1F1F1F"/>
                <w:kern w:val="0"/>
                <w:sz w:val="18"/>
                <w:szCs w:val="18"/>
                <w14:ligatures w14:val="none"/>
              </w:rPr>
              <w:t xml:space="preserve"> (</w:t>
            </w:r>
            <w:r w:rsidRPr="00E22281">
              <w:rPr>
                <w:rFonts w:ascii="맑은 고딕" w:eastAsia="맑은 고딕" w:hAnsi="맑은 고딕" w:cs="맑은 고딕"/>
                <w:b/>
                <w:bCs/>
                <w:color w:val="1F1F1F"/>
                <w:kern w:val="0"/>
                <w:sz w:val="18"/>
                <w:szCs w:val="18"/>
                <w14:ligatures w14:val="none"/>
              </w:rPr>
              <w:t>영문</w:t>
            </w:r>
            <w:r w:rsidRPr="00E22281">
              <w:rPr>
                <w:rFonts w:ascii="Times New Roman" w:eastAsia="Times New Roman" w:hAnsi="Times New Roman" w:cs="Times New Roman"/>
                <w:b/>
                <w:bCs/>
                <w:color w:val="1F1F1F"/>
                <w:kern w:val="0"/>
                <w:sz w:val="18"/>
                <w:szCs w:val="18"/>
                <w14:ligatures w14:val="none"/>
              </w:rPr>
              <w:t>)</w:t>
            </w:r>
          </w:p>
        </w:tc>
        <w:tc>
          <w:tcPr>
            <w:tcW w:w="0" w:type="auto"/>
            <w:shd w:val="clear" w:color="auto" w:fill="FFFFFF"/>
            <w:vAlign w:val="center"/>
            <w:hideMark/>
          </w:tcPr>
          <w:p w14:paraId="7001C4F2" w14:textId="77777777" w:rsidR="00E22281" w:rsidRPr="00E22281" w:rsidRDefault="00E22281" w:rsidP="00E22281">
            <w:pPr>
              <w:spacing w:after="0" w:line="270" w:lineRule="atLeast"/>
              <w:rPr>
                <w:rFonts w:ascii="Times New Roman" w:eastAsia="Times New Roman" w:hAnsi="Times New Roman" w:cs="Times New Roman"/>
                <w:color w:val="1F1F1F"/>
                <w:kern w:val="0"/>
                <w:sz w:val="18"/>
                <w:szCs w:val="18"/>
                <w14:ligatures w14:val="none"/>
              </w:rPr>
            </w:pPr>
            <w:r w:rsidRPr="00E22281">
              <w:rPr>
                <w:rFonts w:ascii="Times New Roman" w:eastAsia="Times New Roman" w:hAnsi="Times New Roman" w:cs="Times New Roman"/>
                <w:color w:val="1F1F1F"/>
                <w:kern w:val="0"/>
                <w:sz w:val="18"/>
                <w:szCs w:val="18"/>
                <w14:ligatures w14:val="none"/>
              </w:rPr>
              <w:t>Atomic layer deposition (ALD) excels at growing pinhole-free films with precise thickness control at the sub-nanometer scale. While these unique advantages have traditionally made ALD an indispensable tool in semiconductor manufacturing, its signature self-limiting surface chemistry is now expanding far beyond the cleanroom. In this review, we explore the translation of ALD into three emerging fields, beginning with rechargeable batteries, where conformal oxide nanolayers are deposited onto electrode particles and porous structures to suppress interfacial side reactions and buffer chemomechanical stress, effectively mitigating the microcracking that drives capacity fade. Second, we examine vapor phase infiltration (VPI), a technique derived from ALD in which inorganic precursors diffuse and react directly inside a polymer matrix to create an organic-inorganic hybrid. This process yields a sharp increase in stiffness, toughness, and stability, imbuing commodity plastics with unprecedented properties. Third, we look at biomimicry inspired by naturally occurring nacre, which achieves high strength and fracture toughness simultaneously through a brick-and-mortar structure reinforced by molecular-scale inorganic components&amp;#8212;a structural design that VPI precisely aims to replicate. Ultimately, these diverse applications converge on a single message: ALD is no longer just a niche tool for the semiconductor industry, but a versatile platform for tuning mechanical behavior at the molecular level.</w:t>
            </w:r>
          </w:p>
        </w:tc>
      </w:tr>
      <w:tr w:rsidR="00E22281" w:rsidRPr="00E22281" w14:paraId="7DACD8CB" w14:textId="77777777" w:rsidTr="00E22281">
        <w:trPr>
          <w:trHeight w:val="250"/>
          <w:tblCellSpacing w:w="5" w:type="dxa"/>
        </w:trPr>
        <w:tc>
          <w:tcPr>
            <w:tcW w:w="0" w:type="auto"/>
            <w:shd w:val="clear" w:color="auto" w:fill="E8E8E8"/>
            <w:vAlign w:val="center"/>
            <w:hideMark/>
          </w:tcPr>
          <w:p w14:paraId="48147DFC" w14:textId="77777777" w:rsidR="00E22281" w:rsidRPr="00E22281" w:rsidRDefault="00E22281" w:rsidP="00E22281">
            <w:pPr>
              <w:spacing w:after="0" w:line="240" w:lineRule="auto"/>
              <w:jc w:val="center"/>
              <w:rPr>
                <w:rFonts w:ascii="Times New Roman" w:eastAsia="Times New Roman" w:hAnsi="Times New Roman" w:cs="Times New Roman"/>
                <w:b/>
                <w:bCs/>
                <w:color w:val="1F1F1F"/>
                <w:kern w:val="0"/>
                <w:sz w:val="18"/>
                <w:szCs w:val="18"/>
                <w14:ligatures w14:val="none"/>
              </w:rPr>
            </w:pPr>
            <w:r w:rsidRPr="00E22281">
              <w:rPr>
                <w:rFonts w:ascii="맑은 고딕" w:eastAsia="맑은 고딕" w:hAnsi="맑은 고딕" w:cs="맑은 고딕"/>
                <w:b/>
                <w:bCs/>
                <w:color w:val="1F1F1F"/>
                <w:kern w:val="0"/>
                <w:sz w:val="18"/>
                <w:szCs w:val="18"/>
                <w14:ligatures w14:val="none"/>
              </w:rPr>
              <w:t>키워드</w:t>
            </w:r>
          </w:p>
        </w:tc>
        <w:tc>
          <w:tcPr>
            <w:tcW w:w="0" w:type="auto"/>
            <w:shd w:val="clear" w:color="auto" w:fill="FFFFFF"/>
            <w:vAlign w:val="center"/>
            <w:hideMark/>
          </w:tcPr>
          <w:p w14:paraId="55321718" w14:textId="77777777" w:rsidR="00E22281" w:rsidRPr="00E22281" w:rsidRDefault="00E22281" w:rsidP="00E22281">
            <w:pPr>
              <w:spacing w:after="0" w:line="270" w:lineRule="atLeast"/>
              <w:rPr>
                <w:rFonts w:ascii="Times New Roman" w:eastAsia="Times New Roman" w:hAnsi="Times New Roman" w:cs="Times New Roman"/>
                <w:color w:val="1F1F1F"/>
                <w:kern w:val="0"/>
                <w:sz w:val="18"/>
                <w:szCs w:val="18"/>
                <w14:ligatures w14:val="none"/>
              </w:rPr>
            </w:pPr>
            <w:r w:rsidRPr="00E22281">
              <w:rPr>
                <w:rFonts w:ascii="Times New Roman" w:eastAsia="Times New Roman" w:hAnsi="Times New Roman" w:cs="Times New Roman"/>
                <w:color w:val="1F1F1F"/>
                <w:kern w:val="0"/>
                <w:sz w:val="18"/>
                <w:szCs w:val="18"/>
                <w14:ligatures w14:val="none"/>
              </w:rPr>
              <w:t>atomic layer deposition (ALD), vapor phase infiltration (VPI), battery electrodes, organic–inorganic hybrids, biomimicry, fracture toughness</w:t>
            </w:r>
          </w:p>
        </w:tc>
      </w:tr>
    </w:tbl>
    <w:p w14:paraId="504ABC7B" w14:textId="5E2D9545" w:rsidR="00E22281" w:rsidRDefault="00E22281"/>
    <w:p w14:paraId="15C46910" w14:textId="2AFF3AFE" w:rsidR="00E22281" w:rsidRDefault="00E22281"/>
    <w:p w14:paraId="1C86F43F" w14:textId="77777777" w:rsidR="00E22281" w:rsidRDefault="00E22281"/>
    <w:sectPr w:rsidR="00E22281">
      <w:pgSz w:w="12240" w:h="15840"/>
      <w:pgMar w:top="170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rM0NTGzNDE1MTezMDRW0lEKTi0uzszPAykwrAUA1VDl8ywAAAA="/>
  </w:docVars>
  <w:rsids>
    <w:rsidRoot w:val="00E22281"/>
    <w:rsid w:val="00A34431"/>
    <w:rsid w:val="00C84A9E"/>
    <w:rsid w:val="00D152E5"/>
    <w:rsid w:val="00E22281"/>
    <w:rsid w:val="00F859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18D0B"/>
  <w15:chartTrackingRefBased/>
  <w15:docId w15:val="{63067223-FAA9-4FB0-857F-258D08649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2458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509</Words>
  <Characters>2905</Characters>
  <Application>Microsoft Office Word</Application>
  <DocSecurity>0</DocSecurity>
  <Lines>24</Lines>
  <Paragraphs>6</Paragraphs>
  <ScaleCrop>false</ScaleCrop>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Seung-Mo Lee</dc:creator>
  <cp:keywords/>
  <dc:description/>
  <cp:lastModifiedBy>Seung-Mo Lee</cp:lastModifiedBy>
  <cp:revision>1</cp:revision>
  <dcterms:created xsi:type="dcterms:W3CDTF">2026-10-20T07:24:00Z</dcterms:created>
  <dcterms:modified xsi:type="dcterms:W3CDTF">2026-10-20T07:48:00Z</dcterms:modified>
</cp:coreProperties>
</file>