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Responses to the Comments by Reviewer 2</w:t>
      </w:r>
    </w:p>
    <w:p/>
    <w:p>
      <w:pPr>
        <w:jc w:val="both"/>
      </w:pPr>
      <w:r>
        <w:rPr>
          <w:b/>
          <w:color w:val="0070C0"/>
          <w:sz w:val="22"/>
        </w:rPr>
        <w:t xml:space="preserve">General Response:  </w:t>
      </w:r>
      <w:r>
        <w:rPr>
          <w:color w:val="0070C0"/>
          <w:sz w:val="22"/>
        </w:rPr>
        <w:t>We sincerely appreciate the Reviewer’s thorough and constructive evaluation of our revised manuscript. The comments have been instrumental in sharpening both the scientific rigor and the clarity of our work. In response to each remaining concern, we have supplemented the manuscript with additional experimental data and expanded mechanistic discussions. All new additions are highlighted in pink for ease of reference. We hope the revised manuscript fully addresses the Reviewer’s expectations and welcome any further feedback.</w:t>
      </w:r>
    </w:p>
    <w:p/>
    <w:p>
      <w:pPr>
        <w:jc w:val="left"/>
      </w:pPr>
      <w:r>
        <w:rPr>
          <w:b/>
          <w:color w:val="000000"/>
          <w:sz w:val="22"/>
        </w:rPr>
        <w:t>Comments:</w:t>
      </w:r>
    </w:p>
    <w:p>
      <w:pPr>
        <w:jc w:val="both"/>
      </w:pPr>
      <w:r>
        <w:rPr>
          <w:b w:val="0"/>
          <w:color w:val="000000"/>
          <w:sz w:val="22"/>
        </w:rPr>
        <w:t>The authors have addressed most of my previous concerns. In particular, additional data regarding ALD thickness optimization and the discussion of the unique advantages of ALD have significantly strengthened the manuscript. The revised version provides a much clearer reason for employing ALD-derived ZnF₂ coatings. Overall, the manuscript has been substantially improved and is now much closer to the standard expected for publication in Advanced Energy Materials. After the following comments are adequately addressed, the manuscript can be considered for publication.</w:t>
      </w:r>
    </w:p>
    <w:p/>
    <w:p>
      <w:pPr>
        <w:jc w:val="both"/>
      </w:pPr>
      <w:r>
        <w:rPr>
          <w:b w:val="0"/>
          <w:color w:val="000000"/>
          <w:sz w:val="22"/>
        </w:rPr>
        <w:t>1. The authors should provide a schematic illustration of the evolved NaF/Na–Zn interphase after the conversion of ZnF₂. The schematic should clearly show the spatial distribution of the Na–Zn alloy and NaF components and explicitly illustrate their respective roles in reducing the nucleation overpotential, promoting uniform Na deposition, stabilizing the SEI, and regulating Na⁺ flux.</w:t>
      </w:r>
    </w:p>
    <w:p>
      <w:pPr>
        <w:jc w:val="both"/>
      </w:pPr>
      <w:r>
        <w:rPr>
          <w:b/>
          <w:color w:val="0070C0"/>
          <w:sz w:val="22"/>
        </w:rPr>
        <w:t xml:space="preserve">Response: </w:t>
      </w:r>
      <w:r>
        <w:rPr>
          <w:color w:val="0070C0"/>
          <w:sz w:val="22"/>
        </w:rPr>
        <w:t>We appreciate this suggestion, which has meaningfully strengthened the mechanistic discussion. As recommended, we have added a schematic illustration (Figure S22) that depicts the spatial evolution of the NaF/Na–Zn interphase following the electrochemical conversion of ZnF₂. The schematic clearly distinguishes the roles of the two key interphase components: the sodiophilic Na–Zn alloy, which lowers the Na nucleation overpotential and promotes uniform nucleation, and the NaF-enriched SEI, which homogenizes the Na⁺ flux, suppresses dendritic growth, and stabilizes the interface during repeated plating/stripping.</w:t>
      </w:r>
    </w:p>
    <w:p>
      <w:pPr>
        <w:ind w:left="504"/>
        <w:jc w:val="both"/>
      </w:pPr>
      <w:r>
        <w:rPr>
          <w:color w:val="0070C0"/>
          <w:sz w:val="22"/>
        </w:rPr>
        <w:t>The schematic and accompanying discussion have been incorporated into the revised manuscript as follows:</w:t>
      </w:r>
    </w:p>
    <w:p>
      <w:pPr>
        <w:jc w:val="left"/>
      </w:pPr>
      <w:r>
        <w:rPr>
          <w:b/>
          <w:color w:val="0070C0"/>
          <w:sz w:val="22"/>
        </w:rPr>
        <w:t>On page 17:</w:t>
      </w:r>
    </w:p>
    <w:p>
      <w:pPr>
        <w:jc w:val="both"/>
      </w:pPr>
      <w:r>
        <w:rPr>
          <w:b w:val="0"/>
          <w:color w:val="FF00FF"/>
          <w:sz w:val="22"/>
        </w:rPr>
        <w:t>“… Taken together, these results strongly support our hypothesis. In contrast to the poor reversibility of Na plating/stripping on bare Al, the ALD-engineered ZnF₂/Al current collector undergoes an in situ transformation into a NaF/Na–Zn interphase that facilitates uniform Na nucleation, regulates Na-ion flux, suppresses dendritic growth, and significantly improves the reversibility of Na plating and stripping (Figure S21). As a result, enhanced electrochemical performance is achieved in both lean-Na and anode-free full-cell configurations. …”</w:t>
      </w:r>
    </w:p>
    <w:p>
      <w:pPr>
        <w:jc w:val="both"/>
      </w:pPr>
      <w:r>
        <w:rPr>
          <w:b/>
          <w:color w:val="FF00FF"/>
          <w:sz w:val="22"/>
        </w:rPr>
        <w:t>Figure S22. Schematic illustration of the mechanism underlying the enhanced reversibility of Na plating/stripping on the ZnF₂/Al CC.</w:t>
      </w:r>
    </w:p>
    <w:p/>
    <w:p>
      <w:pPr>
        <w:jc w:val="both"/>
      </w:pPr>
      <w:r>
        <w:rPr>
          <w:b w:val="0"/>
          <w:color w:val="000000"/>
          <w:sz w:val="22"/>
        </w:rPr>
        <w:t>2. Additional Na nucleation measurements at 0.1 and 1 mA cm⁻² are recommended to more comprehensively demonstrate the advantages of ZnF₂/Al under different current densities. Furthermore, CV measurements at multiple scan rates (at least 3 scan rates) should be provided to further support the kinetic analysis.</w:t>
      </w:r>
    </w:p>
    <w:p>
      <w:pPr>
        <w:jc w:val="both"/>
      </w:pPr>
      <w:r>
        <w:rPr>
          <w:b/>
          <w:color w:val="0070C0"/>
          <w:sz w:val="22"/>
        </w:rPr>
        <w:t xml:space="preserve">Response: </w:t>
      </w:r>
      <w:r>
        <w:rPr>
          <w:color w:val="0070C0"/>
          <w:sz w:val="22"/>
        </w:rPr>
        <w:t>We thank the Reviewer for this constructive suggestion. We have now included Na nucleation overpotential measurements at 0.1 and 1.0 mA cm⁻² (Figures S10–S11), complementing the existing data at 0.5 and 2.0 mA cm⁻², and have added CV measurements at three scan rates (0.1, 0.2, and 0.3 mV s⁻¹; Figure S17).</w:t>
      </w:r>
    </w:p>
    <w:p>
      <w:pPr>
        <w:ind w:left="504"/>
        <w:jc w:val="both"/>
      </w:pPr>
      <w:r>
        <w:rPr>
          <w:color w:val="0070C0"/>
          <w:sz w:val="22"/>
        </w:rPr>
        <w:t>Across the full range of current densities examined (0.1–2.0 mA cm⁻²), ZnF₂/Al consistently exhibited markedly lower Na nucleation overpotentials than bare Al, reinforcing the role of the sodiophilic Na–Zn alloy–containing interphase in facilitating Na nucleation. The multi-rate CV analysis further confirms the kinetic advantage of the ZnF₂/Al anode: the Na/ZnF₂/Al║NVP cell displayed higher redox peak currents and reduced polarization at all scan rates tested, indicative of faster charge-transfer kinetics relative to the Na/Al║NVP control.</w:t>
      </w:r>
    </w:p>
    <w:p>
      <w:pPr>
        <w:ind w:left="504"/>
        <w:jc w:val="both"/>
      </w:pPr>
      <w:r>
        <w:rPr>
          <w:color w:val="0070C0"/>
          <w:sz w:val="22"/>
        </w:rPr>
        <w:t>These results and the corresponding discussion have been incorporated into the revised manuscript as follows:</w:t>
      </w:r>
    </w:p>
    <w:p>
      <w:pPr>
        <w:jc w:val="left"/>
      </w:pPr>
      <w:r>
        <w:rPr>
          <w:b/>
          <w:color w:val="0070C0"/>
          <w:sz w:val="22"/>
        </w:rPr>
        <w:t>On page 11:</w:t>
      </w:r>
    </w:p>
    <w:p>
      <w:pPr>
        <w:jc w:val="both"/>
      </w:pPr>
      <w:r>
        <w:rPr>
          <w:b w:val="0"/>
          <w:color w:val="FF00FF"/>
          <w:sz w:val="22"/>
        </w:rPr>
        <w:t>“… Moreover, across a wide range of current densities (0.1, 1.0, and 2.0 mA cm⁻²), ZnF₂/Al consistently exhibited significantly lower overpotentials than bare Al (Figures S10–S11). This enhanced electrochemical behavior is likely attributable to the improved sodiophilicity imparted by the Na–Zn alloy–containing interphase. …”</w:t>
      </w:r>
    </w:p>
    <w:p>
      <w:pPr>
        <w:jc w:val="left"/>
      </w:pPr>
      <w:r>
        <w:rPr>
          <w:b/>
          <w:color w:val="0070C0"/>
          <w:sz w:val="22"/>
        </w:rPr>
        <w:t>On page 16:</w:t>
      </w:r>
    </w:p>
    <w:p>
      <w:pPr>
        <w:jc w:val="both"/>
      </w:pPr>
      <w:r>
        <w:rPr>
          <w:b w:val="0"/>
          <w:color w:val="FF00FF"/>
          <w:sz w:val="22"/>
        </w:rPr>
        <w:t>“… Similarly, cyclic voltammetry (CV) curves under various scan rates consistently revealed a higher peak current density and a lower polarization potential of the Na/ZnF₂/Al║NVP cell (Figure S16), indicating the better reaction kinetics of the Na/ZnF₂/Al anode. …”</w:t>
      </w:r>
    </w:p>
    <w:p>
      <w:pPr>
        <w:jc w:val="both"/>
      </w:pPr>
      <w:r>
        <w:rPr>
          <w:b/>
          <w:color w:val="FF00FF"/>
          <w:sz w:val="22"/>
        </w:rPr>
        <w:t>Figure S10. Overpotential of Na nucleation on bare Al and ZnF₂/Al. A) At a current density of 0.1 mA cm⁻². B) At a current density of 1.0 mA cm⁻².</w:t>
      </w:r>
    </w:p>
    <w:p>
      <w:pPr>
        <w:jc w:val="both"/>
      </w:pPr>
      <w:r>
        <w:rPr>
          <w:b/>
          <w:color w:val="FF00FF"/>
          <w:sz w:val="22"/>
        </w:rPr>
        <w:t>Figure S17. CV curves of the Na/Al║NVP and Na/ZnF₂/Al║NVP lean-Na cells. Comparison of CV curves under scan rates of (A) 0.1, (B) 0.2, and (C) 0.3 mV s⁻¹.</w:t>
      </w:r>
    </w:p>
    <w:p/>
    <w:p>
      <w:pPr>
        <w:jc w:val="both"/>
      </w:pPr>
      <w:r>
        <w:rPr>
          <w:b w:val="0"/>
          <w:color w:val="000000"/>
          <w:sz w:val="22"/>
        </w:rPr>
        <w:t>3. The detailed methodology, equations, and parameters used for the energy-density calculations should be provided in the Supporting Information.</w:t>
      </w:r>
    </w:p>
    <w:p>
      <w:pPr>
        <w:jc w:val="both"/>
      </w:pPr>
      <w:r>
        <w:rPr>
          <w:b/>
          <w:color w:val="0070C0"/>
          <w:sz w:val="22"/>
        </w:rPr>
        <w:t xml:space="preserve">Response: </w:t>
      </w:r>
      <w:r>
        <w:rPr>
          <w:color w:val="0070C0"/>
          <w:sz w:val="22"/>
        </w:rPr>
        <w:t>We agree that providing the full calculation details will improve reproducibility and transparency. Accordingly, we have added a dedicated section to the Supporting Information that describes the methodology, the governing equation, and the specific parameters used for the gravimetric energy-density calculations, as follows:</w:t>
      </w:r>
    </w:p>
    <w:p>
      <w:pPr>
        <w:jc w:val="left"/>
      </w:pPr>
      <w:r>
        <w:rPr>
          <w:b/>
          <w:color w:val="0070C0"/>
          <w:sz w:val="22"/>
        </w:rPr>
        <w:t>On page 6, Supporting Information:</w:t>
      </w:r>
    </w:p>
    <w:p>
      <w:pPr>
        <w:jc w:val="both"/>
      </w:pPr>
      <w:r>
        <w:rPr>
          <w:b/>
          <w:color w:val="FF00FF"/>
          <w:sz w:val="22"/>
        </w:rPr>
        <w:t>“ Calculations of energy density</w:t>
      </w:r>
    </w:p>
    <w:p>
      <w:pPr>
        <w:jc w:val="both"/>
      </w:pPr>
      <w:r>
        <w:rPr>
          <w:b w:val="0"/>
          <w:color w:val="FF00FF"/>
          <w:sz w:val="22"/>
        </w:rPr>
        <w:t>The gravimetric energy density is calculated by the following equation:</w:t>
      </w:r>
    </w:p>
    <w:p>
      <w:pPr>
        <w:jc w:val="center"/>
      </w:pPr>
      <w:r>
        <w:rPr>
          <w:b/>
          <w:color w:val="FF00FF"/>
          <w:sz w:val="24"/>
        </w:rPr>
        <w:t>Eg = (U × C) / Σmi</w:t>
      </w:r>
    </w:p>
    <w:p>
      <w:pPr>
        <w:jc w:val="both"/>
      </w:pPr>
      <w:r>
        <w:rPr>
          <w:b w:val="0"/>
          <w:color w:val="FF00FF"/>
          <w:sz w:val="22"/>
        </w:rPr>
        <w:t>where Eg is the gravimetric energy density (Wh kg⁻¹), U is the average voltage (3.36 V), C is the cell capacity (Ah), and Σmi is the total weight of the active materials at the anode and cathode (kg). In our anode-free cells, the mass of ultrathin ZnF₂ is negligible. Therefore, Σmi is the weight of the active material at the cathode.”</w:t>
      </w:r>
    </w:p>
    <w:p/>
    <w:p>
      <w:pPr>
        <w:jc w:val="both"/>
      </w:pPr>
      <w:r>
        <w:rPr>
          <w:b w:val="0"/>
          <w:color w:val="000000"/>
          <w:sz w:val="22"/>
        </w:rPr>
        <w:t>4. The benchmarking should be expanded to include more recently reported anode-free sodium battery systems to better position the present work within the current state of the art.</w:t>
      </w:r>
    </w:p>
    <w:p>
      <w:pPr>
        <w:jc w:val="both"/>
      </w:pPr>
      <w:r>
        <w:rPr>
          <w:b/>
          <w:color w:val="0070C0"/>
          <w:sz w:val="22"/>
        </w:rPr>
        <w:t xml:space="preserve">Response: </w:t>
      </w:r>
      <w:r>
        <w:rPr>
          <w:color w:val="0070C0"/>
          <w:sz w:val="22"/>
        </w:rPr>
        <w:t>We agree that a more comprehensive benchmarking is essential to contextualize our results within the rapidly evolving landscape of anode-free sodium batteries. We have therefore expanded the comparison to include seven recently reported systems (Table 2), covering a range of current collector designs, cathode materials, and mass loadings. Notably, the ZnF₂/Al║NVP cell achieves 62% capacity retention after 100 cycles at 1.0 C with a cathode mass loading of 14.3 mg cm⁻²—among the highest reported for this cell geometry—demonstrating the practical viability of our approach. The following table and the corresponding sentence on page 16 have been added to the revised manuscript:</w:t>
      </w:r>
    </w:p>
    <w:p>
      <w:pPr>
        <w:jc w:val="left"/>
      </w:pPr>
      <w:r>
        <w:rPr>
          <w:b/>
          <w:color w:val="FF00FF"/>
          <w:sz w:val="22"/>
        </w:rPr>
        <w:t>Table 2: Comparison of the cycling performance of anode-free full cells with previously reported studies</w:t>
      </w:r>
    </w:p>
    <w:tbl>
      <w:tblPr>
        <w:tblStyle w:val="TableGrid"/>
        <w:tblW w:type="auto" w:w="0"/>
        <w:tblLook w:firstColumn="1" w:firstRow="1" w:lastColumn="0" w:lastRow="0" w:noHBand="0" w:noVBand="1" w:val="04A0"/>
      </w:tblPr>
      <w:tblGrid>
        <w:gridCol w:w="1081"/>
        <w:gridCol w:w="1081"/>
        <w:gridCol w:w="1081"/>
        <w:gridCol w:w="1081"/>
        <w:gridCol w:w="1081"/>
        <w:gridCol w:w="1081"/>
        <w:gridCol w:w="1081"/>
        <w:gridCol w:w="1081"/>
      </w:tblGrid>
      <w:tr>
        <w:tc>
          <w:tcPr>
            <w:tcW w:type="dxa" w:w="1081"/>
            <w:shd w:val="clear" w:color="auto" w:fill="00B0F0"/>
          </w:tcPr>
          <w:p>
            <w:pPr>
              <w:jc w:val="center"/>
            </w:pPr>
            <w:r>
              <w:rPr>
                <w:b/>
                <w:sz w:val="18"/>
              </w:rPr>
              <w:t>No.</w:t>
            </w:r>
          </w:p>
        </w:tc>
        <w:tc>
          <w:tcPr>
            <w:tcW w:type="dxa" w:w="1081"/>
            <w:shd w:val="clear" w:color="auto" w:fill="00B0F0"/>
          </w:tcPr>
          <w:p>
            <w:pPr>
              <w:jc w:val="center"/>
            </w:pPr>
            <w:r>
              <w:rPr>
                <w:b/>
                <w:sz w:val="18"/>
              </w:rPr>
              <w:t>Anode</w:t>
            </w:r>
          </w:p>
        </w:tc>
        <w:tc>
          <w:tcPr>
            <w:tcW w:type="dxa" w:w="1081"/>
            <w:shd w:val="clear" w:color="auto" w:fill="00B0F0"/>
          </w:tcPr>
          <w:p>
            <w:pPr>
              <w:jc w:val="center"/>
            </w:pPr>
            <w:r>
              <w:rPr>
                <w:b/>
                <w:sz w:val="18"/>
              </w:rPr>
              <w:t>Cathode</w:t>
            </w:r>
          </w:p>
        </w:tc>
        <w:tc>
          <w:tcPr>
            <w:tcW w:type="dxa" w:w="1081"/>
            <w:shd w:val="clear" w:color="auto" w:fill="00B0F0"/>
          </w:tcPr>
          <w:p>
            <w:pPr>
              <w:jc w:val="center"/>
            </w:pPr>
            <w:r>
              <w:rPr>
                <w:b/>
                <w:sz w:val="18"/>
              </w:rPr>
              <w:t>Cathode mass loading (mg cm⁻²)</w:t>
            </w:r>
          </w:p>
        </w:tc>
        <w:tc>
          <w:tcPr>
            <w:tcW w:type="dxa" w:w="1081"/>
            <w:shd w:val="clear" w:color="auto" w:fill="00B0F0"/>
          </w:tcPr>
          <w:p>
            <w:pPr>
              <w:jc w:val="center"/>
            </w:pPr>
            <w:r>
              <w:rPr>
                <w:b/>
                <w:sz w:val="18"/>
              </w:rPr>
              <w:t>Current density</w:t>
            </w:r>
          </w:p>
        </w:tc>
        <w:tc>
          <w:tcPr>
            <w:tcW w:type="dxa" w:w="1081"/>
            <w:shd w:val="clear" w:color="auto" w:fill="00B0F0"/>
          </w:tcPr>
          <w:p>
            <w:pPr>
              <w:jc w:val="center"/>
            </w:pPr>
            <w:r>
              <w:rPr>
                <w:b/>
                <w:sz w:val="18"/>
              </w:rPr>
              <w:t>Cycling number</w:t>
            </w:r>
          </w:p>
        </w:tc>
        <w:tc>
          <w:tcPr>
            <w:tcW w:type="dxa" w:w="1081"/>
            <w:shd w:val="clear" w:color="auto" w:fill="00B0F0"/>
          </w:tcPr>
          <w:p>
            <w:pPr>
              <w:jc w:val="center"/>
            </w:pPr>
            <w:r>
              <w:rPr>
                <w:b/>
                <w:sz w:val="18"/>
              </w:rPr>
              <w:t>Capacity retention (%)</w:t>
            </w:r>
          </w:p>
        </w:tc>
        <w:tc>
          <w:tcPr>
            <w:tcW w:type="dxa" w:w="1081"/>
            <w:shd w:val="clear" w:color="auto" w:fill="00B0F0"/>
          </w:tcPr>
          <w:p>
            <w:pPr>
              <w:jc w:val="center"/>
            </w:pPr>
            <w:r>
              <w:rPr>
                <w:b/>
                <w:sz w:val="18"/>
              </w:rPr>
              <w:t>Ref.</w:t>
            </w:r>
          </w:p>
        </w:tc>
      </w:tr>
      <w:tr>
        <w:tc>
          <w:tcPr>
            <w:tcW w:type="dxa" w:w="1081"/>
          </w:tcPr>
          <w:p>
            <w:pPr>
              <w:jc w:val="center"/>
            </w:pPr>
            <w:r>
              <w:rPr>
                <w:sz w:val="18"/>
              </w:rPr>
              <w:t>1</w:t>
            </w:r>
          </w:p>
        </w:tc>
        <w:tc>
          <w:tcPr>
            <w:tcW w:type="dxa" w:w="1081"/>
          </w:tcPr>
          <w:p>
            <w:pPr>
              <w:jc w:val="center"/>
            </w:pPr>
            <w:r>
              <w:rPr>
                <w:sz w:val="18"/>
              </w:rPr>
              <w:t>F-A-Al</w:t>
            </w:r>
          </w:p>
        </w:tc>
        <w:tc>
          <w:tcPr>
            <w:tcW w:type="dxa" w:w="1081"/>
          </w:tcPr>
          <w:p>
            <w:pPr>
              <w:jc w:val="center"/>
            </w:pPr>
            <w:r>
              <w:rPr>
                <w:sz w:val="18"/>
              </w:rPr>
              <w:t>NVP</w:t>
            </w:r>
          </w:p>
        </w:tc>
        <w:tc>
          <w:tcPr>
            <w:tcW w:type="dxa" w:w="1081"/>
          </w:tcPr>
          <w:p>
            <w:pPr>
              <w:jc w:val="center"/>
            </w:pPr>
            <w:r>
              <w:rPr>
                <w:sz w:val="18"/>
              </w:rPr>
              <w:t>11.3</w:t>
            </w:r>
          </w:p>
        </w:tc>
        <w:tc>
          <w:tcPr>
            <w:tcW w:type="dxa" w:w="1081"/>
          </w:tcPr>
          <w:p>
            <w:pPr>
              <w:jc w:val="center"/>
            </w:pPr>
            <w:r>
              <w:rPr>
                <w:sz w:val="18"/>
              </w:rPr>
              <w:t>0.3 C</w:t>
            </w:r>
          </w:p>
        </w:tc>
        <w:tc>
          <w:tcPr>
            <w:tcW w:type="dxa" w:w="1081"/>
          </w:tcPr>
          <w:p>
            <w:pPr>
              <w:jc w:val="center"/>
            </w:pPr>
            <w:r>
              <w:rPr>
                <w:sz w:val="18"/>
              </w:rPr>
              <w:t>50</w:t>
            </w:r>
          </w:p>
        </w:tc>
        <w:tc>
          <w:tcPr>
            <w:tcW w:type="dxa" w:w="1081"/>
          </w:tcPr>
          <w:p>
            <w:pPr>
              <w:jc w:val="center"/>
            </w:pPr>
            <w:r>
              <w:rPr>
                <w:sz w:val="18"/>
              </w:rPr>
              <w:t>46.1</w:t>
            </w:r>
          </w:p>
        </w:tc>
        <w:tc>
          <w:tcPr>
            <w:tcW w:type="dxa" w:w="1081"/>
          </w:tcPr>
          <w:p>
            <w:pPr>
              <w:jc w:val="center"/>
            </w:pPr>
            <w:r>
              <w:rPr>
                <w:sz w:val="18"/>
              </w:rPr>
              <w:t>S11</w:t>
            </w:r>
          </w:p>
        </w:tc>
      </w:tr>
      <w:tr>
        <w:tc>
          <w:tcPr>
            <w:tcW w:type="dxa" w:w="1081"/>
          </w:tcPr>
          <w:p>
            <w:pPr>
              <w:jc w:val="center"/>
            </w:pPr>
            <w:r>
              <w:rPr>
                <w:sz w:val="18"/>
              </w:rPr>
              <w:t>2</w:t>
            </w:r>
          </w:p>
        </w:tc>
        <w:tc>
          <w:tcPr>
            <w:tcW w:type="dxa" w:w="1081"/>
          </w:tcPr>
          <w:p>
            <w:pPr>
              <w:jc w:val="center"/>
            </w:pPr>
            <w:r>
              <w:rPr>
                <w:sz w:val="18"/>
              </w:rPr>
              <w:t>Cu@Au</w:t>
            </w:r>
          </w:p>
        </w:tc>
        <w:tc>
          <w:tcPr>
            <w:tcW w:type="dxa" w:w="1081"/>
          </w:tcPr>
          <w:p>
            <w:pPr>
              <w:jc w:val="center"/>
            </w:pPr>
            <w:r>
              <w:rPr>
                <w:sz w:val="18"/>
              </w:rPr>
              <w:t>FeS₂</w:t>
            </w:r>
          </w:p>
        </w:tc>
        <w:tc>
          <w:tcPr>
            <w:tcW w:type="dxa" w:w="1081"/>
          </w:tcPr>
          <w:p>
            <w:pPr>
              <w:jc w:val="center"/>
            </w:pPr>
            <w:r>
              <w:rPr>
                <w:sz w:val="18"/>
              </w:rPr>
              <w:t>2</w:t>
            </w:r>
          </w:p>
        </w:tc>
        <w:tc>
          <w:tcPr>
            <w:tcW w:type="dxa" w:w="1081"/>
          </w:tcPr>
          <w:p>
            <w:pPr>
              <w:jc w:val="center"/>
            </w:pPr>
            <w:r>
              <w:rPr>
                <w:sz w:val="18"/>
              </w:rPr>
              <w:t>1.0 A g⁻¹</w:t>
            </w:r>
          </w:p>
        </w:tc>
        <w:tc>
          <w:tcPr>
            <w:tcW w:type="dxa" w:w="1081"/>
          </w:tcPr>
          <w:p>
            <w:pPr>
              <w:jc w:val="center"/>
            </w:pPr>
            <w:r>
              <w:rPr>
                <w:sz w:val="18"/>
              </w:rPr>
              <w:t>50</w:t>
            </w:r>
          </w:p>
        </w:tc>
        <w:tc>
          <w:tcPr>
            <w:tcW w:type="dxa" w:w="1081"/>
          </w:tcPr>
          <w:p>
            <w:pPr>
              <w:jc w:val="center"/>
            </w:pPr>
            <w:r>
              <w:rPr>
                <w:sz w:val="18"/>
              </w:rPr>
              <w:t>55</w:t>
            </w:r>
          </w:p>
        </w:tc>
        <w:tc>
          <w:tcPr>
            <w:tcW w:type="dxa" w:w="1081"/>
          </w:tcPr>
          <w:p>
            <w:pPr>
              <w:jc w:val="center"/>
            </w:pPr>
            <w:r>
              <w:rPr>
                <w:sz w:val="18"/>
              </w:rPr>
              <w:t>S12</w:t>
            </w:r>
          </w:p>
        </w:tc>
      </w:tr>
      <w:tr>
        <w:tc>
          <w:tcPr>
            <w:tcW w:type="dxa" w:w="1081"/>
          </w:tcPr>
          <w:p>
            <w:pPr>
              <w:jc w:val="center"/>
            </w:pPr>
            <w:r>
              <w:rPr>
                <w:sz w:val="18"/>
              </w:rPr>
              <w:t>3</w:t>
            </w:r>
          </w:p>
        </w:tc>
        <w:tc>
          <w:tcPr>
            <w:tcW w:type="dxa" w:w="1081"/>
          </w:tcPr>
          <w:p>
            <w:pPr>
              <w:jc w:val="center"/>
            </w:pPr>
            <w:r>
              <w:rPr>
                <w:sz w:val="18"/>
              </w:rPr>
              <w:t>AuPC</w:t>
            </w:r>
          </w:p>
        </w:tc>
        <w:tc>
          <w:tcPr>
            <w:tcW w:type="dxa" w:w="1081"/>
          </w:tcPr>
          <w:p>
            <w:pPr>
              <w:jc w:val="center"/>
            </w:pPr>
            <w:r>
              <w:rPr>
                <w:sz w:val="18"/>
              </w:rPr>
              <w:t>NVP</w:t>
            </w:r>
          </w:p>
        </w:tc>
        <w:tc>
          <w:tcPr>
            <w:tcW w:type="dxa" w:w="1081"/>
          </w:tcPr>
          <w:p>
            <w:pPr>
              <w:jc w:val="center"/>
            </w:pPr>
            <w:r>
              <w:rPr>
                <w:sz w:val="18"/>
              </w:rPr>
              <w:t>3.5</w:t>
            </w:r>
          </w:p>
        </w:tc>
        <w:tc>
          <w:tcPr>
            <w:tcW w:type="dxa" w:w="1081"/>
          </w:tcPr>
          <w:p>
            <w:pPr>
              <w:jc w:val="center"/>
            </w:pPr>
            <w:r>
              <w:rPr>
                <w:sz w:val="18"/>
              </w:rPr>
              <w:t>3.0 mA cm⁻²</w:t>
            </w:r>
          </w:p>
        </w:tc>
        <w:tc>
          <w:tcPr>
            <w:tcW w:type="dxa" w:w="1081"/>
          </w:tcPr>
          <w:p>
            <w:pPr>
              <w:jc w:val="center"/>
            </w:pPr>
            <w:r>
              <w:rPr>
                <w:sz w:val="18"/>
              </w:rPr>
              <w:t>100</w:t>
            </w:r>
          </w:p>
        </w:tc>
        <w:tc>
          <w:tcPr>
            <w:tcW w:type="dxa" w:w="1081"/>
          </w:tcPr>
          <w:p>
            <w:pPr>
              <w:jc w:val="center"/>
            </w:pPr>
            <w:r>
              <w:rPr>
                <w:sz w:val="18"/>
              </w:rPr>
              <w:t>31</w:t>
            </w:r>
          </w:p>
        </w:tc>
        <w:tc>
          <w:tcPr>
            <w:tcW w:type="dxa" w:w="1081"/>
          </w:tcPr>
          <w:p>
            <w:pPr>
              <w:jc w:val="center"/>
            </w:pPr>
            <w:r>
              <w:rPr>
                <w:sz w:val="18"/>
              </w:rPr>
              <w:t>S13</w:t>
            </w:r>
          </w:p>
        </w:tc>
      </w:tr>
      <w:tr>
        <w:tc>
          <w:tcPr>
            <w:tcW w:type="dxa" w:w="1081"/>
          </w:tcPr>
          <w:p>
            <w:pPr>
              <w:jc w:val="center"/>
            </w:pPr>
            <w:r>
              <w:rPr>
                <w:sz w:val="18"/>
              </w:rPr>
              <w:t>4</w:t>
            </w:r>
          </w:p>
        </w:tc>
        <w:tc>
          <w:tcPr>
            <w:tcW w:type="dxa" w:w="1081"/>
          </w:tcPr>
          <w:p>
            <w:pPr>
              <w:jc w:val="center"/>
            </w:pPr>
            <w:r>
              <w:rPr>
                <w:sz w:val="18"/>
              </w:rPr>
              <w:t>Al-Cu</w:t>
            </w:r>
          </w:p>
        </w:tc>
        <w:tc>
          <w:tcPr>
            <w:tcW w:type="dxa" w:w="1081"/>
          </w:tcPr>
          <w:p>
            <w:pPr>
              <w:jc w:val="center"/>
            </w:pPr>
            <w:r>
              <w:rPr>
                <w:sz w:val="18"/>
              </w:rPr>
              <w:t>NVP/C</w:t>
            </w:r>
          </w:p>
        </w:tc>
        <w:tc>
          <w:tcPr>
            <w:tcW w:type="dxa" w:w="1081"/>
          </w:tcPr>
          <w:p>
            <w:pPr>
              <w:jc w:val="center"/>
            </w:pPr>
            <w:r>
              <w:rPr>
                <w:sz w:val="18"/>
              </w:rPr>
              <w:t>3.5–4.0</w:t>
            </w:r>
          </w:p>
        </w:tc>
        <w:tc>
          <w:tcPr>
            <w:tcW w:type="dxa" w:w="1081"/>
          </w:tcPr>
          <w:p>
            <w:pPr>
              <w:jc w:val="center"/>
            </w:pPr>
            <w:r>
              <w:rPr>
                <w:sz w:val="18"/>
              </w:rPr>
              <w:t>1.0 C</w:t>
            </w:r>
          </w:p>
        </w:tc>
        <w:tc>
          <w:tcPr>
            <w:tcW w:type="dxa" w:w="1081"/>
          </w:tcPr>
          <w:p>
            <w:pPr>
              <w:jc w:val="center"/>
            </w:pPr>
            <w:r>
              <w:rPr>
                <w:sz w:val="18"/>
              </w:rPr>
              <w:t>50</w:t>
            </w:r>
          </w:p>
        </w:tc>
        <w:tc>
          <w:tcPr>
            <w:tcW w:type="dxa" w:w="1081"/>
          </w:tcPr>
          <w:p>
            <w:pPr>
              <w:jc w:val="center"/>
            </w:pPr>
            <w:r>
              <w:rPr>
                <w:sz w:val="18"/>
              </w:rPr>
              <w:t>72</w:t>
            </w:r>
          </w:p>
        </w:tc>
        <w:tc>
          <w:tcPr>
            <w:tcW w:type="dxa" w:w="1081"/>
          </w:tcPr>
          <w:p>
            <w:pPr>
              <w:jc w:val="center"/>
            </w:pPr>
            <w:r>
              <w:rPr>
                <w:sz w:val="18"/>
              </w:rPr>
              <w:t>S14</w:t>
            </w:r>
          </w:p>
        </w:tc>
      </w:tr>
      <w:tr>
        <w:tc>
          <w:tcPr>
            <w:tcW w:type="dxa" w:w="1081"/>
          </w:tcPr>
          <w:p>
            <w:pPr>
              <w:jc w:val="center"/>
            </w:pPr>
            <w:r>
              <w:rPr>
                <w:sz w:val="18"/>
              </w:rPr>
              <w:t>5</w:t>
            </w:r>
          </w:p>
        </w:tc>
        <w:tc>
          <w:tcPr>
            <w:tcW w:type="dxa" w:w="1081"/>
          </w:tcPr>
          <w:p>
            <w:pPr>
              <w:jc w:val="center"/>
            </w:pPr>
            <w:r>
              <w:rPr>
                <w:sz w:val="18"/>
              </w:rPr>
              <w:t>FCTD</w:t>
            </w:r>
          </w:p>
        </w:tc>
        <w:tc>
          <w:tcPr>
            <w:tcW w:type="dxa" w:w="1081"/>
          </w:tcPr>
          <w:p>
            <w:pPr>
              <w:jc w:val="center"/>
            </w:pPr>
            <w:r>
              <w:rPr>
                <w:sz w:val="18"/>
              </w:rPr>
              <w:t>NVP</w:t>
            </w:r>
          </w:p>
        </w:tc>
        <w:tc>
          <w:tcPr>
            <w:tcW w:type="dxa" w:w="1081"/>
          </w:tcPr>
          <w:p>
            <w:pPr>
              <w:jc w:val="center"/>
            </w:pPr>
            <w:r>
              <w:rPr>
                <w:sz w:val="18"/>
              </w:rPr>
              <w:t>7.4</w:t>
            </w:r>
          </w:p>
        </w:tc>
        <w:tc>
          <w:tcPr>
            <w:tcW w:type="dxa" w:w="1081"/>
          </w:tcPr>
          <w:p>
            <w:pPr>
              <w:jc w:val="center"/>
            </w:pPr>
            <w:r>
              <w:rPr>
                <w:sz w:val="18"/>
              </w:rPr>
              <w:t>2.0</w:t>
            </w:r>
          </w:p>
        </w:tc>
        <w:tc>
          <w:tcPr>
            <w:tcW w:type="dxa" w:w="1081"/>
          </w:tcPr>
          <w:p>
            <w:pPr>
              <w:jc w:val="center"/>
            </w:pPr>
            <w:r>
              <w:rPr>
                <w:sz w:val="18"/>
              </w:rPr>
              <w:t>100</w:t>
            </w:r>
          </w:p>
        </w:tc>
        <w:tc>
          <w:tcPr>
            <w:tcW w:type="dxa" w:w="1081"/>
          </w:tcPr>
          <w:p>
            <w:pPr>
              <w:jc w:val="center"/>
            </w:pPr>
            <w:r>
              <w:rPr>
                <w:sz w:val="18"/>
              </w:rPr>
              <w:t>74.7</w:t>
            </w:r>
          </w:p>
        </w:tc>
        <w:tc>
          <w:tcPr>
            <w:tcW w:type="dxa" w:w="1081"/>
          </w:tcPr>
          <w:p>
            <w:pPr>
              <w:jc w:val="center"/>
            </w:pPr>
            <w:r>
              <w:rPr>
                <w:sz w:val="18"/>
              </w:rPr>
              <w:t>S15</w:t>
            </w:r>
          </w:p>
        </w:tc>
      </w:tr>
      <w:tr>
        <w:tc>
          <w:tcPr>
            <w:tcW w:type="dxa" w:w="1081"/>
          </w:tcPr>
          <w:p>
            <w:pPr>
              <w:jc w:val="center"/>
            </w:pPr>
            <w:r>
              <w:rPr>
                <w:sz w:val="18"/>
              </w:rPr>
              <w:t>6</w:t>
            </w:r>
          </w:p>
        </w:tc>
        <w:tc>
          <w:tcPr>
            <w:tcW w:type="dxa" w:w="1081"/>
          </w:tcPr>
          <w:p>
            <w:pPr>
              <w:jc w:val="center"/>
            </w:pPr>
            <w:r>
              <w:rPr>
                <w:sz w:val="18"/>
              </w:rPr>
              <w:t>Sn/Al</w:t>
            </w:r>
          </w:p>
        </w:tc>
        <w:tc>
          <w:tcPr>
            <w:tcW w:type="dxa" w:w="1081"/>
          </w:tcPr>
          <w:p>
            <w:pPr>
              <w:jc w:val="center"/>
            </w:pPr>
            <w:r>
              <w:rPr>
                <w:sz w:val="18"/>
              </w:rPr>
              <w:t>NVP</w:t>
            </w:r>
          </w:p>
        </w:tc>
        <w:tc>
          <w:tcPr>
            <w:tcW w:type="dxa" w:w="1081"/>
          </w:tcPr>
          <w:p>
            <w:pPr>
              <w:jc w:val="center"/>
            </w:pPr>
            <w:r>
              <w:rPr>
                <w:sz w:val="18"/>
              </w:rPr>
              <w:t>18.32</w:t>
            </w:r>
          </w:p>
        </w:tc>
        <w:tc>
          <w:tcPr>
            <w:tcW w:type="dxa" w:w="1081"/>
          </w:tcPr>
          <w:p>
            <w:pPr>
              <w:jc w:val="center"/>
            </w:pPr>
            <w:r>
              <w:rPr>
                <w:sz w:val="18"/>
              </w:rPr>
              <w:t>1.0 C</w:t>
            </w:r>
          </w:p>
        </w:tc>
        <w:tc>
          <w:tcPr>
            <w:tcW w:type="dxa" w:w="1081"/>
          </w:tcPr>
          <w:p>
            <w:pPr>
              <w:jc w:val="center"/>
            </w:pPr>
            <w:r>
              <w:rPr>
                <w:sz w:val="18"/>
              </w:rPr>
              <w:t>88</w:t>
            </w:r>
          </w:p>
        </w:tc>
        <w:tc>
          <w:tcPr>
            <w:tcW w:type="dxa" w:w="1081"/>
          </w:tcPr>
          <w:p>
            <w:pPr>
              <w:jc w:val="center"/>
            </w:pPr>
            <w:r>
              <w:rPr>
                <w:sz w:val="18"/>
              </w:rPr>
              <w:t>~32</w:t>
            </w:r>
          </w:p>
        </w:tc>
        <w:tc>
          <w:tcPr>
            <w:tcW w:type="dxa" w:w="1081"/>
          </w:tcPr>
          <w:p>
            <w:pPr>
              <w:jc w:val="center"/>
            </w:pPr>
            <w:r>
              <w:rPr>
                <w:sz w:val="18"/>
              </w:rPr>
              <w:t>S16</w:t>
            </w:r>
          </w:p>
        </w:tc>
      </w:tr>
      <w:tr>
        <w:tc>
          <w:tcPr>
            <w:tcW w:type="dxa" w:w="1081"/>
          </w:tcPr>
          <w:p>
            <w:pPr>
              <w:jc w:val="center"/>
            </w:pPr>
            <w:r>
              <w:rPr>
                <w:sz w:val="18"/>
              </w:rPr>
              <w:t>7</w:t>
            </w:r>
          </w:p>
        </w:tc>
        <w:tc>
          <w:tcPr>
            <w:tcW w:type="dxa" w:w="1081"/>
          </w:tcPr>
          <w:p>
            <w:pPr>
              <w:jc w:val="center"/>
            </w:pPr>
            <w:r>
              <w:rPr>
                <w:sz w:val="18"/>
              </w:rPr>
              <w:t>Cu</w:t>
            </w:r>
          </w:p>
        </w:tc>
        <w:tc>
          <w:tcPr>
            <w:tcW w:type="dxa" w:w="1081"/>
          </w:tcPr>
          <w:p>
            <w:pPr>
              <w:jc w:val="center"/>
            </w:pPr>
            <w:r>
              <w:rPr>
                <w:sz w:val="18"/>
              </w:rPr>
              <w:t>NVP</w:t>
            </w:r>
          </w:p>
        </w:tc>
        <w:tc>
          <w:tcPr>
            <w:tcW w:type="dxa" w:w="1081"/>
          </w:tcPr>
          <w:p>
            <w:pPr>
              <w:jc w:val="center"/>
            </w:pPr>
            <w:r>
              <w:rPr>
                <w:sz w:val="18"/>
              </w:rPr>
              <w:t>4.0</w:t>
            </w:r>
          </w:p>
        </w:tc>
        <w:tc>
          <w:tcPr>
            <w:tcW w:type="dxa" w:w="1081"/>
          </w:tcPr>
          <w:p>
            <w:pPr>
              <w:jc w:val="center"/>
            </w:pPr>
            <w:r>
              <w:rPr>
                <w:sz w:val="18"/>
              </w:rPr>
              <w:t>0.5 mA cm⁻²</w:t>
            </w:r>
          </w:p>
        </w:tc>
        <w:tc>
          <w:tcPr>
            <w:tcW w:type="dxa" w:w="1081"/>
          </w:tcPr>
          <w:p>
            <w:pPr>
              <w:jc w:val="center"/>
            </w:pPr>
            <w:r>
              <w:rPr>
                <w:sz w:val="18"/>
              </w:rPr>
              <w:t>100</w:t>
            </w:r>
          </w:p>
        </w:tc>
        <w:tc>
          <w:tcPr>
            <w:tcW w:type="dxa" w:w="1081"/>
          </w:tcPr>
          <w:p>
            <w:pPr>
              <w:jc w:val="center"/>
            </w:pPr>
            <w:r>
              <w:rPr>
                <w:sz w:val="18"/>
              </w:rPr>
              <w:t>~55</w:t>
            </w:r>
          </w:p>
        </w:tc>
        <w:tc>
          <w:tcPr>
            <w:tcW w:type="dxa" w:w="1081"/>
          </w:tcPr>
          <w:p>
            <w:pPr>
              <w:jc w:val="center"/>
            </w:pPr>
            <w:r>
              <w:rPr>
                <w:sz w:val="18"/>
              </w:rPr>
              <w:t>S17</w:t>
            </w:r>
          </w:p>
        </w:tc>
      </w:tr>
      <w:tr>
        <w:tc>
          <w:tcPr>
            <w:tcW w:type="dxa" w:w="1081"/>
            <w:shd w:val="clear" w:color="auto" w:fill="DDEEFF"/>
          </w:tcPr>
          <w:p>
            <w:pPr>
              <w:jc w:val="center"/>
            </w:pPr>
            <w:r>
              <w:rPr>
                <w:b/>
                <w:sz w:val="18"/>
              </w:rPr>
              <w:t>8</w:t>
            </w:r>
          </w:p>
        </w:tc>
        <w:tc>
          <w:tcPr>
            <w:tcW w:type="dxa" w:w="1081"/>
            <w:shd w:val="clear" w:color="auto" w:fill="DDEEFF"/>
          </w:tcPr>
          <w:p>
            <w:pPr>
              <w:jc w:val="center"/>
            </w:pPr>
            <w:r>
              <w:rPr>
                <w:b/>
                <w:sz w:val="18"/>
              </w:rPr>
              <w:t>ZnF₂/Al</w:t>
            </w:r>
          </w:p>
        </w:tc>
        <w:tc>
          <w:tcPr>
            <w:tcW w:type="dxa" w:w="1081"/>
            <w:shd w:val="clear" w:color="auto" w:fill="DDEEFF"/>
          </w:tcPr>
          <w:p>
            <w:pPr>
              <w:jc w:val="center"/>
            </w:pPr>
            <w:r>
              <w:rPr>
                <w:b/>
                <w:sz w:val="18"/>
              </w:rPr>
              <w:t>NVP</w:t>
            </w:r>
          </w:p>
        </w:tc>
        <w:tc>
          <w:tcPr>
            <w:tcW w:type="dxa" w:w="1081"/>
            <w:shd w:val="clear" w:color="auto" w:fill="DDEEFF"/>
          </w:tcPr>
          <w:p>
            <w:pPr>
              <w:jc w:val="center"/>
            </w:pPr>
            <w:r>
              <w:rPr>
                <w:b/>
                <w:sz w:val="18"/>
              </w:rPr>
              <w:t>12.2</w:t>
            </w:r>
          </w:p>
        </w:tc>
        <w:tc>
          <w:tcPr>
            <w:tcW w:type="dxa" w:w="1081"/>
            <w:shd w:val="clear" w:color="auto" w:fill="DDEEFF"/>
          </w:tcPr>
          <w:p>
            <w:pPr>
              <w:jc w:val="center"/>
            </w:pPr>
            <w:r>
              <w:rPr>
                <w:b/>
                <w:sz w:val="18"/>
              </w:rPr>
              <w:t>0.1 C</w:t>
            </w:r>
          </w:p>
        </w:tc>
        <w:tc>
          <w:tcPr>
            <w:tcW w:type="dxa" w:w="1081"/>
            <w:shd w:val="clear" w:color="auto" w:fill="DDEEFF"/>
          </w:tcPr>
          <w:p>
            <w:pPr>
              <w:jc w:val="center"/>
            </w:pPr>
            <w:r>
              <w:rPr>
                <w:b/>
                <w:sz w:val="18"/>
              </w:rPr>
              <w:t>60</w:t>
            </w:r>
          </w:p>
        </w:tc>
        <w:tc>
          <w:tcPr>
            <w:tcW w:type="dxa" w:w="1081"/>
            <w:shd w:val="clear" w:color="auto" w:fill="DDEEFF"/>
          </w:tcPr>
          <w:p>
            <w:pPr>
              <w:jc w:val="center"/>
            </w:pPr>
            <w:r>
              <w:rPr>
                <w:b/>
                <w:sz w:val="18"/>
              </w:rPr>
              <w:t>55</w:t>
            </w:r>
          </w:p>
        </w:tc>
        <w:tc>
          <w:tcPr>
            <w:tcW w:type="dxa" w:w="1081"/>
            <w:shd w:val="clear" w:color="auto" w:fill="DDEEFF"/>
          </w:tcPr>
          <w:p>
            <w:pPr>
              <w:jc w:val="center"/>
            </w:pPr>
            <w:r>
              <w:rPr>
                <w:b/>
                <w:sz w:val="18"/>
              </w:rPr>
              <w:t>This work</w:t>
            </w:r>
          </w:p>
        </w:tc>
      </w:tr>
      <w:tr>
        <w:tc>
          <w:tcPr>
            <w:tcW w:type="dxa" w:w="1081"/>
            <w:shd w:val="clear" w:color="auto" w:fill="DDEEFF"/>
          </w:tcPr>
          <w:p>
            <w:pPr>
              <w:jc w:val="center"/>
            </w:pPr>
            <w:r>
              <w:rPr>
                <w:b/>
                <w:sz w:val="18"/>
              </w:rPr>
              <w:t>8</w:t>
            </w:r>
          </w:p>
        </w:tc>
        <w:tc>
          <w:tcPr>
            <w:tcW w:type="dxa" w:w="1081"/>
            <w:shd w:val="clear" w:color="auto" w:fill="DDEEFF"/>
          </w:tcPr>
          <w:p>
            <w:pPr>
              <w:jc w:val="center"/>
            </w:pPr>
            <w:r>
              <w:rPr>
                <w:b/>
                <w:sz w:val="18"/>
              </w:rPr>
              <w:t>ZnF₂/Al</w:t>
            </w:r>
          </w:p>
        </w:tc>
        <w:tc>
          <w:tcPr>
            <w:tcW w:type="dxa" w:w="1081"/>
            <w:shd w:val="clear" w:color="auto" w:fill="DDEEFF"/>
          </w:tcPr>
          <w:p>
            <w:pPr>
              <w:jc w:val="center"/>
            </w:pPr>
            <w:r>
              <w:rPr>
                <w:b/>
                <w:sz w:val="18"/>
              </w:rPr>
              <w:t>NVP</w:t>
            </w:r>
          </w:p>
        </w:tc>
        <w:tc>
          <w:tcPr>
            <w:tcW w:type="dxa" w:w="1081"/>
            <w:shd w:val="clear" w:color="auto" w:fill="DDEEFF"/>
          </w:tcPr>
          <w:p>
            <w:pPr>
              <w:jc w:val="center"/>
            </w:pPr>
            <w:r>
              <w:rPr>
                <w:b/>
                <w:sz w:val="18"/>
              </w:rPr>
              <w:t>14.3</w:t>
            </w:r>
          </w:p>
        </w:tc>
        <w:tc>
          <w:tcPr>
            <w:tcW w:type="dxa" w:w="1081"/>
            <w:shd w:val="clear" w:color="auto" w:fill="DDEEFF"/>
          </w:tcPr>
          <w:p>
            <w:pPr>
              <w:jc w:val="center"/>
            </w:pPr>
            <w:r>
              <w:rPr>
                <w:b/>
                <w:sz w:val="18"/>
              </w:rPr>
              <w:t>1.0 C</w:t>
            </w:r>
          </w:p>
        </w:tc>
        <w:tc>
          <w:tcPr>
            <w:tcW w:type="dxa" w:w="1081"/>
            <w:shd w:val="clear" w:color="auto" w:fill="DDEEFF"/>
          </w:tcPr>
          <w:p>
            <w:pPr>
              <w:jc w:val="center"/>
            </w:pPr>
            <w:r>
              <w:rPr>
                <w:b/>
                <w:sz w:val="18"/>
              </w:rPr>
              <w:t>100</w:t>
            </w:r>
          </w:p>
        </w:tc>
        <w:tc>
          <w:tcPr>
            <w:tcW w:type="dxa" w:w="1081"/>
            <w:shd w:val="clear" w:color="auto" w:fill="DDEEFF"/>
          </w:tcPr>
          <w:p>
            <w:pPr>
              <w:jc w:val="center"/>
            </w:pPr>
            <w:r>
              <w:rPr>
                <w:b/>
                <w:sz w:val="18"/>
              </w:rPr>
              <w:t>62</w:t>
            </w:r>
          </w:p>
        </w:tc>
        <w:tc>
          <w:tcPr>
            <w:tcW w:type="dxa" w:w="1081"/>
            <w:shd w:val="clear" w:color="auto" w:fill="DDEEFF"/>
          </w:tcPr>
          <w:p>
            <w:pPr>
              <w:jc w:val="center"/>
            </w:pPr>
            <w:r>
              <w:rPr>
                <w:b/>
                <w:sz w:val="18"/>
              </w:rPr>
              <w:t>This work</w:t>
            </w:r>
          </w:p>
        </w:tc>
      </w:tr>
    </w:tbl>
    <w:p/>
    <w:p>
      <w:pPr>
        <w:jc w:val="left"/>
      </w:pPr>
      <w:r>
        <w:rPr>
          <w:b/>
          <w:color w:val="0070C0"/>
          <w:sz w:val="22"/>
        </w:rPr>
        <w:t>On page 16:</w:t>
      </w:r>
    </w:p>
    <w:p>
      <w:pPr>
        <w:jc w:val="both"/>
      </w:pPr>
      <w:r>
        <w:rPr>
          <w:b w:val="0"/>
          <w:color w:val="FF00FF"/>
          <w:sz w:val="22"/>
        </w:rPr>
        <w:t>“… Consequently, the cycling performance of the ZnF₂/Al║NVP cell is comparable to, or even surpasses, that of previously reported systems, underscoring the effectiveness of the ZnF₂/Al CC (Table S1). …”</w:t>
      </w:r>
    </w:p>
    <w:p/>
    <w:p>
      <w:pPr>
        <w:jc w:val="both"/>
      </w:pPr>
      <w:r>
        <w:rPr>
          <w:b w:val="0"/>
          <w:color w:val="0070C0"/>
          <w:sz w:val="22"/>
        </w:rPr>
        <w:t>We trust that the revised manuscript now fully addresses all outstanding concerns. Should any further clarification be needed, we remain happy to respond. We are grateful for the Reviewer’s continued engagement and critical insight, which have substantially improved the quality of this work.</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