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Anti Fraud Resource Library Schema Outline</w:t>
      </w:r>
    </w:p>
    <w:p>
      <w:r>
        <w:rPr>
          <w:sz w:val="20"/>
        </w:rPr>
        <w:t>Discussion draft for Yuhao and Zong-Hua    29 October 2026</w:t>
      </w:r>
    </w:p>
    <w:p>
      <w:r>
        <w:t>Extend the resource catalog with source passages and reviewable content statements. The first discussion should agree on a useful question and the information needed to answer it.</w:t>
      </w:r>
    </w:p>
    <w:p>
      <w:pPr>
        <w:pStyle w:val="Heading1"/>
      </w:pPr>
      <w:r>
        <w:t>Current catalog</w:t>
      </w:r>
    </w:p>
    <w:p>
      <w:r>
        <w:t>The data contains 49 resources and 50 citation occurrences. The live v1 demo preserves assignments and their citation evidence. The compact v2 diagram reorganizes that catalog. V3 adds a proposed content layer. A catalog Citation keeps its original meaning as an occurrence in the resource list.</w:t>
      </w:r>
    </w:p>
    <w:p>
      <w:pPr>
        <w:pStyle w:val="Heading1"/>
      </w:pPr>
      <w:r>
        <w:t>Candidate questions</w:t>
      </w:r>
    </w:p>
    <w:p>
      <w:r>
        <w:t>1. Which resources describe a particular scam tactic, and where is the supporting passage?</w:t>
      </w:r>
    </w:p>
    <w:p>
      <w:r>
        <w:t>2. Which verification or support actions do those sources recommend, and in what context?</w:t>
      </w:r>
    </w:p>
    <w:p>
      <w:r>
        <w:t>3. Where do resources discuss the same concept, and how do their populations or settings differ?</w:t>
      </w:r>
    </w:p>
    <w:p>
      <w:pPr>
        <w:pStyle w:val="Heading1"/>
      </w:pPr>
      <w:r>
        <w:t>Preliminary content model</w:t>
      </w:r>
    </w:p>
    <w:tbl>
      <w:tblPr>
        <w:tblW w:type="auto" w:w="0"/>
        <w:jc w:val="center"/>
        <w:tblLayout w:type="fixed"/>
        <w:tblLook w:firstColumn="1" w:firstRow="1" w:lastColumn="0" w:lastRow="0" w:noHBand="0" w:noVBand="1" w:val="04A0"/>
      </w:tblPr>
      <w:tblGrid>
        <w:gridCol w:w="2160"/>
        <w:gridCol w:w="2664"/>
        <w:gridCol w:w="5400"/>
      </w:tblGrid>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rFonts w:ascii="Times New Roman" w:hAnsi="Times New Roman"/>
                <w:b/>
                <w:sz w:val="20"/>
              </w:rPr>
              <w:t>Record</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rFonts w:ascii="Times New Roman" w:hAnsi="Times New Roman"/>
                <w:b/>
                <w:sz w:val="20"/>
              </w:rPr>
              <w:t>Purpose</w:t>
            </w:r>
          </w:p>
        </w:tc>
        <w:tc>
          <w:tcPr>
            <w:tcW w:type="dxa" w:w="54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rFonts w:ascii="Times New Roman" w:hAnsi="Times New Roman"/>
                <w:b/>
                <w:sz w:val="20"/>
              </w:rPr>
              <w:t>Initial information</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rFonts w:ascii="Times New Roman" w:hAnsi="Times New Roman"/>
                <w:sz w:val="20"/>
              </w:rPr>
              <w:t>Resource</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rFonts w:ascii="Times New Roman" w:hAnsi="Times New Roman"/>
                <w:sz w:val="20"/>
              </w:rPr>
              <w:t>Existing catalog item</w:t>
            </w:r>
          </w:p>
        </w:tc>
        <w:tc>
          <w:tcPr>
            <w:tcW w:type="dxa" w:w="54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rFonts w:ascii="Times New Roman" w:hAnsi="Times New Roman"/>
                <w:sz w:val="20"/>
              </w:rPr>
              <w:t>Keep its ID and existing metadata.</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rFonts w:ascii="Times New Roman" w:hAnsi="Times New Roman"/>
                <w:sz w:val="20"/>
              </w:rPr>
              <w:t>EvidenceSpan</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rFonts w:ascii="Times New Roman" w:hAnsi="Times New Roman"/>
                <w:sz w:val="20"/>
              </w:rPr>
              <w:t>Exact source text</w:t>
            </w:r>
          </w:p>
        </w:tc>
        <w:tc>
          <w:tcPr>
            <w:tcW w:type="dxa" w:w="54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rFonts w:ascii="Times New Roman" w:hAnsi="Times New Roman"/>
                <w:sz w:val="20"/>
              </w:rPr>
              <w:t>id, resource_id, source_version, verbatim_text, locator_kind, locator, alignment_status</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rFonts w:ascii="Times New Roman" w:hAnsi="Times New Roman"/>
                <w:sz w:val="20"/>
              </w:rPr>
              <w:t>KnowledgeAssertion</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rFonts w:ascii="Times New Roman" w:hAnsi="Times New Roman"/>
                <w:sz w:val="20"/>
              </w:rPr>
              <w:t>A statement drawn from a source</w:t>
            </w:r>
          </w:p>
        </w:tc>
        <w:tc>
          <w:tcPr>
            <w:tcW w:type="dxa" w:w="54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rFonts w:ascii="Times New Roman" w:hAnsi="Times New Roman"/>
                <w:sz w:val="20"/>
              </w:rPr>
              <w:t>id, statement_type, statement_text, context, origin_method, review_status</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rFonts w:ascii="Times New Roman" w:hAnsi="Times New Roman"/>
                <w:sz w:val="20"/>
              </w:rPr>
              <w:t>Concept</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rFonts w:ascii="Times New Roman" w:hAnsi="Times New Roman"/>
                <w:sz w:val="20"/>
              </w:rPr>
              <w:t>A shared domain term</w:t>
            </w:r>
          </w:p>
        </w:tc>
        <w:tc>
          <w:tcPr>
            <w:tcW w:type="dxa" w:w="540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line="240" w:lineRule="auto"/>
            </w:pPr>
            <w:r>
              <w:rPr>
                <w:rFonts w:ascii="Times New Roman" w:hAnsi="Times New Roman"/>
                <w:sz w:val="20"/>
              </w:rPr>
              <w:t>id, kind, label, definition; reuse a Topic ID when the meanings match.</w:t>
            </w:r>
          </w:p>
        </w:tc>
      </w:tr>
    </w:tbl>
    <w:p>
      <w:pPr>
        <w:spacing w:before="100"/>
      </w:pPr>
      <w:r>
        <w:rPr>
          <w:sz w:val="20"/>
        </w:rPr>
        <w:t>Paths: Resource HAS_EVIDENCE_SPAN EvidenceSpan; KnowledgeAssertion SUPPORTED_BY EvidenceSpan; KnowledgeAssertion USES_CONCEPT Concept. The concept link can record its role, such as tactic or recommended_action.</w:t>
      </w:r>
    </w:p>
    <w:p>
      <w:pPr>
        <w:pStyle w:val="Heading1"/>
      </w:pPr>
      <w:r>
        <w:t>Preparation flow</w:t>
      </w:r>
    </w:p>
    <w:p>
      <w:r>
        <w:t>Obtain permitted source content, preserve its version and location, record statements and concepts, then check the source support before search. Manual entry can establish the first example.</w:t>
      </w:r>
    </w:p>
    <w:p>
      <w:pPr>
        <w:pStyle w:val="Heading1"/>
      </w:pPr>
      <w:r>
        <w:t>JCDL methods informing the outline</w:t>
      </w:r>
    </w:p>
    <w:p>
      <w:r>
        <w:rPr>
          <w:sz w:val="20"/>
        </w:rPr>
        <w:t xml:space="preserve">P1  Chekuri and Fox (2026), Sections 3–4, pp. 3–6. Represent internal document elements and retrieve their context. </w:t>
      </w:r>
      <w:hyperlink r:id="rId9">
        <w:r>
          <w:rPr>
            <w:color w:val="000000"/>
            <w:sz w:val="20"/>
            <w:rFonts w:ascii="Times New Roman" w:hAnsi="Times New Roman"/>
            <w:u w:val="single"/>
          </w:rPr>
          <w:t>Paper</w:t>
        </w:r>
      </w:hyperlink>
    </w:p>
    <w:p>
      <w:r>
        <w:rPr>
          <w:sz w:val="20"/>
        </w:rPr>
        <w:t xml:space="preserve">P2  Chen, Hou, and Zhang (2026), Section 3.1, p. 2. Use competency questions to define concepts and relationships. </w:t>
      </w:r>
      <w:hyperlink r:id="rId10">
        <w:r>
          <w:rPr>
            <w:color w:val="000000"/>
            <w:sz w:val="20"/>
            <w:rFonts w:ascii="Times New Roman" w:hAnsi="Times New Roman"/>
            <w:u w:val="single"/>
          </w:rPr>
          <w:t>Paper</w:t>
        </w:r>
      </w:hyperlink>
    </w:p>
    <w:p>
      <w:r>
        <w:rPr>
          <w:sz w:val="20"/>
        </w:rPr>
        <w:t xml:space="preserve">P3  Aboelnaga et al. (2026), Sections 3.2–4, pp. 3–4. Keep exact source passages and locations separate from proposed interpretations. </w:t>
      </w:r>
      <w:hyperlink r:id="rId11">
        <w:r>
          <w:rPr>
            <w:color w:val="000000"/>
            <w:sz w:val="20"/>
            <w:rFonts w:ascii="Times New Roman" w:hAnsi="Times New Roman"/>
            <w:u w:val="single"/>
          </w:rPr>
          <w:t>Paper</w:t>
        </w:r>
      </w:hyperlink>
    </w:p>
    <w:p>
      <w:r>
        <w:rPr>
          <w:sz w:val="20"/>
        </w:rPr>
        <w:t xml:space="preserve">P4  Gordea and Cotea (2026), Sections 2.1–2.4, pp. 2–4. Make review decisions inspectable and reversible. Section 2.4 stores the graph in PostgreSQL. </w:t>
      </w:r>
      <w:hyperlink r:id="rId12">
        <w:r>
          <w:rPr>
            <w:color w:val="000000"/>
            <w:sz w:val="20"/>
            <w:rFonts w:ascii="Times New Roman" w:hAnsi="Times New Roman"/>
            <w:u w:val="single"/>
          </w:rPr>
          <w:t>Paper</w:t>
        </w:r>
      </w:hyperlink>
    </w:p>
    <w:p>
      <w:r>
        <w:br w:type="page"/>
      </w:r>
    </w:p>
    <w:p>
      <w:pPr>
        <w:pStyle w:val="Title"/>
      </w:pPr>
      <w:r>
        <w:t>Questions for Discussion with Zong Hua</w:t>
      </w:r>
    </w:p>
    <w:p>
      <w:r>
        <w:rPr>
          <w:sz w:val="20"/>
        </w:rPr>
        <w:t>Decisions to settle before implementation</w:t>
      </w:r>
    </w:p>
    <w:p>
      <w:pPr>
        <w:pStyle w:val="Heading1"/>
      </w:pPr>
      <w:r>
        <w:t>1 First question and users</w:t>
      </w:r>
    </w:p>
    <w:p>
      <w:r>
        <w:t>Which candidate question should guide the first content example, and who will use the answer?</w:t>
      </w:r>
    </w:p>
    <w:p>
      <w:r>
        <w:rPr>
          <w:sz w:val="20"/>
        </w:rPr>
        <w:t>Starting point for discussion: Choose one narrow information need for older adults or staff providing reference help.</w:t>
      </w:r>
    </w:p>
    <w:p>
      <w:pPr>
        <w:pStyle w:val="Heading1"/>
      </w:pPr>
      <w:r>
        <w:t>2 Sources and access</w:t>
      </w:r>
    </w:p>
    <w:p>
      <w:r>
        <w:t>Which full texts, webpages, or transcripts can we obtain and retain? Which source version and location must each span identify?</w:t>
      </w:r>
    </w:p>
    <w:p>
      <w:r>
        <w:rPr>
          <w:sz w:val="20"/>
        </w:rPr>
        <w:t>Starting point for discussion: Select a few resources on the same topic. Start with text and add a transcript when access and permissions are clear.</w:t>
      </w:r>
    </w:p>
    <w:p>
      <w:pPr>
        <w:pStyle w:val="Heading1"/>
      </w:pPr>
      <w:r>
        <w:t>3 Vocabulary and statement meaning</w:t>
      </w:r>
    </w:p>
    <w:p>
      <w:r>
        <w:t>Which terms can reuse the existing Topic vocabulary? Which statement types and concept roles do we need?</w:t>
      </w:r>
    </w:p>
    <w:p>
      <w:r>
        <w:rPr>
          <w:sz w:val="20"/>
        </w:rPr>
        <w:t>Starting point for discussion: Consider scam type, contact channel, manipulation, requested action, and response action. Preserve population, setting, attribution, and qualifications.</w:t>
      </w:r>
    </w:p>
    <w:p>
      <w:pPr>
        <w:pStyle w:val="Heading1"/>
      </w:pPr>
      <w:r>
        <w:t>4 Review and visibility</w:t>
      </w:r>
    </w:p>
    <w:p>
      <w:r>
        <w:t>Who checks passage location, statement fidelity, and suitability for older adults? Which records can appear in public search?</w:t>
      </w:r>
    </w:p>
    <w:p>
      <w:r>
        <w:rPr>
          <w:sz w:val="20"/>
        </w:rPr>
        <w:t>Starting point for discussion: Keep these decisions distinct. Agree on reviewer, time, reason, and reversal history before choosing a detailed ReviewEvent design.</w:t>
      </w:r>
    </w:p>
    <w:p>
      <w:pPr>
        <w:pStyle w:val="Heading1"/>
      </w:pPr>
      <w:r>
        <w:t>5 Storage and integration</w:t>
      </w:r>
    </w:p>
    <w:p>
      <w:r>
        <w:t>Can MySQL hold the first content records? Which useful path query would justify maintaining Neo4j as well?</w:t>
      </w:r>
    </w:p>
    <w:p>
      <w:r>
        <w:rPr>
          <w:sz w:val="20"/>
        </w:rPr>
        <w:t>Starting point for discussion: Keep the existing catalog and demo. Use the same content example to discuss both representations.</w:t>
      </w:r>
    </w:p>
    <w:p>
      <w:pPr>
        <w:pStyle w:val="Heading1"/>
      </w:pPr>
      <w:r>
        <w:t>Work that can follow the discussion</w:t>
      </w:r>
    </w:p>
    <w:p>
      <w:r>
        <w:t>1. Agree on one question and select a few accessible resources on the same topic.</w:t>
        <w:br/>
        <w:t>2. Record a small set of statements with exact supporting passages.</w:t>
        <w:br/>
        <w:t>3. Revise the schema using those records and compare useful queries in both databases.</w:t>
      </w:r>
    </w:p>
    <w:p>
      <w:pPr>
        <w:pStyle w:val="Heading1"/>
      </w:pPr>
      <w:r>
        <w:t>Details reserved for the next design pass</w:t>
      </w:r>
    </w:p>
    <w:p>
      <w:r>
        <w:t>ContentVersion can become a separate record when several versions are retained. ReviewEvent can store reviewer, time, decision, reason, and reversal history. ExtractionRun is needed when machine extraction begins. The preliminary EvidenceSpan already requires an identifiable source version.</w:t>
      </w:r>
    </w:p>
    <w:p>
      <w:pPr>
        <w:pStyle w:val="Heading1"/>
      </w:pPr>
      <w:r>
        <w:t>Version and implementation status</w:t>
      </w:r>
    </w:p>
    <w:p>
      <w:r>
        <w:t>The original v2 presentation is retained. The revised deck contains the catalog diagram followed by the content-layer proposal. This update changes design documents only. The data, schema code, queries, containers, and running database remain unchanged.</w:t>
      </w:r>
    </w:p>
    <w:p>
      <w:r>
        <w:rPr>
          <w:sz w:val="20"/>
        </w:rPr>
        <w:t xml:space="preserve">GitHub design and separate discussion list: </w:t>
      </w:r>
      <w:hyperlink r:id="rId13">
        <w:r>
          <w:rPr>
            <w:color w:val="000000"/>
            <w:sz w:val="20"/>
            <w:rFonts w:ascii="Times New Roman" w:hAnsi="Times New Roman"/>
            <w:u w:val="single"/>
          </w:rPr>
          <w:t>Schema design</w:t>
        </w:r>
      </w:hyperlink>
      <w:r>
        <w:t xml:space="preserve">    </w:t>
      </w:r>
      <w:hyperlink r:id="rId14">
        <w:r>
          <w:rPr>
            <w:color w:val="000000"/>
            <w:sz w:val="20"/>
            <w:rFonts w:ascii="Times New Roman" w:hAnsi="Times New Roman"/>
            <w:u w:val="single"/>
          </w:rPr>
          <w:t>Discussion items</w:t>
        </w:r>
      </w:hyperlink>
    </w:p>
    <w:sectPr w:rsidR="00FC693F" w:rsidRPr="0006063C" w:rsidSect="00034616">
      <w:footerReference w:type="default" r:id="rId15"/>
      <w:pgSz w:w="12240" w:h="15840"/>
      <w:pgMar w:top="893"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Yuhao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imes New Roman" w:hAnsi="Times New Roman" w:eastAsia="Times New Roman" w:cs="Times New Roman"/>
      <w:b/>
      <w:color w:val="000000"/>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45/3805696.3846035" TargetMode="External"/><Relationship Id="rId10" Type="http://schemas.openxmlformats.org/officeDocument/2006/relationships/hyperlink" Target="https://doi.org/10.1145/3805696.3846056" TargetMode="External"/><Relationship Id="rId11" Type="http://schemas.openxmlformats.org/officeDocument/2006/relationships/hyperlink" Target="https://doi.org/10.1145/3805696.3846045" TargetMode="External"/><Relationship Id="rId12" Type="http://schemas.openxmlformats.org/officeDocument/2006/relationships/hyperlink" Target="https://doi.org/10.1145/3805696.3846516" TargetMode="External"/><Relationship Id="rId13" Type="http://schemas.openxmlformats.org/officeDocument/2006/relationships/hyperlink" Target="https://github.com/Logosss1/mysql-vs-neo4j/blob/main/docs/schema-design.md" TargetMode="External"/><Relationship Id="rId14" Type="http://schemas.openxmlformats.org/officeDocument/2006/relationships/hyperlink" Target="https://github.com/Logosss1/mysql-vs-neo4j/blob/main/docs/schema-discussion.md"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