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/>
          <w:b/>
          <w:sz w:val="36"/>
        </w:rPr>
        <w:t>PROJECT REPORT</w:t>
        <w:br/>
      </w:r>
      <w:r>
        <w:rPr>
          <w:rFonts w:ascii="Times New Roman" w:hAnsi="Times New Roman"/>
          <w:b/>
          <w:sz w:val="28"/>
        </w:rPr>
        <w:br/>
        <w:t>Advanced CRM Analytics &amp; Sales Intelligence System</w:t>
        <w:br/>
        <w:br/>
      </w:r>
      <w:r>
        <w:rPr>
          <w:rFonts w:ascii="Times New Roman" w:hAnsi="Times New Roman"/>
          <w:sz w:val="24"/>
        </w:rPr>
        <w:t>On</w:t>
        <w:br/>
      </w:r>
      <w:r>
        <w:rPr>
          <w:rFonts w:ascii="Times New Roman" w:hAnsi="Times New Roman"/>
          <w:b/>
          <w:sz w:val="24"/>
        </w:rPr>
        <w:t>Database Management (CIC-210)</w:t>
        <w:br/>
        <w:br/>
      </w:r>
      <w:r>
        <w:rPr>
          <w:rFonts w:ascii="Times New Roman" w:hAnsi="Times New Roman"/>
          <w:b/>
          <w:sz w:val="24"/>
        </w:rPr>
        <w:t>BACHELOR OF TECHNOLOGY</w:t>
        <w:br/>
        <w:t>IN</w:t>
        <w:br/>
        <w:t>COMPUTER SCIENCE AND ENGINEERING</w:t>
        <w:br/>
        <w:br/>
      </w:r>
      <w:r>
        <w:rPr>
          <w:rFonts w:ascii="Times New Roman" w:hAnsi="Times New Roman"/>
          <w:b/>
          <w:sz w:val="24"/>
        </w:rPr>
        <w:t>Submitted by:</w:t>
        <w:br/>
        <w:br/>
      </w:r>
      <w:r>
        <w:rPr>
          <w:rFonts w:ascii="Times New Roman" w:hAnsi="Times New Roman"/>
          <w:sz w:val="24"/>
        </w:rPr>
        <w:t>Param Aggarwal (36617702724)</w:t>
        <w:br/>
      </w:r>
      <w:r>
        <w:rPr>
          <w:rFonts w:ascii="Times New Roman" w:hAnsi="Times New Roman"/>
          <w:sz w:val="24"/>
        </w:rPr>
        <w:t>Hridhay Chaudhary (51717702724)</w:t>
        <w:br/>
        <w:br/>
      </w:r>
      <w:r>
        <w:rPr>
          <w:rFonts w:ascii="Times New Roman" w:hAnsi="Times New Roman"/>
          <w:b/>
          <w:sz w:val="24"/>
        </w:rPr>
        <w:t>4th Semester, C-Section</w:t>
        <w:br/>
        <w:br/>
      </w:r>
      <w:r>
        <w:rPr>
          <w:rFonts w:ascii="Times New Roman" w:hAnsi="Times New Roman"/>
          <w:sz w:val="24"/>
        </w:rPr>
        <w:t>Under the Supervision of</w:t>
        <w:br/>
      </w:r>
      <w:r>
        <w:rPr>
          <w:rFonts w:ascii="Times New Roman" w:hAnsi="Times New Roman"/>
          <w:b/>
          <w:sz w:val="24"/>
        </w:rPr>
        <w:t>Dr. Monika Bansal</w:t>
        <w:br/>
        <w:br/>
        <w:br/>
      </w:r>
    </w:p>
    <w:p>
      <w:pPr>
        <w:jc w:val="center"/>
      </w:pPr>
      <w:r>
        <w:rPr>
          <w:rFonts w:ascii="Times New Roman" w:hAnsi="Times New Roman"/>
          <w:b/>
          <w:sz w:val="24"/>
        </w:rPr>
        <w:t>VIVEKANANDA INSTITUTE OF PROFESSIONAL STUDIES</w:t>
        <w:br/>
        <w:t>TECHNICAL CAMPUS</w:t>
        <w:br/>
        <w:br/>
      </w:r>
    </w:p>
    <w:p>
      <w:pPr>
        <w:jc w:val="center"/>
      </w:pPr>
      <w:r>
        <w:rPr>
          <w:rFonts w:ascii="Times New Roman" w:hAnsi="Times New Roman"/>
          <w:sz w:val="20"/>
        </w:rPr>
        <w:t>Grade A++ Accredited Institution by NAAC</w:t>
        <w:br/>
        <w:t>NBA Accredited for MCA Programme</w:t>
        <w:br/>
        <w:t>Recognized under Section 2(f) by UGC</w:t>
        <w:br/>
        <w:t>Affiliated to GGSIP University, Delhi</w:t>
        <w:br/>
        <w:t>Recognized by Bar Council of India and AICTE</w:t>
        <w:br/>
        <w:t>An ISO 9001:2015 Certified Institution</w:t>
        <w:br/>
        <w:br/>
      </w:r>
    </w:p>
    <w:p>
      <w:pPr>
        <w:jc w:val="center"/>
      </w:pPr>
      <w:r>
        <w:rPr>
          <w:rFonts w:ascii="Times New Roman" w:hAnsi="Times New Roman"/>
          <w:b/>
          <w:sz w:val="24"/>
        </w:rPr>
        <w:t>2024-2028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LIST OF FIGURES</w:t>
      </w:r>
    </w:p>
    <w:p>
      <w:pPr>
        <w:spacing w:line="360" w:lineRule="auto" w:before="120" w:after="120"/>
      </w:pPr>
      <w:r>
        <w:rPr>
          <w:rFonts w:ascii="Times New Roman" w:hAnsi="Times New Roman"/>
          <w:sz w:val="24"/>
        </w:rPr>
        <w:t>Figure 1: Entity-Relationship Diagram — Full Schema</w:t>
      </w:r>
    </w:p>
    <w:p>
      <w:pPr>
        <w:spacing w:line="360" w:lineRule="auto" w:before="120" w:after="120"/>
      </w:pPr>
      <w:r>
        <w:rPr>
          <w:rFonts w:ascii="Times New Roman" w:hAnsi="Times New Roman"/>
          <w:sz w:val="24"/>
        </w:rPr>
        <w:t>Figure 2: System Architecture (3-Tier Design)</w:t>
      </w:r>
    </w:p>
    <w:p>
      <w:pPr>
        <w:spacing w:line="360" w:lineRule="auto" w:before="120" w:after="120"/>
      </w:pPr>
      <w:r>
        <w:rPr>
          <w:rFonts w:ascii="Times New Roman" w:hAnsi="Times New Roman"/>
          <w:sz w:val="24"/>
        </w:rPr>
        <w:t>Figure 3: Data Flow Diagram (Level 0 - External Perspective)</w:t>
      </w:r>
    </w:p>
    <w:p>
      <w:pPr>
        <w:spacing w:line="360" w:lineRule="auto" w:before="120" w:after="120"/>
      </w:pPr>
      <w:r>
        <w:rPr>
          <w:rFonts w:ascii="Times New Roman" w:hAnsi="Times New Roman"/>
          <w:sz w:val="24"/>
        </w:rPr>
        <w:t>Figure 4: Sales Pipeline Stages and Kanban Board</w:t>
      </w:r>
    </w:p>
    <w:p>
      <w:pPr>
        <w:spacing w:line="360" w:lineRule="auto" w:before="120" w:after="120"/>
      </w:pPr>
      <w:r>
        <w:rPr>
          <w:rFonts w:ascii="Times New Roman" w:hAnsi="Times New Roman"/>
          <w:sz w:val="24"/>
        </w:rPr>
        <w:t>Figure 5: Dashboard Screenshot - Real-time KPI Visualization</w:t>
      </w:r>
    </w:p>
    <w:p>
      <w:pPr>
        <w:spacing w:line="360" w:lineRule="auto" w:before="120" w:after="120"/>
      </w:pPr>
      <w:r>
        <w:rPr>
          <w:rFonts w:ascii="Times New Roman" w:hAnsi="Times New Roman"/>
          <w:sz w:val="24"/>
        </w:rPr>
        <w:t>Figure 6: Lead Management Interface - CRUD Operations</w:t>
      </w:r>
    </w:p>
    <w:p>
      <w:pPr>
        <w:spacing w:line="360" w:lineRule="auto" w:before="120" w:after="120"/>
      </w:pPr>
      <w:r>
        <w:rPr>
          <w:rFonts w:ascii="Times New Roman" w:hAnsi="Times New Roman"/>
          <w:sz w:val="24"/>
        </w:rPr>
        <w:t>Figure 7: System Normalization Progression</w:t>
      </w:r>
    </w:p>
    <w:p>
      <w:pPr>
        <w:spacing w:line="360" w:lineRule="auto" w:before="120" w:after="120"/>
      </w:pPr>
      <w:r>
        <w:rPr>
          <w:rFonts w:ascii="Times New Roman" w:hAnsi="Times New Roman"/>
          <w:sz w:val="24"/>
        </w:rPr>
        <w:t>Figure 8: Use Case Diagram - NexCRM System</w:t>
      </w:r>
    </w:p>
    <w:p>
      <w:pPr>
        <w:spacing w:line="360" w:lineRule="auto" w:before="120" w:after="120"/>
      </w:pPr>
      <w:r>
        <w:rPr>
          <w:rFonts w:ascii="Times New Roman" w:hAnsi="Times New Roman"/>
          <w:sz w:val="24"/>
        </w:rPr>
        <w:t>Figure 9: Database Relationships and Cardinality</w:t>
      </w:r>
    </w:p>
    <w:p>
      <w:pPr>
        <w:spacing w:line="360" w:lineRule="auto" w:before="120" w:after="120"/>
      </w:pPr>
      <w:r>
        <w:rPr>
          <w:rFonts w:ascii="Times New Roman" w:hAnsi="Times New Roman"/>
          <w:sz w:val="24"/>
        </w:rPr>
        <w:t>Figure 10: User Role-Based Access Control Architecture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CHAPTER 4</w:t>
        <w:br/>
        <w:t>PROJECT ANALYSIS AND DESIGN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8"/>
          <w:u w:val="single"/>
        </w:rPr>
        <w:t>4.1 Hardware and Software Requirements</w:t>
      </w:r>
    </w:p>
    <w:p>
      <w:pPr>
        <w:spacing w:line="360" w:lineRule="auto" w:before="120" w:after="120"/>
        <w:jc w:val="both"/>
      </w:pPr>
      <w:r>
        <w:rPr>
          <w:rFonts w:ascii="Times New Roman" w:hAnsi="Times New Roman"/>
          <w:sz w:val="24"/>
        </w:rPr>
        <w:t>This section outlines the hardware and software requirements for deploying and running NexCRM.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rPr>
                <w:rFonts w:ascii="Times New Roman" w:hAnsi="Times New Roman"/>
                <w:b/>
                <w:sz w:val="20"/>
              </w:rPr>
              <w:t>Component</w:t>
            </w:r>
          </w:p>
        </w:tc>
        <w:tc>
          <w:tcPr>
            <w:tcW w:type="dxa" w:w="4500"/>
          </w:tcPr>
          <w:p>
            <w:r>
              <w:rPr>
                <w:rFonts w:ascii="Times New Roman" w:hAnsi="Times New Roman"/>
                <w:b/>
                <w:sz w:val="20"/>
              </w:rPr>
              <w:t>Requirement</w:t>
            </w:r>
          </w:p>
        </w:tc>
      </w:tr>
      <w:tr>
        <w:tc>
          <w:tcPr>
            <w:tcW w:type="dxa" w:w="4500"/>
          </w:tcPr>
          <w:p>
            <w:r>
              <w:rPr>
                <w:rFonts w:ascii="Times New Roman" w:hAnsi="Times New Roman"/>
                <w:sz w:val="18"/>
              </w:rPr>
              <w:t>Processor</w:t>
            </w:r>
          </w:p>
        </w:tc>
        <w:tc>
          <w:tcPr>
            <w:tcW w:type="dxa" w:w="4500"/>
          </w:tcPr>
          <w:p>
            <w:r>
              <w:rPr>
                <w:rFonts w:ascii="Times New Roman" w:hAnsi="Times New Roman"/>
                <w:sz w:val="18"/>
              </w:rPr>
              <w:t>Intel Core i3 or quad-core equivalent</w:t>
            </w:r>
          </w:p>
        </w:tc>
      </w:tr>
      <w:tr>
        <w:tc>
          <w:tcPr>
            <w:tcW w:type="dxa" w:w="4500"/>
          </w:tcPr>
          <w:p>
            <w:r>
              <w:rPr>
                <w:rFonts w:ascii="Times New Roman" w:hAnsi="Times New Roman"/>
                <w:sz w:val="18"/>
              </w:rPr>
              <w:t>RAM</w:t>
            </w:r>
          </w:p>
        </w:tc>
        <w:tc>
          <w:tcPr>
            <w:tcW w:type="dxa" w:w="4500"/>
          </w:tcPr>
          <w:p>
            <w:r>
              <w:rPr>
                <w:rFonts w:ascii="Times New Roman" w:hAnsi="Times New Roman"/>
                <w:sz w:val="18"/>
              </w:rPr>
              <w:t>4 GB minimum (8 GB recommended)</w:t>
            </w:r>
          </w:p>
        </w:tc>
      </w:tr>
      <w:tr>
        <w:tc>
          <w:tcPr>
            <w:tcW w:type="dxa" w:w="4500"/>
          </w:tcPr>
          <w:p>
            <w:r>
              <w:rPr>
                <w:rFonts w:ascii="Times New Roman" w:hAnsi="Times New Roman"/>
                <w:sz w:val="18"/>
              </w:rPr>
              <w:t>Storage</w:t>
            </w:r>
          </w:p>
        </w:tc>
        <w:tc>
          <w:tcPr>
            <w:tcW w:type="dxa" w:w="4500"/>
          </w:tcPr>
          <w:p>
            <w:r>
              <w:rPr>
                <w:rFonts w:ascii="Times New Roman" w:hAnsi="Times New Roman"/>
                <w:sz w:val="18"/>
              </w:rPr>
              <w:t>20 GB free disk space</w:t>
            </w:r>
          </w:p>
        </w:tc>
      </w:tr>
      <w:tr>
        <w:tc>
          <w:tcPr>
            <w:tcW w:type="dxa" w:w="4500"/>
          </w:tcPr>
          <w:p>
            <w:r>
              <w:rPr>
                <w:rFonts w:ascii="Times New Roman" w:hAnsi="Times New Roman"/>
                <w:sz w:val="18"/>
              </w:rPr>
              <w:t>Network</w:t>
            </w:r>
          </w:p>
        </w:tc>
        <w:tc>
          <w:tcPr>
            <w:tcW w:type="dxa" w:w="4500"/>
          </w:tcPr>
          <w:p>
            <w:r>
              <w:rPr>
                <w:rFonts w:ascii="Times New Roman" w:hAnsi="Times New Roman"/>
                <w:sz w:val="18"/>
              </w:rPr>
              <w:t>Broadband (5 Mbps minimum)</w:t>
            </w:r>
          </w:p>
        </w:tc>
      </w:tr>
      <w:tr>
        <w:tc>
          <w:tcPr>
            <w:tcW w:type="dxa" w:w="4500"/>
          </w:tcPr>
          <w:p>
            <w:r>
              <w:rPr>
                <w:rFonts w:ascii="Times New Roman" w:hAnsi="Times New Roman"/>
                <w:sz w:val="18"/>
              </w:rPr>
              <w:t>Display</w:t>
            </w:r>
          </w:p>
        </w:tc>
        <w:tc>
          <w:tcPr>
            <w:tcW w:type="dxa" w:w="4500"/>
          </w:tcPr>
          <w:p>
            <w:r>
              <w:rPr>
                <w:rFonts w:ascii="Times New Roman" w:hAnsi="Times New Roman"/>
                <w:sz w:val="18"/>
              </w:rPr>
              <w:t>1366x768 resolution or higher</w:t>
            </w:r>
          </w:p>
        </w:tc>
      </w:tr>
    </w:tbl>
    <w:p/>
    <w:p>
      <w:pPr>
        <w:spacing w:before="120" w:after="120"/>
        <w:jc w:val="left"/>
      </w:pPr>
      <w:r>
        <w:rPr>
          <w:rFonts w:ascii="Times New Roman" w:hAnsi="Times New Roman"/>
          <w:b/>
          <w:sz w:val="28"/>
          <w:u w:val="single"/>
        </w:rPr>
        <w:t>4.2 ER Diagram and Database Schema</w:t>
      </w:r>
    </w:p>
    <w:p>
      <w:pPr>
        <w:spacing w:line="360" w:lineRule="auto" w:before="120" w:after="120"/>
        <w:jc w:val="both"/>
      </w:pPr>
      <w:r>
        <w:rPr>
          <w:rFonts w:ascii="Times New Roman" w:hAnsi="Times New Roman"/>
          <w:sz w:val="24"/>
        </w:rPr>
        <w:t>The Entity-Relationship Diagram below illustrates the complete database schema for NexCRM. The schema consists of 7 core entity types with relationships representing the business logic of lead management, customer relationship tracking, and sales pipeline management.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31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313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/>
          <w:b/>
          <w:i/>
          <w:sz w:val="20"/>
        </w:rPr>
        <w:t>Figure 1: Entity-Relationship Diagram — Complete Database Schema</w:t>
      </w:r>
    </w:p>
    <w:p/>
    <w:p>
      <w:pPr>
        <w:spacing w:before="120" w:after="120"/>
        <w:jc w:val="left"/>
      </w:pPr>
      <w:r>
        <w:rPr>
          <w:rFonts w:ascii="Times New Roman" w:hAnsi="Times New Roman"/>
          <w:b/>
          <w:sz w:val="28"/>
          <w:u w:val="single"/>
        </w:rPr>
        <w:t>4.3 System Architecture</w:t>
      </w:r>
    </w:p>
    <w:p>
      <w:pPr>
        <w:spacing w:line="360" w:lineRule="auto" w:before="120" w:after="120"/>
        <w:jc w:val="both"/>
      </w:pPr>
      <w:r>
        <w:rPr>
          <w:rFonts w:ascii="Times New Roman" w:hAnsi="Times New Roman"/>
          <w:sz w:val="24"/>
        </w:rPr>
        <w:t>NexCRM implements a modern three-tier client-server architecture, separating presentation, business logic, and data management concerns. This architecture enables independent scaling, security at multiple levels, and clean separation of responsibilities.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819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19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/>
          <w:b/>
          <w:i/>
          <w:sz w:val="20"/>
        </w:rPr>
        <w:t>Figure 2: System Architecture - 3-Tier Design with Technology Stack</w:t>
      </w:r>
    </w:p>
    <w:p/>
    <w:p>
      <w:pPr>
        <w:spacing w:before="120" w:after="120"/>
        <w:jc w:val="left"/>
      </w:pPr>
      <w:r>
        <w:rPr>
          <w:rFonts w:ascii="Times New Roman" w:hAnsi="Times New Roman"/>
          <w:b/>
          <w:sz w:val="28"/>
          <w:u w:val="single"/>
        </w:rPr>
        <w:t>4.4 Data Flow Architecture</w:t>
      </w:r>
    </w:p>
    <w:p>
      <w:pPr>
        <w:spacing w:line="360" w:lineRule="auto" w:before="120" w:after="120"/>
        <w:jc w:val="both"/>
      </w:pPr>
      <w:r>
        <w:rPr>
          <w:rFonts w:ascii="Times New Roman" w:hAnsi="Times New Roman"/>
          <w:sz w:val="24"/>
        </w:rPr>
        <w:t>The data flow diagram demonstrates how information moves through the NexCRM system. Users interact with the system through the presentation layer, which communicates with the application layer via HTTP/JSON REST APIs. The application layer processes business logic and communicates with PostgreSQL using SQL queries.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8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fd_level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3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/>
          <w:b/>
          <w:i/>
          <w:sz w:val="20"/>
        </w:rPr>
        <w:t>Figure 3: Data Flow Diagram (Level 0) - System Overview</w:t>
      </w:r>
    </w:p>
    <w:p/>
    <w:p>
      <w:pPr>
        <w:spacing w:before="120" w:after="120"/>
        <w:jc w:val="left"/>
      </w:pPr>
      <w:r>
        <w:rPr>
          <w:rFonts w:ascii="Times New Roman" w:hAnsi="Times New Roman"/>
          <w:b/>
          <w:sz w:val="28"/>
          <w:u w:val="single"/>
        </w:rPr>
        <w:t>4.5 Sales Pipeline and Kanban Board</w:t>
      </w:r>
    </w:p>
    <w:p>
      <w:pPr>
        <w:spacing w:line="360" w:lineRule="auto" w:before="120" w:after="120"/>
        <w:jc w:val="both"/>
      </w:pPr>
      <w:r>
        <w:rPr>
          <w:rFonts w:ascii="Times New Roman" w:hAnsi="Times New Roman"/>
          <w:sz w:val="24"/>
        </w:rPr>
        <w:t>The sales pipeline is organized into five distinct stages: Discovery (initial prospect engagement), Proposal (formal solution presentation), Negotiation (terms discussion), Won (closed deals), and Lost (rejected opportunities). The Kanban board interface provides visual management with drag-and-drop capability.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46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ipeline_st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46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/>
          <w:b/>
          <w:i/>
          <w:sz w:val="20"/>
        </w:rPr>
        <w:t>Figure 4: Sales Pipeline Stages with Kanban Board Interface</w:t>
      </w:r>
    </w:p>
    <w:p/>
    <w:p>
      <w:pPr>
        <w:spacing w:before="120" w:after="120"/>
        <w:jc w:val="left"/>
      </w:pPr>
      <w:r>
        <w:rPr>
          <w:rFonts w:ascii="Times New Roman" w:hAnsi="Times New Roman"/>
          <w:b/>
          <w:sz w:val="28"/>
          <w:u w:val="single"/>
        </w:rPr>
        <w:t>4.6 Application Screenshots</w:t>
      </w:r>
    </w:p>
    <w:p>
      <w:pPr>
        <w:spacing w:line="360" w:lineRule="auto" w:before="120" w:after="120"/>
        <w:jc w:val="both"/>
      </w:pPr>
      <w:r>
        <w:rPr>
          <w:rFonts w:ascii="Times New Roman" w:hAnsi="Times New Roman"/>
          <w:sz w:val="24"/>
        </w:rPr>
        <w:t>The following screenshots showcase the NexCRM user interface, demonstrating the modern, responsive design and intuitive user experience.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1508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ug-dashboard-after-f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508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/>
          <w:b/>
          <w:i/>
          <w:sz w:val="20"/>
        </w:rPr>
        <w:t>Figure 5: Dashboard - Real-time KPI Visualization and Analytics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9931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931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/>
          <w:b/>
          <w:i/>
          <w:sz w:val="20"/>
        </w:rPr>
        <w:t>Figure 6: Lead Management Interface - CRUD Operations and Status Tracking</w:t>
      </w:r>
    </w:p>
    <w:p/>
    <w:p>
      <w:pPr>
        <w:spacing w:before="120" w:after="120"/>
        <w:jc w:val="left"/>
      </w:pPr>
      <w:r>
        <w:rPr>
          <w:rFonts w:ascii="Times New Roman" w:hAnsi="Times New Roman"/>
          <w:b/>
          <w:sz w:val="28"/>
          <w:u w:val="single"/>
        </w:rPr>
        <w:t>4.7 Database Table Schemas</w:t>
      </w:r>
    </w:p>
    <w:p>
      <w:pPr>
        <w:spacing w:line="360" w:lineRule="auto" w:before="120" w:after="120"/>
        <w:jc w:val="both"/>
      </w:pPr>
      <w:r>
        <w:rPr>
          <w:rFonts w:ascii="Times New Roman" w:hAnsi="Times New Roman"/>
          <w:sz w:val="24"/>
        </w:rPr>
        <w:t>The following outlines the complete table structures with key attributes and constraints:</w:t>
      </w:r>
    </w:p>
    <w:p>
      <w:r>
        <w:rPr>
          <w:rFonts w:ascii="Times New Roman" w:hAnsi="Times New Roman"/>
          <w:b/>
          <w:sz w:val="22"/>
        </w:rPr>
        <w:t>Users Table:</w:t>
      </w:r>
    </w:p>
    <w:p>
      <w:pPr>
        <w:spacing w:line="360" w:lineRule="auto" w:before="120" w:after="120"/>
        <w:jc w:val="both"/>
      </w:pPr>
      <w:r>
        <w:rPr>
          <w:rFonts w:ascii="Times New Roman" w:hAnsi="Times New Roman"/>
          <w:sz w:val="24"/>
        </w:rPr>
        <w:t>Columns: id (BIGSERIAL PK), full_name (VARCHAR 120), email (CITEXT UNIQUE), password_hash (TEXT), role (ENUM: admin/manager/sales_rep), avatar_url (TEXT), is_active (BOOLEAN DEFAULT TRUE), created_at (TIMESTAMPTZ), updated_at (TIMESTAMPTZ)</w:t>
        <w:br/>
        <w:t>Indexes: idx_users_email, idx_users_role, idx_users_is_active</w:t>
        <w:br/>
        <w:t>Constraints: Email unique, not null constraints on critical fields</w:t>
      </w:r>
    </w:p>
    <w:p>
      <w:r>
        <w:rPr>
          <w:rFonts w:ascii="Times New Roman" w:hAnsi="Times New Roman"/>
          <w:b/>
          <w:sz w:val="22"/>
        </w:rPr>
        <w:t>Leads Table:</w:t>
      </w:r>
    </w:p>
    <w:p>
      <w:pPr>
        <w:spacing w:line="360" w:lineRule="auto" w:before="120" w:after="120"/>
        <w:jc w:val="both"/>
      </w:pPr>
      <w:r>
        <w:rPr>
          <w:rFonts w:ascii="Times New Roman" w:hAnsi="Times New Roman"/>
          <w:sz w:val="24"/>
        </w:rPr>
        <w:t>Columns: id (BIGSERIAL PK), name, email, phone, company, source, status (ENUM: new/contacted/qualified/lost/converted), score (INTEGER 0-100), estimated_value (NUMERIC), assigned_to (FK→users), created_by (FK→users), last_contacted_at, created_at, updated_at</w:t>
        <w:br/>
        <w:t>Indexes: idx_leads_status, idx_leads_assigned_to, idx_leads_created_by</w:t>
        <w:br/>
        <w:t>Constraints: Score check 0-100, unique constraint on email+company</w:t>
      </w:r>
    </w:p>
    <w:p>
      <w:r>
        <w:rPr>
          <w:rFonts w:ascii="Times New Roman" w:hAnsi="Times New Roman"/>
          <w:b/>
          <w:sz w:val="22"/>
        </w:rPr>
        <w:t>Customers Table:</w:t>
      </w:r>
    </w:p>
    <w:p>
      <w:pPr>
        <w:spacing w:line="360" w:lineRule="auto" w:before="120" w:after="120"/>
        <w:jc w:val="both"/>
      </w:pPr>
      <w:r>
        <w:rPr>
          <w:rFonts w:ascii="Times New Roman" w:hAnsi="Times New Roman"/>
          <w:sz w:val="24"/>
        </w:rPr>
        <w:t>Columns: id (BIGSERIAL PK), lead_id (FK→leads UNIQUE), name, email (CITEXT UNIQUE), phone, company, industry, owner_id (FK→users), lifecycle_stage (ENUM), total_revenue (NUMERIC), notes, created_at, updated_at</w:t>
        <w:br/>
        <w:t>Indexes: idx_customers_owner_id, idx_customers_lifecycle, idx_customers_lead_id</w:t>
        <w:br/>
        <w:t>Constraints: Referential integrity via FKs, total_revenue &gt;= 0</w:t>
      </w:r>
    </w:p>
    <w:p>
      <w:r>
        <w:rPr>
          <w:rFonts w:ascii="Times New Roman" w:hAnsi="Times New Roman"/>
          <w:b/>
          <w:sz w:val="22"/>
        </w:rPr>
        <w:t>Deals Table:</w:t>
      </w:r>
    </w:p>
    <w:p>
      <w:pPr>
        <w:spacing w:line="360" w:lineRule="auto" w:before="120" w:after="120"/>
        <w:jc w:val="both"/>
      </w:pPr>
      <w:r>
        <w:rPr>
          <w:rFonts w:ascii="Times New Roman" w:hAnsi="Times New Roman"/>
          <w:sz w:val="24"/>
        </w:rPr>
        <w:t>Columns: id (BIGSERIAL PK), title (VARCHAR 180), customer_id (FK→customers), lead_id (FK→leads), owner_id (FK→users), stage (ENUM: discovery/proposal/negotiation/won/lost), status (ENUM: open/won/lost), value (NUMERIC), probability (NUMERIC 0-100), expected_close_date (DATE), created_at, updated_at</w:t>
        <w:br/>
        <w:t>Indexes: idx_deals_stage, idx_deals_status, idx_deals_owner_id, idx_deals_customer_id</w:t>
        <w:br/>
        <w:t>Constraints: Value &gt;= 0, probability 0-100, stage-status consistency check</w:t>
      </w:r>
    </w:p>
    <w:p>
      <w:r>
        <w:rPr>
          <w:rFonts w:ascii="Times New Roman" w:hAnsi="Times New Roman"/>
          <w:b/>
          <w:sz w:val="22"/>
        </w:rPr>
        <w:t>Activities Table:</w:t>
      </w:r>
    </w:p>
    <w:p>
      <w:pPr>
        <w:spacing w:line="360" w:lineRule="auto" w:before="120" w:after="120"/>
        <w:jc w:val="both"/>
      </w:pPr>
      <w:r>
        <w:rPr>
          <w:rFonts w:ascii="Times New Roman" w:hAnsi="Times New Roman"/>
          <w:sz w:val="24"/>
        </w:rPr>
        <w:t>Columns: id (BIGSERIAL PK), type (ENUM: call/email/meeting/note/task), subject (VARCHAR 180), notes (TEXT), due_at (TIMESTAMPTZ), completed_at (TIMESTAMPTZ), related_lead_id (FK→leads), related_customer_id (FK→customers), related_deal_id (FK→deals), user_id (FK→users), created_at, updated_at</w:t>
        <w:br/>
        <w:t>Indexes: idx_activities_user_id, idx_activities_type, idx_activities_created_at</w:t>
        <w:br/>
        <w:t>Constraints: CASCADE delete on relationships, completion timing validation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8"/>
          <w:u w:val="single"/>
        </w:rPr>
        <w:t>4.8 Normalization Analysis</w:t>
      </w:r>
    </w:p>
    <w:p>
      <w:pPr>
        <w:spacing w:line="360" w:lineRule="auto" w:before="120" w:after="120"/>
        <w:jc w:val="both"/>
      </w:pPr>
      <w:r>
        <w:rPr>
          <w:rFonts w:ascii="Times New Roman" w:hAnsi="Times New Roman"/>
          <w:sz w:val="24"/>
        </w:rPr>
        <w:t>The database schema adheres to Third Normal Form (3NF), eliminating data redundancy and ensuring data integrity:</w:t>
        <w:br/>
        <w:br/>
        <w:t>1NF (First Normal Form): All tables contain atomic values with no repeating groups. Each row represents a single entity instance. Primary keys are defined on all tables.</w:t>
        <w:br/>
        <w:br/>
        <w:t>2NF (Second Normal Form): No non-prime attributes have partial dependencies on composite keys. Since most tables use single-column primary keys, 2NF is satisfied.</w:t>
        <w:br/>
        <w:br/>
        <w:t>3NF (Third Normal Form): No transitive dependencies exist. Company information is not duplicated across customer records. User roles do not determine permissions transitively.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CONCLUSIONS</w:t>
      </w:r>
    </w:p>
    <w:p>
      <w:pPr>
        <w:spacing w:line="360" w:lineRule="auto" w:before="120" w:after="120"/>
        <w:jc w:val="both"/>
      </w:pPr>
      <w:r>
        <w:rPr>
          <w:rFonts w:ascii="Times New Roman" w:hAnsi="Times New Roman"/>
          <w:sz w:val="24"/>
        </w:rPr>
        <w:t>NexCRM successfully demonstrates the integration of modern full-stack development with core DBMS principles. The project showcases:</w:t>
        <w:br/>
        <w:br/>
        <w:t>Database Excellence: Normalized PostgreSQL schema with proper indexing, foreign key relationships, and constraint enforcement</w:t>
        <w:br/>
        <w:t>Full-Stack Architecture: React frontend, Node.js/Express backend, and PostgreSQL database with clear separation of concerns</w:t>
        <w:br/>
        <w:t>Security Implementation: JWT authentication, role-based access control, and bcryptjs password hashing</w:t>
        <w:br/>
        <w:t>User Experience: Modern, responsive interface with drag-and-drop Kanban boards and real-time analytics</w:t>
        <w:br/>
        <w:t>Analytics Capability: Complex SQL queries, aggregations, and window functions for business intelligence</w:t>
        <w:br/>
        <w:br/>
        <w:t>The system is production-ready and immediately usable by small and medium-sized organizations seeking affordable, modern CRM solutions.</w:t>
      </w:r>
    </w:p>
    <w:sectPr w:rsidR="00FC693F" w:rsidRPr="0006063C" w:rsidSect="00034616">
      <w:footerReference w:type="default" r:id="rId15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</w:r>
    <w:r>
      <w:rPr>
        <w:rFonts w:ascii="Times New Roman" w:hAnsi="Times New Roman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