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3864"/>
          <w:sz w:val="48"/>
        </w:rPr>
        <w:t>Self-Healing AI Threat Detection</w:t>
      </w:r>
    </w:p>
    <w:p>
      <w:pPr>
        <w:spacing w:after="200"/>
      </w:pPr>
      <w:r>
        <w:rPr>
          <w:color w:val="595959"/>
          <w:sz w:val="24"/>
        </w:rPr>
        <w:t>Knowledge Transfer  ·  Engineering Handover</w:t>
      </w:r>
    </w:p>
    <w:p>
      <w:pPr>
        <w:shd w:val="clear" w:fill="F2F2F2"/>
      </w:pPr>
      <w:r>
        <w:rPr>
          <w:i/>
          <w:color w:val="595959"/>
          <w:sz w:val="19"/>
        </w:rPr>
        <w:t>Audience: senior engineer picking up the project   |   Duration: ~30 minutes   |   Covers: architecture, data, training, inference, enforcement, current status</w:t>
      </w:r>
    </w:p>
    <w:p/>
    <w:p>
      <w:pPr>
        <w:pStyle w:val="Heading1"/>
      </w:pPr>
      <w:r>
        <w:t>1. What this project is</w:t>
      </w:r>
    </w:p>
    <w:p>
      <w:r>
        <w:t>An AI-driven threat detection and response layer that sits alongside a WAF rather than replacing it. It scores every source IP from 0–100 using a trained model plus live threat intelligence plus local behavioural history, applies a graduated enforcement action based on that score, logs the decision, and lets the score decay over time so enforcement expires on its own.</w:t>
      </w:r>
    </w:p>
    <w:p>
      <w:r>
        <w:t>The core design thesis, and the thing worth leading with in any conversation about it:</w:t>
      </w:r>
    </w:p>
    <w:p>
      <w:pPr>
        <w:spacing w:before="120" w:after="160"/>
        <w:ind w:left="173" w:right="173"/>
        <w:shd w:val="clear" w:fill="EAF1F8"/>
      </w:pPr>
      <w:r>
        <w:rPr>
          <w:b/>
          <w:sz w:val="20"/>
        </w:rPr>
        <w:t xml:space="preserve">Thesis  </w:t>
      </w:r>
      <w:r>
        <w:rPr>
          <w:sz w:val="20"/>
        </w:rPr>
        <w:t>A WAF gives you a binary verdict from static rules. This gives you a continuous risk estimate from learned behaviour plus context, a proportional response, and a memory that fades. Detection, decision, action, memory and decay in one loop.</w:t>
      </w:r>
    </w:p>
    <w:p>
      <w:r>
        <w:t>Three properties follow from that, and they're the differentiators:</w:t>
      </w:r>
    </w:p>
    <w:p>
      <w:pPr>
        <w:pStyle w:val="ListBullet"/>
      </w:pPr>
      <w:r>
        <w:t>Graduated response instead of allow/deny. Rate-limit and challenge exist as first-class outcomes, which is what keeps a borderline classification from becoming a lost customer.</w:t>
      </w:r>
    </w:p>
    <w:p>
      <w:pPr>
        <w:pStyle w:val="ListBullet"/>
      </w:pPr>
      <w:r>
        <w:t>Time-aware enforcement. Every restriction carries an implicit TTL. Risk decays with inactivity, so blocklists self-clean instead of accumulating dead rules.</w:t>
      </w:r>
    </w:p>
    <w:p>
      <w:pPr>
        <w:pStyle w:val="ListBullet"/>
      </w:pPr>
      <w:r>
        <w:t>Composite scoring. The model never gets the final say alone — its probability is one weighted term among four. That's a deliberate safety property, not an implementation shortcut.</w:t>
      </w:r>
    </w:p>
    <w:p>
      <w:pPr>
        <w:pStyle w:val="Heading1"/>
      </w:pPr>
      <w:r>
        <w:t>2. Codebase layout — two subsystems</w:t>
      </w:r>
    </w:p>
    <w:p>
      <w:r>
        <w:t>The project is two separate codebases with two separate purposes. Almost all confusion about this project comes from conflating them, so establish this first.</w:t>
      </w:r>
    </w:p>
    <w:tbl>
      <w:tblPr>
        <w:tblStyle w:val="TableGrid"/>
        <w:tblW w:type="auto" w:w="0"/>
        <w:jc w:val="left"/>
        <w:tblLook w:firstColumn="1" w:firstRow="1" w:lastColumn="0" w:lastRow="0" w:noHBand="0" w:noVBand="1" w:val="04A0"/>
      </w:tblPr>
      <w:tblGrid>
        <w:gridCol w:w="2880"/>
        <w:gridCol w:w="2880"/>
        <w:gridCol w:w="2880"/>
      </w:tblGrid>
      <w:tr>
        <w:tc>
          <w:tcPr>
            <w:tcW w:type="dxa" w:w="1656"/>
          </w:tcPr>
          <w:p>
            <w:pPr>
              <w:shd w:val="clear" w:fill="D9E2F3"/>
            </w:pPr>
            <w:r/>
            <w:r>
              <w:rPr>
                <w:b/>
                <w:sz w:val="19"/>
              </w:rPr>
            </w:r>
          </w:p>
        </w:tc>
        <w:tc>
          <w:tcPr>
            <w:tcW w:type="dxa" w:w="3600"/>
          </w:tcPr>
          <w:p>
            <w:pPr>
              <w:shd w:val="clear" w:fill="D9E2F3"/>
            </w:pPr>
            <w:r/>
            <w:r>
              <w:rPr>
                <w:b/>
                <w:sz w:val="19"/>
              </w:rPr>
              <w:t>Detection Engine</w:t>
            </w:r>
          </w:p>
        </w:tc>
        <w:tc>
          <w:tcPr>
            <w:tcW w:type="dxa" w:w="3600"/>
          </w:tcPr>
          <w:p>
            <w:pPr>
              <w:shd w:val="clear" w:fill="D9E2F3"/>
            </w:pPr>
            <w:r/>
            <w:r>
              <w:rPr>
                <w:b/>
                <w:sz w:val="19"/>
              </w:rPr>
              <w:t>Enrichment Service</w:t>
            </w:r>
          </w:p>
        </w:tc>
      </w:tr>
      <w:tr>
        <w:tc>
          <w:tcPr>
            <w:tcW w:type="dxa" w:w="1656"/>
          </w:tcPr>
          <w:p>
            <w:pPr>
              <w:spacing w:after="40"/>
            </w:pPr>
            <w:r/>
            <w:r>
              <w:rPr>
                <w:sz w:val="19"/>
              </w:rPr>
              <w:t>Folder</w:t>
            </w:r>
          </w:p>
        </w:tc>
        <w:tc>
          <w:tcPr>
            <w:tcW w:type="dxa" w:w="3600"/>
          </w:tcPr>
          <w:p>
            <w:pPr>
              <w:spacing w:after="40"/>
            </w:pPr>
            <w:r/>
            <w:r>
              <w:rPr>
                <w:sz w:val="19"/>
              </w:rPr>
              <w:t>finalsinglenxt/finalsingle2/</w:t>
            </w:r>
          </w:p>
        </w:tc>
        <w:tc>
          <w:tcPr>
            <w:tcW w:type="dxa" w:w="3600"/>
          </w:tcPr>
          <w:p>
            <w:pPr>
              <w:spacing w:after="40"/>
            </w:pPr>
            <w:r/>
            <w:r>
              <w:rPr>
                <w:sz w:val="19"/>
              </w:rPr>
              <w:t>Self Heal AI Next/</w:t>
            </w:r>
          </w:p>
        </w:tc>
      </w:tr>
      <w:tr>
        <w:tc>
          <w:tcPr>
            <w:tcW w:type="dxa" w:w="1656"/>
          </w:tcPr>
          <w:p>
            <w:pPr>
              <w:spacing w:after="40"/>
            </w:pPr>
            <w:r/>
            <w:r>
              <w:rPr>
                <w:sz w:val="19"/>
              </w:rPr>
              <w:t>Role</w:t>
            </w:r>
          </w:p>
        </w:tc>
        <w:tc>
          <w:tcPr>
            <w:tcW w:type="dxa" w:w="3600"/>
          </w:tcPr>
          <w:p>
            <w:pPr>
              <w:spacing w:after="40"/>
            </w:pPr>
            <w:r/>
            <w:r>
              <w:rPr>
                <w:sz w:val="19"/>
              </w:rPr>
              <w:t>Model training, risk scoring, enforcement decisions, alerting</w:t>
            </w:r>
          </w:p>
        </w:tc>
        <w:tc>
          <w:tcPr>
            <w:tcW w:type="dxa" w:w="3600"/>
          </w:tcPr>
          <w:p>
            <w:pPr>
              <w:spacing w:after="40"/>
            </w:pPr>
            <w:r/>
            <w:r>
              <w:rPr>
                <w:sz w:val="19"/>
              </w:rPr>
              <w:t>Real-time IP context lookup, served as an API</w:t>
            </w:r>
          </w:p>
        </w:tc>
      </w:tr>
      <w:tr>
        <w:tc>
          <w:tcPr>
            <w:tcW w:type="dxa" w:w="1656"/>
          </w:tcPr>
          <w:p>
            <w:pPr>
              <w:spacing w:after="40"/>
            </w:pPr>
            <w:r/>
            <w:r>
              <w:rPr>
                <w:sz w:val="19"/>
              </w:rPr>
              <w:t>Entry point</w:t>
            </w:r>
          </w:p>
        </w:tc>
        <w:tc>
          <w:tcPr>
            <w:tcW w:type="dxa" w:w="3600"/>
          </w:tcPr>
          <w:p>
            <w:pPr>
              <w:spacing w:after="40"/>
            </w:pPr>
            <w:r/>
            <w:r>
              <w:rPr>
                <w:sz w:val="19"/>
              </w:rPr>
              <w:t>main.py (engine), selecttabs.py (demo UI)</w:t>
            </w:r>
          </w:p>
        </w:tc>
        <w:tc>
          <w:tcPr>
            <w:tcW w:type="dxa" w:w="3600"/>
          </w:tcPr>
          <w:p>
            <w:pPr>
              <w:spacing w:after="40"/>
            </w:pPr>
            <w:r/>
            <w:r>
              <w:rPr>
                <w:sz w:val="19"/>
              </w:rPr>
              <w:t>api/main.py (FastAPI)</w:t>
            </w:r>
          </w:p>
        </w:tc>
      </w:tr>
      <w:tr>
        <w:tc>
          <w:tcPr>
            <w:tcW w:type="dxa" w:w="1656"/>
          </w:tcPr>
          <w:p>
            <w:pPr>
              <w:spacing w:after="40"/>
            </w:pPr>
            <w:r/>
            <w:r>
              <w:rPr>
                <w:sz w:val="19"/>
              </w:rPr>
              <w:t>Stack</w:t>
            </w:r>
          </w:p>
        </w:tc>
        <w:tc>
          <w:tcPr>
            <w:tcW w:type="dxa" w:w="3600"/>
          </w:tcPr>
          <w:p>
            <w:pPr>
              <w:spacing w:after="40"/>
            </w:pPr>
            <w:r/>
            <w:r>
              <w:rPr>
                <w:sz w:val="19"/>
              </w:rPr>
              <w:t>pandas, scikit-learn, XGBoost, Streamlit</w:t>
            </w:r>
          </w:p>
        </w:tc>
        <w:tc>
          <w:tcPr>
            <w:tcW w:type="dxa" w:w="3600"/>
          </w:tcPr>
          <w:p>
            <w:pPr>
              <w:spacing w:after="40"/>
            </w:pPr>
            <w:r/>
            <w:r>
              <w:rPr>
                <w:sz w:val="19"/>
              </w:rPr>
              <w:t>FastAPI, Redis, SQLAlchemy/SQLite, MaxMind, Prometheus</w:t>
            </w:r>
          </w:p>
        </w:tc>
      </w:tr>
      <w:tr>
        <w:tc>
          <w:tcPr>
            <w:tcW w:type="dxa" w:w="1656"/>
          </w:tcPr>
          <w:p>
            <w:pPr>
              <w:spacing w:after="40"/>
            </w:pPr>
            <w:r/>
            <w:r>
              <w:rPr>
                <w:sz w:val="19"/>
              </w:rPr>
              <w:t>Runs as</w:t>
            </w:r>
          </w:p>
        </w:tc>
        <w:tc>
          <w:tcPr>
            <w:tcW w:type="dxa" w:w="3600"/>
          </w:tcPr>
          <w:p>
            <w:pPr>
              <w:spacing w:after="40"/>
            </w:pPr>
            <w:r/>
            <w:r>
              <w:rPr>
                <w:sz w:val="19"/>
              </w:rPr>
              <w:t>Batch training + in-process inference</w:t>
            </w:r>
          </w:p>
        </w:tc>
        <w:tc>
          <w:tcPr>
            <w:tcW w:type="dxa" w:w="3600"/>
          </w:tcPr>
          <w:p>
            <w:pPr>
              <w:spacing w:after="40"/>
            </w:pPr>
            <w:r/>
            <w:r>
              <w:rPr>
                <w:sz w:val="19"/>
              </w:rPr>
              <w:t>Long-running HTTP service</w:t>
            </w:r>
          </w:p>
        </w:tc>
      </w:tr>
      <w:tr>
        <w:tc>
          <w:tcPr>
            <w:tcW w:type="dxa" w:w="1656"/>
          </w:tcPr>
          <w:p>
            <w:pPr>
              <w:spacing w:after="40"/>
            </w:pPr>
            <w:r/>
            <w:r>
              <w:rPr>
                <w:sz w:val="19"/>
              </w:rPr>
              <w:t>Status</w:t>
            </w:r>
          </w:p>
        </w:tc>
        <w:tc>
          <w:tcPr>
            <w:tcW w:type="dxa" w:w="3600"/>
          </w:tcPr>
          <w:p>
            <w:pPr>
              <w:spacing w:after="40"/>
            </w:pPr>
            <w:r/>
            <w:r>
              <w:rPr>
                <w:sz w:val="19"/>
              </w:rPr>
              <w:t>Working PoC</w:t>
            </w:r>
          </w:p>
        </w:tc>
        <w:tc>
          <w:tcPr>
            <w:tcW w:type="dxa" w:w="3600"/>
          </w:tcPr>
          <w:p>
            <w:pPr>
              <w:spacing w:after="40"/>
            </w:pPr>
            <w:r/>
            <w:r>
              <w:rPr>
                <w:sz w:val="19"/>
              </w:rPr>
              <w:t>Production-grade, tested</w:t>
            </w:r>
          </w:p>
        </w:tc>
      </w:tr>
    </w:tbl>
    <w:p>
      <w:pPr>
        <w:spacing w:after="40"/>
      </w:pPr>
    </w:p>
    <w:p>
      <w:r>
        <w:t>They are designed to compose. The enrichment service emits a per-IP feature dict whose keys are exactly the intel columns the model consumes — abuseConfidenceScore, geo_risk_score, request_rate, failed_login_attempts, num_attack_reports, asn, last_seen_days_ago, ip_version, is_private_ip. One produces the feature vector, the other scores it.</w:t>
      </w:r>
    </w:p>
    <w:p>
      <w:pPr>
        <w:spacing w:before="120" w:after="160"/>
        <w:ind w:left="173" w:right="173"/>
        <w:shd w:val="clear" w:fill="FFF2E5"/>
      </w:pPr>
      <w:r>
        <w:rPr>
          <w:b/>
          <w:sz w:val="20"/>
        </w:rPr>
        <w:t xml:space="preserve">Important  </w:t>
      </w:r>
      <w:r>
        <w:rPr>
          <w:sz w:val="20"/>
        </w:rPr>
        <w:t>They are not wired together yet. The engine reads its features from a CSV; the service scores with its own weighted formula rather than the model. Joining them is the main outstanding piece of work and it is a contained one.</w:t>
      </w:r>
    </w:p>
    <w:p>
      <w:pPr>
        <w:pStyle w:val="Heading2"/>
      </w:pPr>
      <w:r>
        <w:t>Target architecture</w:t>
      </w:r>
    </w:p>
    <w:p>
      <w:pPr>
        <w:spacing w:before="80" w:after="160" w:line="240" w:lineRule="auto"/>
        <w:ind w:left="230"/>
        <w:shd w:val="clear" w:fill="F2F2F2"/>
      </w:pPr>
      <w:r>
        <w:rPr>
          <w:rFonts w:ascii="Consolas" w:hAnsi="Consolas"/>
          <w:sz w:val="17"/>
        </w:rPr>
        <w:t xml:space="preserve">  traffic ──► ENRICHMENT SERVICE ──► feature vector ──► DETECTION ENGINE ──► risk 0-100</w:t>
        <w:br/>
        <w:t xml:space="preserve">                (7 sources, async)      (~35 fields)       (XGBoost + intel        │</w:t>
        <w:br/>
        <w:t xml:space="preserve">                                                            + behaviour - decay)   │</w:t>
        <w:br/>
        <w:t xml:space="preserve">                                                                                   ▼</w:t>
        <w:br/>
        <w:t xml:space="preserve">        threat memory  ◄──  audit log  ◄──  enforcement action (allow/limit/challenge/block)</w:t>
        <w:br/>
        <w:t xml:space="preserve">              │                                                                    │</w:t>
        <w:br/>
        <w:t xml:space="preserve">              └──────────► decay feeds back into next score            critical ──►│ SOC email</w:t>
        <w:br/>
      </w:r>
    </w:p>
    <w:p>
      <w:pPr>
        <w:pStyle w:val="Heading1"/>
      </w:pPr>
      <w:r>
        <w:t>3. Subsystem A — Enrichment Service</w:t>
      </w:r>
    </w:p>
    <w:p>
      <w:r>
        <w:t>A multi-tenant FastAPI service. One meaningful endpoint: POST /enrich takes an IP and returns a ~35-field context record. Think of it as the feature store for the detection layer, built to sit in a request path.</w:t>
      </w:r>
    </w:p>
    <w:p>
      <w:pPr>
        <w:pStyle w:val="Heading2"/>
      </w:pPr>
      <w:r>
        <w:t>3.1 Data sources</w:t>
      </w:r>
    </w:p>
    <w:tbl>
      <w:tblPr>
        <w:tblStyle w:val="TableGrid"/>
        <w:tblW w:type="auto" w:w="0"/>
        <w:jc w:val="left"/>
        <w:tblLook w:firstColumn="1" w:firstRow="1" w:lastColumn="0" w:lastRow="0" w:noHBand="0" w:noVBand="1" w:val="04A0"/>
      </w:tblPr>
      <w:tblGrid>
        <w:gridCol w:w="2880"/>
        <w:gridCol w:w="2880"/>
        <w:gridCol w:w="2880"/>
      </w:tblGrid>
      <w:tr>
        <w:tc>
          <w:tcPr>
            <w:tcW w:type="dxa" w:w="1368"/>
          </w:tcPr>
          <w:p>
            <w:pPr>
              <w:shd w:val="clear" w:fill="D9E2F3"/>
            </w:pPr>
            <w:r/>
            <w:r>
              <w:rPr>
                <w:b/>
                <w:sz w:val="19"/>
              </w:rPr>
              <w:t>Source</w:t>
            </w:r>
          </w:p>
        </w:tc>
        <w:tc>
          <w:tcPr>
            <w:tcW w:type="dxa" w:w="3456"/>
          </w:tcPr>
          <w:p>
            <w:pPr>
              <w:shd w:val="clear" w:fill="D9E2F3"/>
            </w:pPr>
            <w:r/>
            <w:r>
              <w:rPr>
                <w:b/>
                <w:sz w:val="19"/>
              </w:rPr>
              <w:t>Provider</w:t>
            </w:r>
          </w:p>
        </w:tc>
        <w:tc>
          <w:tcPr>
            <w:tcW w:type="dxa" w:w="4032"/>
          </w:tcPr>
          <w:p>
            <w:pPr>
              <w:shd w:val="clear" w:fill="D9E2F3"/>
            </w:pPr>
            <w:r/>
            <w:r>
              <w:rPr>
                <w:b/>
                <w:sz w:val="19"/>
              </w:rPr>
              <w:t>Signals produced</w:t>
            </w:r>
          </w:p>
        </w:tc>
      </w:tr>
      <w:tr>
        <w:tc>
          <w:tcPr>
            <w:tcW w:type="dxa" w:w="1368"/>
          </w:tcPr>
          <w:p>
            <w:pPr>
              <w:spacing w:after="40"/>
            </w:pPr>
            <w:r/>
            <w:r>
              <w:rPr>
                <w:sz w:val="19"/>
              </w:rPr>
              <w:t>GeoIP</w:t>
            </w:r>
          </w:p>
        </w:tc>
        <w:tc>
          <w:tcPr>
            <w:tcW w:type="dxa" w:w="3456"/>
          </w:tcPr>
          <w:p>
            <w:pPr>
              <w:spacing w:after="40"/>
            </w:pPr>
            <w:r/>
            <w:r>
              <w:rPr>
                <w:sz w:val="19"/>
              </w:rPr>
              <w:t>MaxMind GeoLite2 (local .mmdb) + 3 online APIs + Nominatim</w:t>
            </w:r>
          </w:p>
        </w:tc>
        <w:tc>
          <w:tcPr>
            <w:tcW w:type="dxa" w:w="4032"/>
          </w:tcPr>
          <w:p>
            <w:pPr>
              <w:spacing w:after="40"/>
            </w:pPr>
            <w:r/>
            <w:r>
              <w:rPr>
                <w:sz w:val="19"/>
              </w:rPr>
              <w:t>country, countryCode, region, city, lat/lon, timezone</w:t>
            </w:r>
          </w:p>
        </w:tc>
      </w:tr>
      <w:tr>
        <w:tc>
          <w:tcPr>
            <w:tcW w:type="dxa" w:w="1368"/>
          </w:tcPr>
          <w:p>
            <w:pPr>
              <w:spacing w:after="40"/>
            </w:pPr>
            <w:r/>
            <w:r>
              <w:rPr>
                <w:sz w:val="19"/>
              </w:rPr>
              <w:t>ASN</w:t>
            </w:r>
          </w:p>
        </w:tc>
        <w:tc>
          <w:tcPr>
            <w:tcW w:type="dxa" w:w="3456"/>
          </w:tcPr>
          <w:p>
            <w:pPr>
              <w:spacing w:after="40"/>
            </w:pPr>
            <w:r/>
            <w:r>
              <w:rPr>
                <w:sz w:val="19"/>
              </w:rPr>
              <w:t>MaxMind GeoLite2-ASN (local .mmdb)</w:t>
            </w:r>
          </w:p>
        </w:tc>
        <w:tc>
          <w:tcPr>
            <w:tcW w:type="dxa" w:w="4032"/>
          </w:tcPr>
          <w:p>
            <w:pPr>
              <w:spacing w:after="40"/>
            </w:pPr>
            <w:r/>
            <w:r>
              <w:rPr>
                <w:sz w:val="19"/>
              </w:rPr>
              <w:t>asn, org</w:t>
            </w:r>
          </w:p>
        </w:tc>
      </w:tr>
      <w:tr>
        <w:tc>
          <w:tcPr>
            <w:tcW w:type="dxa" w:w="1368"/>
          </w:tcPr>
          <w:p>
            <w:pPr>
              <w:spacing w:after="40"/>
            </w:pPr>
            <w:r/>
            <w:r>
              <w:rPr>
                <w:sz w:val="19"/>
              </w:rPr>
              <w:t>Org lookup</w:t>
            </w:r>
          </w:p>
        </w:tc>
        <w:tc>
          <w:tcPr>
            <w:tcW w:type="dxa" w:w="3456"/>
          </w:tcPr>
          <w:p>
            <w:pPr>
              <w:spacing w:after="40"/>
            </w:pPr>
            <w:r/>
            <w:r>
              <w:rPr>
                <w:sz w:val="19"/>
              </w:rPr>
              <w:t>RIPE RDAP (live)</w:t>
            </w:r>
          </w:p>
        </w:tc>
        <w:tc>
          <w:tcPr>
            <w:tcW w:type="dxa" w:w="4032"/>
          </w:tcPr>
          <w:p>
            <w:pPr>
              <w:spacing w:after="40"/>
            </w:pPr>
            <w:r/>
            <w:r>
              <w:rPr>
                <w:sz w:val="19"/>
              </w:rPr>
              <w:t>customer_org_name</w:t>
            </w:r>
          </w:p>
        </w:tc>
      </w:tr>
      <w:tr>
        <w:tc>
          <w:tcPr>
            <w:tcW w:type="dxa" w:w="1368"/>
          </w:tcPr>
          <w:p>
            <w:pPr>
              <w:spacing w:after="40"/>
            </w:pPr>
            <w:r/>
            <w:r>
              <w:rPr>
                <w:sz w:val="19"/>
              </w:rPr>
              <w:t>Reputation</w:t>
            </w:r>
          </w:p>
        </w:tc>
        <w:tc>
          <w:tcPr>
            <w:tcW w:type="dxa" w:w="3456"/>
          </w:tcPr>
          <w:p>
            <w:pPr>
              <w:spacing w:after="40"/>
            </w:pPr>
            <w:r/>
            <w:r>
              <w:rPr>
                <w:sz w:val="19"/>
              </w:rPr>
              <w:t>AbuseIPDB API</w:t>
            </w:r>
          </w:p>
        </w:tc>
        <w:tc>
          <w:tcPr>
            <w:tcW w:type="dxa" w:w="4032"/>
          </w:tcPr>
          <w:p>
            <w:pPr>
              <w:spacing w:after="40"/>
            </w:pPr>
            <w:r/>
            <w:r>
              <w:rPr>
                <w:sz w:val="19"/>
              </w:rPr>
              <w:t>abuseConfidenceScore, num_attack_reports, is_whitelisted</w:t>
            </w:r>
          </w:p>
        </w:tc>
      </w:tr>
      <w:tr>
        <w:tc>
          <w:tcPr>
            <w:tcW w:type="dxa" w:w="1368"/>
          </w:tcPr>
          <w:p>
            <w:pPr>
              <w:spacing w:after="40"/>
            </w:pPr>
            <w:r/>
            <w:r>
              <w:rPr>
                <w:sz w:val="19"/>
              </w:rPr>
              <w:t>Anonymity</w:t>
            </w:r>
          </w:p>
        </w:tc>
        <w:tc>
          <w:tcPr>
            <w:tcW w:type="dxa" w:w="3456"/>
          </w:tcPr>
          <w:p>
            <w:pPr>
              <w:spacing w:after="40"/>
            </w:pPr>
            <w:r/>
            <w:r>
              <w:rPr>
                <w:sz w:val="19"/>
              </w:rPr>
              <w:t>Tor Project exit list, cached in Redis</w:t>
            </w:r>
          </w:p>
        </w:tc>
        <w:tc>
          <w:tcPr>
            <w:tcW w:type="dxa" w:w="4032"/>
          </w:tcPr>
          <w:p>
            <w:pPr>
              <w:spacing w:after="40"/>
            </w:pPr>
            <w:r/>
            <w:r>
              <w:rPr>
                <w:sz w:val="19"/>
              </w:rPr>
              <w:t>is_tor</w:t>
            </w:r>
          </w:p>
        </w:tc>
      </w:tr>
      <w:tr>
        <w:tc>
          <w:tcPr>
            <w:tcW w:type="dxa" w:w="1368"/>
          </w:tcPr>
          <w:p>
            <w:pPr>
              <w:spacing w:after="40"/>
            </w:pPr>
            <w:r/>
            <w:r>
              <w:rPr>
                <w:sz w:val="19"/>
              </w:rPr>
              <w:t>Velocity</w:t>
            </w:r>
          </w:p>
        </w:tc>
        <w:tc>
          <w:tcPr>
            <w:tcW w:type="dxa" w:w="3456"/>
          </w:tcPr>
          <w:p>
            <w:pPr>
              <w:spacing w:after="40"/>
            </w:pPr>
            <w:r/>
            <w:r>
              <w:rPr>
                <w:sz w:val="19"/>
              </w:rPr>
              <w:t>Redis sorted set, 60s sliding window</w:t>
            </w:r>
          </w:p>
        </w:tc>
        <w:tc>
          <w:tcPr>
            <w:tcW w:type="dxa" w:w="4032"/>
          </w:tcPr>
          <w:p>
            <w:pPr>
              <w:spacing w:after="40"/>
            </w:pPr>
            <w:r/>
            <w:r>
              <w:rPr>
                <w:sz w:val="19"/>
              </w:rPr>
              <w:t>request_rate</w:t>
            </w:r>
          </w:p>
        </w:tc>
      </w:tr>
      <w:tr>
        <w:tc>
          <w:tcPr>
            <w:tcW w:type="dxa" w:w="1368"/>
          </w:tcPr>
          <w:p>
            <w:pPr>
              <w:spacing w:after="40"/>
            </w:pPr>
            <w:r/>
            <w:r>
              <w:rPr>
                <w:sz w:val="19"/>
              </w:rPr>
              <w:t>Recency</w:t>
            </w:r>
          </w:p>
        </w:tc>
        <w:tc>
          <w:tcPr>
            <w:tcW w:type="dxa" w:w="3456"/>
          </w:tcPr>
          <w:p>
            <w:pPr>
              <w:spacing w:after="40"/>
            </w:pPr>
            <w:r/>
            <w:r>
              <w:rPr>
                <w:sz w:val="19"/>
              </w:rPr>
              <w:t>Redis</w:t>
            </w:r>
          </w:p>
        </w:tc>
        <w:tc>
          <w:tcPr>
            <w:tcW w:type="dxa" w:w="4032"/>
          </w:tcPr>
          <w:p>
            <w:pPr>
              <w:spacing w:after="40"/>
            </w:pPr>
            <w:r/>
            <w:r>
              <w:rPr>
                <w:sz w:val="19"/>
              </w:rPr>
              <w:t>last_seen_days_ago, failed_login_attempts</w:t>
            </w:r>
          </w:p>
        </w:tc>
      </w:tr>
    </w:tbl>
    <w:p>
      <w:pPr>
        <w:spacing w:after="40"/>
      </w:pPr>
    </w:p>
    <w:p>
      <w:pPr>
        <w:pStyle w:val="Heading2"/>
      </w:pPr>
      <w:r>
        <w:t>3.2 Concurrency and failure isolation</w:t>
      </w:r>
    </w:p>
    <w:p>
      <w:r>
        <w:t>This is the part worth walking through in a technical KT, because it is genuinely well built. All seven lookups dispatch concurrently, each individually guarded, with a global ceiling on top.</w:t>
      </w:r>
    </w:p>
    <w:p>
      <w:pPr>
        <w:spacing w:before="80" w:after="160" w:line="240" w:lineRule="auto"/>
        <w:ind w:left="230"/>
        <w:shd w:val="clear" w:fill="F2F2F2"/>
      </w:pPr>
      <w:r>
        <w:rPr>
          <w:rFonts w:ascii="Consolas" w:hAnsi="Consolas"/>
          <w:sz w:val="17"/>
        </w:rPr>
        <w:t>FeatureBuilder.build_features()          # enrichment/feature_builder.py</w:t>
        <w:br/>
        <w:br/>
        <w:t xml:space="preserve">  ThreadPoolExecutor(max_workers=12)</w:t>
        <w:br/>
        <w:t xml:space="preserve">  asyncio.gather( *[ _run_lookup_with_timeout(src, fn, per_source_timeout, ip) ] )</w:t>
        <w:br/>
        <w:t xml:space="preserve">      wrapped in asyncio.wait_for(..., timeout=ENRICHMENT_OVERALL_TIMEOUT_SECONDS)</w:t>
        <w:br/>
        <w:br/>
        <w:t xml:space="preserve">  per-source timeouts:  geoip 3.0s | abuse 4.0s | tor 2.0s | org 2.0s</w:t>
        <w:br/>
        <w:t xml:space="preserve">                        asn 1.0s   | redis 1.0s      global ceiling 8.0s</w:t>
      </w:r>
    </w:p>
    <w:p>
      <w:r>
        <w:t>Three layers of protection, each doing a distinct job:</w:t>
      </w:r>
    </w:p>
    <w:p>
      <w:pPr>
        <w:pStyle w:val="ListBullet"/>
      </w:pPr>
      <w:r>
        <w:t>Per-source timeout — a slow provider returns typed defaults for its fields only. Nothing else is affected.</w:t>
      </w:r>
    </w:p>
    <w:p>
      <w:pPr>
        <w:pStyle w:val="ListBullet"/>
      </w:pPr>
      <w:r>
        <w:t>Global timeout — bounds worst-case latency regardless of how many sources misbehave simultaneously.</w:t>
      </w:r>
    </w:p>
    <w:p>
      <w:pPr>
        <w:pStyle w:val="ListBullet"/>
      </w:pPr>
      <w:r>
        <w:t>Circuit breakers — the external calls (AbuseIPDB, Tor, RDAP) are wrapped in a breaker that opens after 5 consecutive failures and stays open for 60s, so a dead provider costs one failed call per minute rather than a timeout per request.</w:t>
      </w:r>
    </w:p>
    <w:p>
      <w:r>
        <w:t>The result is that partial degradation is the normal failure mode, never a failed request. Each response carries a source_status block with per-source availability and confidence, plus an aggregate data_quality_score, so a consumer can decide how much to trust a given record rather than guessing.</w:t>
      </w:r>
    </w:p>
    <w:p>
      <w:pPr>
        <w:pStyle w:val="Heading2"/>
      </w:pPr>
      <w:r>
        <w:t>3.3 GeoIP resolution strategy</w:t>
      </w:r>
    </w:p>
    <w:p>
      <w:r>
        <w:t>Worth a minute because it shows the level of care in this codebase, and because it's a real problem. Free geo databases resolve ISP address blocks to the ISP's routing hub, not the subscriber — an Airtel subscriber in Chennai resolves to Gurugram. The service handles this with a layered strategy:</w:t>
      </w:r>
    </w:p>
    <w:p>
      <w:pPr>
        <w:pStyle w:val="ListNumber"/>
      </w:pPr>
      <w:r>
        <w:t>MaxMind local lookup as the baseline — fast, offline, no rate limit.</w:t>
      </w:r>
    </w:p>
    <w:p>
      <w:pPr>
        <w:pStyle w:val="ListNumber"/>
      </w:pPr>
      <w:r>
        <w:t>If city or region is missing, query ipapi.co, ipwho.is and ipinfo.io concurrently and take a majority vote on city and region.</w:t>
      </w:r>
    </w:p>
    <w:p>
      <w:pPr>
        <w:pStyle w:val="ListNumber"/>
      </w:pPr>
      <w:r>
        <w:t>If still unresolved, reverse-geocode the coordinates via Nominatim, then via an offline reverse geocoder.</w:t>
      </w:r>
    </w:p>
    <w:p>
      <w:pPr>
        <w:pStyle w:val="ListNumber"/>
      </w:pPr>
      <w:r>
        <w:t>If the caller supplies client_lat / client_lon from browser geolocation, that overrides everything and the record is flagged location_precision = device_precise.</w:t>
      </w:r>
    </w:p>
    <w:p>
      <w:r>
        <w:t>Every resolution records its provider chain and a geo_location_confidence score, so the consumer knows whether it got a network estimate or a device-precise fix.</w:t>
      </w:r>
    </w:p>
    <w:p>
      <w:pPr>
        <w:pStyle w:val="Heading2"/>
      </w:pPr>
      <w:r>
        <w:t>3.4 Governance</w:t>
      </w:r>
    </w:p>
    <w:p>
      <w:pPr>
        <w:pStyle w:val="ListBullet"/>
      </w:pPr>
      <w:r>
        <w:t>Multi-tenant from the start — API key maps to a tenant ID, each with its own RPM quota enforced via a Redis sorted-set sliding window.</w:t>
      </w:r>
    </w:p>
    <w:p>
      <w:pPr>
        <w:pStyle w:val="ListBullet"/>
      </w:pPr>
      <w:r>
        <w:t>Dual audit trail — Redis for hot reads (capped list), SQLite via SQLAlchemy with connection pooling for retention. Tenant-scoped on read.</w:t>
      </w:r>
    </w:p>
    <w:p>
      <w:pPr>
        <w:pStyle w:val="ListBullet"/>
      </w:pPr>
      <w:r>
        <w:t>Observability — /healthz, /readyz, JSON /metrics, Prometheus /metrics/prometheus, request ID propagation on every response.</w:t>
      </w:r>
    </w:p>
    <w:p>
      <w:pPr>
        <w:pStyle w:val="Heading1"/>
      </w:pPr>
      <w:r>
        <w:t>4. Subsystem B — Detection Engine</w:t>
      </w:r>
    </w:p>
    <w:p>
      <w:r>
        <w:t>Everything in this section lives in finalsinglenxt/finalsingle2/main.py. It is compact — about 370 lines covering the full lifecycle from CSV to enforcement decision.</w:t>
      </w:r>
    </w:p>
    <w:p>
      <w:pPr>
        <w:pStyle w:val="Heading2"/>
      </w:pPr>
      <w:r>
        <w:t>4.1 The dataset</w:t>
      </w:r>
    </w:p>
    <w:p>
      <w:r>
        <w:t>40,000 flow records spanning roughly one month, 32 columns, binary Label with a ~14% positive rate. Synthetic, generated in-house — no production traffic has been used. Two column families:</w:t>
      </w:r>
    </w:p>
    <w:tbl>
      <w:tblPr>
        <w:tblStyle w:val="TableGrid"/>
        <w:tblW w:type="auto" w:w="0"/>
        <w:jc w:val="left"/>
        <w:tblLook w:firstColumn="1" w:firstRow="1" w:lastColumn="0" w:lastRow="0" w:noHBand="0" w:noVBand="1" w:val="04A0"/>
      </w:tblPr>
      <w:tblGrid>
        <w:gridCol w:w="4320"/>
        <w:gridCol w:w="4320"/>
      </w:tblGrid>
      <w:tr>
        <w:tc>
          <w:tcPr>
            <w:tcW w:type="dxa" w:w="2304"/>
          </w:tcPr>
          <w:p>
            <w:pPr>
              <w:shd w:val="clear" w:fill="D9E2F3"/>
            </w:pPr>
            <w:r/>
            <w:r>
              <w:rPr>
                <w:b/>
                <w:sz w:val="19"/>
              </w:rPr>
              <w:t>Family</w:t>
            </w:r>
          </w:p>
        </w:tc>
        <w:tc>
          <w:tcPr>
            <w:tcW w:type="dxa" w:w="6480"/>
          </w:tcPr>
          <w:p>
            <w:pPr>
              <w:shd w:val="clear" w:fill="D9E2F3"/>
            </w:pPr>
            <w:r/>
            <w:r>
              <w:rPr>
                <w:b/>
                <w:sz w:val="19"/>
              </w:rPr>
              <w:t>Columns</w:t>
            </w:r>
          </w:p>
        </w:tc>
      </w:tr>
      <w:tr>
        <w:tc>
          <w:tcPr>
            <w:tcW w:type="dxa" w:w="2304"/>
          </w:tcPr>
          <w:p>
            <w:pPr>
              <w:spacing w:after="40"/>
            </w:pPr>
            <w:r/>
            <w:r>
              <w:rPr>
                <w:sz w:val="19"/>
              </w:rPr>
              <w:t>Flow telemetry</w:t>
            </w:r>
          </w:p>
        </w:tc>
        <w:tc>
          <w:tcPr>
            <w:tcW w:type="dxa" w:w="6480"/>
          </w:tcPr>
          <w:p>
            <w:pPr>
              <w:spacing w:after="40"/>
            </w:pPr>
            <w:r/>
            <w:r>
              <w:rPr>
                <w:sz w:val="19"/>
              </w:rPr>
              <w:t>srcip, dstip, sport, dsport, proto, service, dur, sbytes, Spkts, Dpkts, sloss, dloss, is_ftp_login, Stime, Ltime</w:t>
            </w:r>
          </w:p>
        </w:tc>
      </w:tr>
      <w:tr>
        <w:tc>
          <w:tcPr>
            <w:tcW w:type="dxa" w:w="2304"/>
          </w:tcPr>
          <w:p>
            <w:pPr>
              <w:spacing w:after="40"/>
            </w:pPr>
            <w:r/>
            <w:r>
              <w:rPr>
                <w:sz w:val="19"/>
              </w:rPr>
              <w:t>IP intelligence (the join to Subsystem A)</w:t>
            </w:r>
          </w:p>
        </w:tc>
        <w:tc>
          <w:tcPr>
            <w:tcW w:type="dxa" w:w="6480"/>
          </w:tcPr>
          <w:p>
            <w:pPr>
              <w:spacing w:after="40"/>
            </w:pPr>
            <w:r/>
            <w:r>
              <w:rPr>
                <w:sz w:val="19"/>
              </w:rPr>
              <w:t>abuseConfidenceScore, num_attack_reports, vpn_proxy_flag, tor_exit_node, geo_risk_score, request_rate, failed_login_attempts, asn, org_enc, countryCode_enc, last_seen_days_ago, ip_version, is_private_ip</w:t>
            </w:r>
          </w:p>
        </w:tc>
      </w:tr>
    </w:tbl>
    <w:p>
      <w:pPr>
        <w:spacing w:after="40"/>
      </w:pPr>
    </w:p>
    <w:p>
      <w:r>
        <w:t>The synthetic generation was done with real care about realism — deliberate IP reuse pools so attacker IPs recur across time windows, probabilistic rather than deterministic protocol/service bias, overlapping traffic volume distributions, off-hours skew for malicious traffic, and intentionally weak correlations between packet counts and byte counts. The intent was to avoid a model that trivially separates the classes.</w:t>
      </w:r>
    </w:p>
    <w:p>
      <w:pPr>
        <w:pStyle w:val="Heading2"/>
      </w:pPr>
      <w:r>
        <w:t>4.2 Feature engineering</w:t>
      </w:r>
    </w:p>
    <w:p>
      <w:r>
        <w:t>Two passes, both in main.py.</w:t>
      </w:r>
    </w:p>
    <w:p>
      <w:r>
        <w:t>Derived flow features — feature_engineering():</w:t>
      </w:r>
    </w:p>
    <w:p>
      <w:pPr>
        <w:spacing w:before="80" w:after="160" w:line="240" w:lineRule="auto"/>
        <w:ind w:left="230"/>
        <w:shd w:val="clear" w:fill="F2F2F2"/>
      </w:pPr>
      <w:r>
        <w:rPr>
          <w:rFonts w:ascii="Consolas" w:hAnsi="Consolas"/>
          <w:sz w:val="17"/>
        </w:rPr>
        <w:t>dbytes           = Dpkts * (sbytes / Spkts)      # reconstructed destination bytes</w:t>
        <w:br/>
        <w:t>Sload            = sbytes / dur                  # source throughput</w:t>
        <w:br/>
        <w:t>Dload            = dbytes / dur                  # destination throughput</w:t>
        <w:br/>
        <w:t>smeansz          = sbytes / Spkts                # mean source packet size</w:t>
        <w:br/>
        <w:t>dmeansz          = dbytes / Dpkts                # mean destination packet size</w:t>
        <w:br/>
        <w:t>is_sm_ips_ports  = (srcip==dstip) &amp; (sport==dsport)   # reflection / loopback indicator</w:t>
        <w:br/>
        <w:t>hour             = Stime.dt.hour                 # temporal signal</w:t>
        <w:br/>
        <w:t>duration_gap     = (Ltime - Stime).seconds</w:t>
      </w:r>
    </w:p>
    <w:p>
      <w:r>
        <w:t>Windowed behavioural counts — add_behavioral_counts(). Sorted by Stime, then expanding cumcount per group. These are the features intended to capture scanning, fan-out and persistence:</w:t>
      </w:r>
    </w:p>
    <w:p>
      <w:pPr>
        <w:spacing w:before="80" w:after="160" w:line="240" w:lineRule="auto"/>
        <w:ind w:left="230"/>
        <w:shd w:val="clear" w:fill="F2F2F2"/>
      </w:pPr>
      <w:r>
        <w:rPr>
          <w:rFonts w:ascii="Consolas" w:hAnsi="Consolas"/>
          <w:sz w:val="17"/>
        </w:rPr>
        <w:t>ct_src_ltm        = cumcount by srcip                  # how active is this source</w:t>
        <w:br/>
        <w:t>ct_dst_ltm        = cumcount by dstip                  # how targeted is this destination</w:t>
        <w:br/>
        <w:t>ct_src_dport_ltm  = cumcount by (srcip, dsport)        # vertical port scan</w:t>
        <w:br/>
        <w:t>ct_dst_sport_ltm  = cumcount by (dstip, sport)         # horizontal scan</w:t>
        <w:br/>
        <w:t>ct_dst_src_ltm    = cumcount by (srcip, dstip)         # pair persistence</w:t>
      </w:r>
    </w:p>
    <w:p>
      <w:pPr>
        <w:spacing w:before="120" w:after="160"/>
        <w:ind w:left="173" w:right="173"/>
        <w:shd w:val="clear" w:fill="EAF1F8"/>
      </w:pPr>
      <w:r>
        <w:rPr>
          <w:b/>
          <w:sz w:val="20"/>
        </w:rPr>
        <w:t xml:space="preserve">Note  </w:t>
      </w:r>
      <w:r>
        <w:rPr>
          <w:sz w:val="20"/>
        </w:rPr>
        <w:t>These are expanding cumulative counts over the whole sorted frame, not true bounded rolling windows. Sorting by time means no future information leaks into a row, so it's causally safe — but the counts grow monotonically per key rather than reflecting a fixed lookback. Worth revisiting if you productionise this.</w:t>
      </w:r>
    </w:p>
    <w:p>
      <w:pPr>
        <w:pStyle w:val="Heading2"/>
      </w:pPr>
      <w:r>
        <w:t>4.3 Preprocessing</w:t>
      </w:r>
    </w:p>
    <w:p>
      <w:pPr>
        <w:spacing w:before="80" w:after="160" w:line="240" w:lineRule="auto"/>
        <w:ind w:left="230"/>
        <w:shd w:val="clear" w:fill="F2F2F2"/>
      </w:pPr>
      <w:r>
        <w:rPr>
          <w:rFonts w:ascii="Consolas" w:hAnsi="Consolas"/>
          <w:sz w:val="17"/>
        </w:rPr>
        <w:t>preprocess(df):</w:t>
        <w:br/>
        <w:t xml:space="preserve">    drop  = [srcip, dstip, Stime, Ltime, Label]      # identifiers + timestamps + target</w:t>
        <w:br/>
        <w:t xml:space="preserve">    X     = pd.get_dummies(df.drop(drop).fillna(0))  # one-hot categoricals</w:t>
        <w:br/>
        <w:t xml:space="preserve">    y     = df.Label</w:t>
        <w:br/>
        <w:t xml:space="preserve">    train_test_split(stratify=y, test_size=0.2, random_state=42)</w:t>
        <w:br/>
        <w:t xml:space="preserve">    StandardScaler().fit_transform(X_train)          # fit on train, transform test</w:t>
      </w:r>
    </w:p>
    <w:p>
      <w:r>
        <w:t>Identifiers are dropped rather than encoded, which is the right call — srcip as a feature would memorise the training set. The split is stratified to preserve the 14% positive rate on both sides, and the scaler is fit on train only.</w:t>
      </w:r>
    </w:p>
    <w:p>
      <w:pPr>
        <w:pStyle w:val="Heading2"/>
      </w:pPr>
      <w:r>
        <w:t>4.4 Model selection and training</w:t>
      </w:r>
    </w:p>
    <w:p>
      <w:r>
        <w:t>A champion-challenger setup. Three candidates spanning the complexity range:</w:t>
      </w:r>
    </w:p>
    <w:tbl>
      <w:tblPr>
        <w:tblStyle w:val="TableGrid"/>
        <w:tblW w:type="auto" w:w="0"/>
        <w:jc w:val="left"/>
        <w:tblLook w:firstColumn="1" w:firstRow="1" w:lastColumn="0" w:lastRow="0" w:noHBand="0" w:noVBand="1" w:val="04A0"/>
      </w:tblPr>
      <w:tblGrid>
        <w:gridCol w:w="2880"/>
        <w:gridCol w:w="2880"/>
        <w:gridCol w:w="2880"/>
      </w:tblGrid>
      <w:tr>
        <w:tc>
          <w:tcPr>
            <w:tcW w:type="dxa" w:w="2304"/>
          </w:tcPr>
          <w:p>
            <w:pPr>
              <w:shd w:val="clear" w:fill="D9E2F3"/>
            </w:pPr>
            <w:r/>
            <w:r>
              <w:rPr>
                <w:b/>
                <w:sz w:val="19"/>
              </w:rPr>
              <w:t>Model</w:t>
            </w:r>
          </w:p>
        </w:tc>
        <w:tc>
          <w:tcPr>
            <w:tcW w:type="dxa" w:w="2880"/>
          </w:tcPr>
          <w:p>
            <w:pPr>
              <w:shd w:val="clear" w:fill="D9E2F3"/>
            </w:pPr>
            <w:r/>
            <w:r>
              <w:rPr>
                <w:b/>
                <w:sz w:val="19"/>
              </w:rPr>
              <w:t>Configuration</w:t>
            </w:r>
          </w:p>
        </w:tc>
        <w:tc>
          <w:tcPr>
            <w:tcW w:type="dxa" w:w="3456"/>
          </w:tcPr>
          <w:p>
            <w:pPr>
              <w:shd w:val="clear" w:fill="D9E2F3"/>
            </w:pPr>
            <w:r/>
            <w:r>
              <w:rPr>
                <w:b/>
                <w:sz w:val="19"/>
              </w:rPr>
              <w:t>Role</w:t>
            </w:r>
          </w:p>
        </w:tc>
      </w:tr>
      <w:tr>
        <w:tc>
          <w:tcPr>
            <w:tcW w:type="dxa" w:w="2304"/>
          </w:tcPr>
          <w:p>
            <w:pPr>
              <w:spacing w:after="40"/>
            </w:pPr>
            <w:r/>
            <w:r>
              <w:rPr>
                <w:sz w:val="19"/>
              </w:rPr>
              <w:t>Logistic Regression</w:t>
            </w:r>
          </w:p>
        </w:tc>
        <w:tc>
          <w:tcPr>
            <w:tcW w:type="dxa" w:w="2880"/>
          </w:tcPr>
          <w:p>
            <w:pPr>
              <w:spacing w:after="40"/>
            </w:pPr>
            <w:r/>
            <w:r>
              <w:rPr>
                <w:sz w:val="19"/>
              </w:rPr>
              <w:t>max_iter=1000</w:t>
            </w:r>
          </w:p>
        </w:tc>
        <w:tc>
          <w:tcPr>
            <w:tcW w:type="dxa" w:w="3456"/>
          </w:tcPr>
          <w:p>
            <w:pPr>
              <w:spacing w:after="40"/>
            </w:pPr>
            <w:r/>
            <w:r>
              <w:rPr>
                <w:sz w:val="19"/>
              </w:rPr>
              <w:t>Interpretable linear baseline</w:t>
            </w:r>
          </w:p>
        </w:tc>
      </w:tr>
      <w:tr>
        <w:tc>
          <w:tcPr>
            <w:tcW w:type="dxa" w:w="2304"/>
          </w:tcPr>
          <w:p>
            <w:pPr>
              <w:spacing w:after="40"/>
            </w:pPr>
            <w:r/>
            <w:r>
              <w:rPr>
                <w:sz w:val="19"/>
              </w:rPr>
              <w:t>Random Forest</w:t>
            </w:r>
          </w:p>
        </w:tc>
        <w:tc>
          <w:tcPr>
            <w:tcW w:type="dxa" w:w="2880"/>
          </w:tcPr>
          <w:p>
            <w:pPr>
              <w:spacing w:after="40"/>
            </w:pPr>
            <w:r/>
            <w:r>
              <w:rPr>
                <w:sz w:val="19"/>
              </w:rPr>
              <w:t>n_estimators=200</w:t>
            </w:r>
          </w:p>
        </w:tc>
        <w:tc>
          <w:tcPr>
            <w:tcW w:type="dxa" w:w="3456"/>
          </w:tcPr>
          <w:p>
            <w:pPr>
              <w:spacing w:after="40"/>
            </w:pPr>
            <w:r/>
            <w:r>
              <w:rPr>
                <w:sz w:val="19"/>
              </w:rPr>
              <w:t>Non-linear, bagged</w:t>
            </w:r>
          </w:p>
        </w:tc>
      </w:tr>
      <w:tr>
        <w:tc>
          <w:tcPr>
            <w:tcW w:type="dxa" w:w="2304"/>
          </w:tcPr>
          <w:p>
            <w:pPr>
              <w:spacing w:after="40"/>
            </w:pPr>
            <w:r/>
            <w:r>
              <w:rPr>
                <w:sz w:val="19"/>
              </w:rPr>
              <w:t>XGBoost</w:t>
            </w:r>
          </w:p>
        </w:tc>
        <w:tc>
          <w:tcPr>
            <w:tcW w:type="dxa" w:w="2880"/>
          </w:tcPr>
          <w:p>
            <w:pPr>
              <w:spacing w:after="40"/>
            </w:pPr>
            <w:r/>
            <w:r>
              <w:rPr>
                <w:sz w:val="19"/>
              </w:rPr>
              <w:t>eval_metric='logloss'</w:t>
            </w:r>
          </w:p>
        </w:tc>
        <w:tc>
          <w:tcPr>
            <w:tcW w:type="dxa" w:w="3456"/>
          </w:tcPr>
          <w:p>
            <w:pPr>
              <w:spacing w:after="40"/>
            </w:pPr>
            <w:r/>
            <w:r>
              <w:rPr>
                <w:sz w:val="19"/>
              </w:rPr>
              <w:t>Gradient-boosted champion</w:t>
            </w:r>
          </w:p>
        </w:tc>
      </w:tr>
    </w:tbl>
    <w:p>
      <w:pPr>
        <w:spacing w:after="40"/>
      </w:pPr>
    </w:p>
    <w:p>
      <w:r>
        <w:t>Selection is on ROC-AUC rather than accuracy, which is the correct instinct for a 14%-positive problem — accuracy is dominated by the majority class and would reward a model that never predicts an attack.</w:t>
      </w:r>
    </w:p>
    <w:p>
      <w:r>
        <w:t>Production training — preprocess_and_train() — is a two-stage pipeline:</w:t>
      </w:r>
    </w:p>
    <w:p>
      <w:pPr>
        <w:spacing w:before="80" w:after="160" w:line="240" w:lineRule="auto"/>
        <w:ind w:left="230"/>
        <w:shd w:val="clear" w:fill="F2F2F2"/>
      </w:pPr>
      <w:r>
        <w:rPr>
          <w:rFonts w:ascii="Consolas" w:hAnsi="Consolas"/>
          <w:sz w:val="17"/>
        </w:rPr>
        <w:t>Stage 1   RandomForestClassifier(n_estimators=300, max_depth=10)</w:t>
        <w:br/>
        <w:t xml:space="preserve">          fit on the full feature matrix</w:t>
        <w:br/>
        <w:t xml:space="preserve">          rank by .feature_importances_  ──►  keep top 15</w:t>
        <w:br/>
        <w:br/>
        <w:t>Stage 2   rebuild X using only those 15 features</w:t>
        <w:br/>
        <w:t xml:space="preserve">          fresh StandardScaler on the reduced matrix</w:t>
        <w:br/>
        <w:t xml:space="preserve">          XGBClassifier(eval_metric='logloss').fit(X_scaled, y)</w:t>
        <w:br/>
        <w:br/>
        <w:t>returns   (model, scaler, top_features)     # all three needed at inference</w:t>
      </w:r>
    </w:p>
    <w:p>
      <w:r>
        <w:t>Using an RF purely as a feature selector and then boosting on the reduced set is a reasonable pattern — it cuts dimensionality after one-hot encoding, reduces variance, and makes the model easier to explain. The three returned objects are what inference needs: without the same scaler and the same column order, predictions are meaningless.</w:t>
      </w:r>
    </w:p>
    <w:p>
      <w:pPr>
        <w:pStyle w:val="Heading2"/>
      </w:pPr>
      <w:r>
        <w:t>4.5 Validation methodology</w:t>
      </w:r>
    </w:p>
    <w:p>
      <w:r>
        <w:t>Two things here are better practice than you usually see in a PoC, and they're worth calling out:</w:t>
      </w:r>
    </w:p>
    <w:p>
      <w:r>
        <w:t>Deliberate label noise — inject_noise() flips 15% of labels before training. The intent was to stop the synthetic data producing implausibly clean results, on the reasoning that a PoC reporting near-perfect separation isn't credible.</w:t>
      </w:r>
    </w:p>
    <w:p>
      <w:r>
        <w:t>Label-shuffle leakage test — leakage_test() permutes the target, retrains all three models, and reports ROC-AUC. If a shuffled-label model still scores well above 0.5, you have leakage. This runs in the UI and the result is displayed alongside the real benchmark. Building an explicit negative control into the demo is a genuinely good habit.</w:t>
      </w:r>
    </w:p>
    <w:p>
      <w:pPr>
        <w:pStyle w:val="Heading2"/>
      </w:pPr>
      <w:r>
        <w:t>4.6 Inference path</w:t>
      </w:r>
    </w:p>
    <w:p>
      <w:r>
        <w:t>run_realtime_engine(event, model, scaler, features) — one event in, one decision out.</w:t>
      </w:r>
    </w:p>
    <w:p>
      <w:pPr>
        <w:spacing w:before="80" w:after="160" w:line="240" w:lineRule="auto"/>
        <w:ind w:left="230"/>
        <w:shd w:val="clear" w:fill="F2F2F2"/>
      </w:pPr>
      <w:r>
        <w:rPr>
          <w:rFonts w:ascii="Consolas" w:hAnsi="Consolas"/>
          <w:sz w:val="17"/>
        </w:rPr>
        <w:t>1  X = pd.get_dummies(DataFrame([event])).reindex(columns=features, fill_value=0)</w:t>
        <w:br/>
        <w:t xml:space="preserve">                                    # reindex enforces training column order &amp; fills gaps</w:t>
        <w:br/>
        <w:t>2  X_scaled = scaler.transform(X)</w:t>
        <w:br/>
        <w:t>3  model_p  = model.predict_proba(X_scaled)[0][1]     # P(attack)</w:t>
        <w:br/>
        <w:t>4  intel_score    = event['abuseConfidenceScore']</w:t>
        <w:br/>
        <w:t xml:space="preserve">   behavior_score = min(event['ct_src_ltm'] * 5, 100)</w:t>
        <w:br/>
        <w:t xml:space="preserve">   decay          = compute_decay(event['last_seen'])</w:t>
        <w:br/>
        <w:t>5  risk = int(0.5*model_p*100 + 0.3*intel + 0.2*behaviour - 0.1*decay)   # clamped 0-100</w:t>
        <w:br/>
        <w:t>6  band -&gt; category, action</w:t>
        <w:br/>
        <w:t>7  WAF_RULES[srcip] = {risk, action, category, timestamp}</w:t>
        <w:br/>
        <w:t>8  log_threat(...)  -&gt;  threat_action_log.csv</w:t>
        <w:br/>
        <w:t>9  if CRITICAL: send_critical_alert()  -&gt;  SMTP</w:t>
      </w:r>
    </w:p>
    <w:p>
      <w:r>
        <w:t>The reindex on step 1 is the load-bearing line — it guarantees the inference matrix has the same columns in the same order as training, filling absent one-hot levels with zero. Get that wrong and you get silent garbage rather than an exception.</w:t>
      </w:r>
    </w:p>
    <w:p>
      <w:pPr>
        <w:spacing w:before="120" w:after="160"/>
        <w:ind w:left="173" w:right="173"/>
        <w:shd w:val="clear" w:fill="FFF2E5"/>
      </w:pPr>
      <w:r>
        <w:rPr>
          <w:b/>
          <w:sz w:val="20"/>
        </w:rPr>
        <w:t xml:space="preserve">Operational note  </w:t>
      </w:r>
      <w:r>
        <w:rPr>
          <w:sz w:val="20"/>
        </w:rPr>
        <w:t>run_realtime_engine() accepts an optional sim_level key ('clean' / 'sus' / 'high' / 'crit'). When present, it discards model_p and substitutes np.random.uniform() from a matching band. The demo simulator sets this on every synthetic event, so the live simulation is scripted rather than model-driven. Fine as a presentation aid — just know it before you demo, and be aware the model is not exercised on that path.</w:t>
      </w:r>
    </w:p>
    <w:p>
      <w:pPr>
        <w:pStyle w:val="Heading2"/>
      </w:pPr>
      <w:r>
        <w:t>4.7 Risk composition and decay</w:t>
      </w:r>
    </w:p>
    <w:p>
      <w:pPr>
        <w:spacing w:before="80" w:after="160" w:line="240" w:lineRule="auto"/>
        <w:ind w:left="230"/>
        <w:shd w:val="clear" w:fill="F2F2F2"/>
      </w:pPr>
      <w:r>
        <w:rPr>
          <w:rFonts w:ascii="Consolas" w:hAnsi="Consolas"/>
          <w:sz w:val="17"/>
        </w:rPr>
        <w:t>risk = 0.5 * model_probability * 100     # learned signal</w:t>
        <w:br/>
        <w:t xml:space="preserve">     + 0.3 * threat_intel_score          # AbuseIPDB global reputation</w:t>
        <w:br/>
        <w:t xml:space="preserve">     + 0.2 * behavioural_score           # local activity burst, capped at 100</w:t>
        <w:br/>
        <w:t xml:space="preserve">     - 0.1 * decay_factor                # time-based forgiveness</w:t>
        <w:br/>
        <w:br/>
        <w:t>compute_decay(last_seen):</w:t>
        <w:br/>
        <w:t xml:space="preserve">    days &lt;= 30  -&gt;  0       # recent activity, no relief</w:t>
        <w:br/>
        <w:t xml:space="preserve">    days &lt;= 60  -&gt;  15      # de-escalate</w:t>
        <w:br/>
        <w:t xml:space="preserve">    days &gt;  60  -&gt;  30      # substantially forgiven</w:t>
      </w:r>
    </w:p>
    <w:p>
      <w:r>
        <w:t>The weighting is a design decision, not a fitted one. Half the score comes from the model, half from context the model can't see — global reputation and how this IP has behaved with us specifically. That deliberately bounds the damage a bad model can do, which matters when you're taking automated enforcement action.</w:t>
      </w:r>
    </w:p>
    <w:p>
      <w:pPr>
        <w:pStyle w:val="Heading2"/>
      </w:pPr>
      <w:r>
        <w:t>4.8 Action bands and enforcement state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224"/>
          </w:tcPr>
          <w:p>
            <w:pPr>
              <w:shd w:val="clear" w:fill="D9E2F3"/>
            </w:pPr>
            <w:r/>
            <w:r>
              <w:rPr>
                <w:b/>
                <w:sz w:val="19"/>
              </w:rPr>
              <w:t>Risk</w:t>
            </w:r>
          </w:p>
        </w:tc>
        <w:tc>
          <w:tcPr>
            <w:tcW w:type="dxa" w:w="1872"/>
          </w:tcPr>
          <w:p>
            <w:pPr>
              <w:shd w:val="clear" w:fill="D9E2F3"/>
            </w:pPr>
            <w:r/>
            <w:r>
              <w:rPr>
                <w:b/>
                <w:sz w:val="19"/>
              </w:rPr>
              <w:t>Category</w:t>
            </w:r>
          </w:p>
        </w:tc>
        <w:tc>
          <w:tcPr>
            <w:tcW w:type="dxa" w:w="1728"/>
          </w:tcPr>
          <w:p>
            <w:pPr>
              <w:shd w:val="clear" w:fill="D9E2F3"/>
            </w:pPr>
            <w:r/>
            <w:r>
              <w:rPr>
                <w:b/>
                <w:sz w:val="19"/>
              </w:rPr>
              <w:t>Action</w:t>
            </w:r>
          </w:p>
        </w:tc>
        <w:tc>
          <w:tcPr>
            <w:tcW w:type="dxa" w:w="4032"/>
          </w:tcPr>
          <w:p>
            <w:pPr>
              <w:shd w:val="clear" w:fill="D9E2F3"/>
            </w:pPr>
            <w:r/>
            <w:r>
              <w:rPr>
                <w:b/>
                <w:sz w:val="19"/>
              </w:rPr>
              <w:t>Behaviour</w:t>
            </w:r>
          </w:p>
        </w:tc>
      </w:tr>
      <w:tr>
        <w:tc>
          <w:tcPr>
            <w:tcW w:type="dxa" w:w="1224"/>
          </w:tcPr>
          <w:p>
            <w:pPr>
              <w:spacing w:after="40"/>
            </w:pPr>
            <w:r/>
            <w:r>
              <w:rPr>
                <w:sz w:val="19"/>
              </w:rPr>
              <w:t>0–30</w:t>
            </w:r>
          </w:p>
        </w:tc>
        <w:tc>
          <w:tcPr>
            <w:tcW w:type="dxa" w:w="1872"/>
          </w:tcPr>
          <w:p>
            <w:pPr>
              <w:spacing w:after="40"/>
            </w:pPr>
            <w:r/>
            <w:r>
              <w:rPr>
                <w:sz w:val="19"/>
              </w:rPr>
              <w:t>NORMAL</w:t>
            </w:r>
          </w:p>
        </w:tc>
        <w:tc>
          <w:tcPr>
            <w:tcW w:type="dxa" w:w="1728"/>
          </w:tcPr>
          <w:p>
            <w:pPr>
              <w:spacing w:after="40"/>
            </w:pPr>
            <w:r/>
            <w:r>
              <w:rPr>
                <w:sz w:val="19"/>
              </w:rPr>
              <w:t>ALLOW</w:t>
            </w:r>
          </w:p>
        </w:tc>
        <w:tc>
          <w:tcPr>
            <w:tcW w:type="dxa" w:w="4032"/>
          </w:tcPr>
          <w:p>
            <w:pPr>
              <w:spacing w:after="40"/>
            </w:pPr>
            <w:r/>
            <w:r>
              <w:rPr>
                <w:sz w:val="19"/>
              </w:rPr>
              <w:t>Pass through, no visible effect</w:t>
            </w:r>
          </w:p>
        </w:tc>
      </w:tr>
      <w:tr>
        <w:tc>
          <w:tcPr>
            <w:tcW w:type="dxa" w:w="1224"/>
          </w:tcPr>
          <w:p>
            <w:pPr>
              <w:spacing w:after="40"/>
            </w:pPr>
            <w:r/>
            <w:r>
              <w:rPr>
                <w:sz w:val="19"/>
              </w:rPr>
              <w:t>30–60</w:t>
            </w:r>
          </w:p>
        </w:tc>
        <w:tc>
          <w:tcPr>
            <w:tcW w:type="dxa" w:w="1872"/>
          </w:tcPr>
          <w:p>
            <w:pPr>
              <w:spacing w:after="40"/>
            </w:pPr>
            <w:r/>
            <w:r>
              <w:rPr>
                <w:sz w:val="19"/>
              </w:rPr>
              <w:t>SUSPICIOUS</w:t>
            </w:r>
          </w:p>
        </w:tc>
        <w:tc>
          <w:tcPr>
            <w:tcW w:type="dxa" w:w="1728"/>
          </w:tcPr>
          <w:p>
            <w:pPr>
              <w:spacing w:after="40"/>
            </w:pPr>
            <w:r/>
            <w:r>
              <w:rPr>
                <w:sz w:val="19"/>
              </w:rPr>
              <w:t>RATE_LIMIT</w:t>
            </w:r>
          </w:p>
        </w:tc>
        <w:tc>
          <w:tcPr>
            <w:tcW w:type="dxa" w:w="4032"/>
          </w:tcPr>
          <w:p>
            <w:pPr>
              <w:spacing w:after="40"/>
            </w:pPr>
            <w:r/>
            <w:r>
              <w:rPr>
                <w:sz w:val="19"/>
              </w:rPr>
              <w:t>Served, throughput capped</w:t>
            </w:r>
          </w:p>
        </w:tc>
      </w:tr>
      <w:tr>
        <w:tc>
          <w:tcPr>
            <w:tcW w:type="dxa" w:w="1224"/>
          </w:tcPr>
          <w:p>
            <w:pPr>
              <w:spacing w:after="40"/>
            </w:pPr>
            <w:r/>
            <w:r>
              <w:rPr>
                <w:sz w:val="19"/>
              </w:rPr>
              <w:t>60–85</w:t>
            </w:r>
          </w:p>
        </w:tc>
        <w:tc>
          <w:tcPr>
            <w:tcW w:type="dxa" w:w="1872"/>
          </w:tcPr>
          <w:p>
            <w:pPr>
              <w:spacing w:after="40"/>
            </w:pPr>
            <w:r/>
            <w:r>
              <w:rPr>
                <w:sz w:val="19"/>
              </w:rPr>
              <w:t>HIGH_RISK</w:t>
            </w:r>
          </w:p>
        </w:tc>
        <w:tc>
          <w:tcPr>
            <w:tcW w:type="dxa" w:w="1728"/>
          </w:tcPr>
          <w:p>
            <w:pPr>
              <w:spacing w:after="40"/>
            </w:pPr>
            <w:r/>
            <w:r>
              <w:rPr>
                <w:sz w:val="19"/>
              </w:rPr>
              <w:t>CHALLENGE</w:t>
            </w:r>
          </w:p>
        </w:tc>
        <w:tc>
          <w:tcPr>
            <w:tcW w:type="dxa" w:w="4032"/>
          </w:tcPr>
          <w:p>
            <w:pPr>
              <w:spacing w:after="40"/>
            </w:pPr>
            <w:r/>
            <w:r>
              <w:rPr>
                <w:sz w:val="19"/>
              </w:rPr>
              <w:t>CAPTCHA / JS challenge</w:t>
            </w:r>
          </w:p>
        </w:tc>
      </w:tr>
      <w:tr>
        <w:tc>
          <w:tcPr>
            <w:tcW w:type="dxa" w:w="1224"/>
          </w:tcPr>
          <w:p>
            <w:pPr>
              <w:spacing w:after="40"/>
            </w:pPr>
            <w:r/>
            <w:r>
              <w:rPr>
                <w:sz w:val="19"/>
              </w:rPr>
              <w:t>85–100</w:t>
            </w:r>
          </w:p>
        </w:tc>
        <w:tc>
          <w:tcPr>
            <w:tcW w:type="dxa" w:w="1872"/>
          </w:tcPr>
          <w:p>
            <w:pPr>
              <w:spacing w:after="40"/>
            </w:pPr>
            <w:r/>
            <w:r>
              <w:rPr>
                <w:sz w:val="19"/>
              </w:rPr>
              <w:t>CRITICAL</w:t>
            </w:r>
          </w:p>
        </w:tc>
        <w:tc>
          <w:tcPr>
            <w:tcW w:type="dxa" w:w="1728"/>
          </w:tcPr>
          <w:p>
            <w:pPr>
              <w:spacing w:after="40"/>
            </w:pPr>
            <w:r/>
            <w:r>
              <w:rPr>
                <w:sz w:val="19"/>
              </w:rPr>
              <w:t>BLOCK</w:t>
            </w:r>
          </w:p>
        </w:tc>
        <w:tc>
          <w:tcPr>
            <w:tcW w:type="dxa" w:w="4032"/>
          </w:tcPr>
          <w:p>
            <w:pPr>
              <w:spacing w:after="40"/>
            </w:pPr>
            <w:r/>
            <w:r>
              <w:rPr>
                <w:sz w:val="19"/>
              </w:rPr>
              <w:t>Denied + SOC email with reasoning</w:t>
            </w:r>
          </w:p>
        </w:tc>
      </w:tr>
    </w:tbl>
    <w:p>
      <w:pPr>
        <w:spacing w:after="40"/>
      </w:pPr>
    </w:p>
    <w:p>
      <w:r>
        <w:t>Enforcement state lives in WAF_RULES, a module-level dict keyed by source IP holding risk, action, category and timestamp. It is in-memory and process-local — no persistence, no TTL sweeper, no push to an actual firewall. The demo UI can add and remove entries manually. Treat it as the interface stub where a real WAF integration would attach.</w:t>
      </w:r>
    </w:p>
    <w:p>
      <w:pPr>
        <w:pStyle w:val="Heading2"/>
      </w:pPr>
      <w:r>
        <w:t>4.9 Alerting and threat memory</w:t>
      </w:r>
    </w:p>
    <w:p>
      <w:r>
        <w:t>send_critical_alert() is real, working code — SMTP over TLS to Gmail, credentials read from environment variables, fired on every CRITICAL classification. The body carries IP, risk score, category, action, model probability, intel score, behavioural level and UTC timestamp. This is the human-in-the-loop path: above 85 the system stops being autonomous and tells someone.</w:t>
      </w:r>
    </w:p>
    <w:p>
      <w:r>
        <w:t>log_threat() appends every decision — not just critical ones — to threat_action_log.csv with ip, risk, category, action, timestamp. The design intent is that this log becomes a training corpus: recurring offenders, enforcement outcomes, and eventually hard negatives for retraining. Today it is append-only; nothing reads it back.</w:t>
      </w:r>
    </w:p>
    <w:p>
      <w:pPr>
        <w:pStyle w:val="Heading1"/>
      </w:pPr>
      <w:r>
        <w:t>5. Self-healing — implemented vs designed</w:t>
      </w:r>
    </w:p>
    <w:p>
      <w:r>
        <w:t>Be precise about this in any conversation, because 'self-healing' covers five distinct mechanisms in the design docs and they are at very different levels of maturity.</w:t>
      </w:r>
    </w:p>
    <w:tbl>
      <w:tblPr>
        <w:tblStyle w:val="TableGrid"/>
        <w:tblW w:type="auto" w:w="0"/>
        <w:jc w:val="left"/>
        <w:tblLook w:firstColumn="1" w:firstRow="1" w:lastColumn="0" w:lastRow="0" w:noHBand="0" w:noVBand="1" w:val="04A0"/>
      </w:tblPr>
      <w:tblGrid>
        <w:gridCol w:w="4320"/>
        <w:gridCol w:w="4320"/>
      </w:tblGrid>
      <w:tr>
        <w:tc>
          <w:tcPr>
            <w:tcW w:type="dxa" w:w="4608"/>
          </w:tcPr>
          <w:p>
            <w:pPr>
              <w:shd w:val="clear" w:fill="D9E2F3"/>
            </w:pPr>
            <w:r/>
            <w:r>
              <w:rPr>
                <w:b/>
                <w:sz w:val="19"/>
              </w:rPr>
              <w:t>Mechanism</w:t>
            </w:r>
          </w:p>
        </w:tc>
        <w:tc>
          <w:tcPr>
            <w:tcW w:type="dxa" w:w="4320"/>
          </w:tcPr>
          <w:p>
            <w:pPr>
              <w:shd w:val="clear" w:fill="D9E2F3"/>
            </w:pPr>
            <w:r/>
            <w:r>
              <w:rPr>
                <w:b/>
                <w:sz w:val="19"/>
              </w:rPr>
              <w:t>Status</w:t>
            </w:r>
          </w:p>
        </w:tc>
      </w:tr>
      <w:tr>
        <w:tc>
          <w:tcPr>
            <w:tcW w:type="dxa" w:w="4608"/>
          </w:tcPr>
          <w:p>
            <w:pPr>
              <w:spacing w:after="40"/>
            </w:pPr>
            <w:r/>
            <w:r>
              <w:rPr>
                <w:sz w:val="19"/>
              </w:rPr>
              <w:t>Threat decay — risk reduction at 30/60-day thresholds</w:t>
            </w:r>
          </w:p>
        </w:tc>
        <w:tc>
          <w:tcPr>
            <w:tcW w:type="dxa" w:w="4320"/>
          </w:tcPr>
          <w:p>
            <w:pPr>
              <w:spacing w:after="40"/>
            </w:pPr>
            <w:r/>
            <w:r>
              <w:rPr>
                <w:sz w:val="19"/>
              </w:rPr>
              <w:t>Implemented. compute_decay() is live in the scoring path.</w:t>
            </w:r>
          </w:p>
        </w:tc>
      </w:tr>
      <w:tr>
        <w:tc>
          <w:tcPr>
            <w:tcW w:type="dxa" w:w="4608"/>
          </w:tcPr>
          <w:p>
            <w:pPr>
              <w:spacing w:after="40"/>
            </w:pPr>
            <w:r/>
            <w:r>
              <w:rPr>
                <w:sz w:val="19"/>
              </w:rPr>
              <w:t>Graduated de-escalation — action softens as risk drops</w:t>
            </w:r>
          </w:p>
        </w:tc>
        <w:tc>
          <w:tcPr>
            <w:tcW w:type="dxa" w:w="4320"/>
          </w:tcPr>
          <w:p>
            <w:pPr>
              <w:spacing w:after="40"/>
            </w:pPr>
            <w:r/>
            <w:r>
              <w:rPr>
                <w:sz w:val="19"/>
              </w:rPr>
              <w:t>Implemented as a consequence of decay feeding the band logic.</w:t>
            </w:r>
          </w:p>
        </w:tc>
      </w:tr>
      <w:tr>
        <w:tc>
          <w:tcPr>
            <w:tcW w:type="dxa" w:w="4608"/>
          </w:tcPr>
          <w:p>
            <w:pPr>
              <w:spacing w:after="40"/>
            </w:pPr>
            <w:r/>
            <w:r>
              <w:rPr>
                <w:sz w:val="19"/>
              </w:rPr>
              <w:t>Behavioural escalation — repeat offenders score higher</w:t>
            </w:r>
          </w:p>
        </w:tc>
        <w:tc>
          <w:tcPr>
            <w:tcW w:type="dxa" w:w="4320"/>
          </w:tcPr>
          <w:p>
            <w:pPr>
              <w:spacing w:after="40"/>
            </w:pPr>
            <w:r/>
            <w:r>
              <w:rPr>
                <w:sz w:val="19"/>
              </w:rPr>
              <w:t>Implemented via the behavioural term; also present in the enrichment service, where a challenge/block increments a 24h-TTL counter that raises the next score.</w:t>
            </w:r>
          </w:p>
        </w:tc>
      </w:tr>
      <w:tr>
        <w:tc>
          <w:tcPr>
            <w:tcW w:type="dxa" w:w="4608"/>
          </w:tcPr>
          <w:p>
            <w:pPr>
              <w:spacing w:after="40"/>
            </w:pPr>
            <w:r/>
            <w:r>
              <w:rPr>
                <w:sz w:val="19"/>
              </w:rPr>
              <w:t>Rule lifecycle — TTL on rules, 3 strikes to permanent, auto-removal after 7 quiet days</w:t>
            </w:r>
          </w:p>
        </w:tc>
        <w:tc>
          <w:tcPr>
            <w:tcW w:type="dxa" w:w="4320"/>
          </w:tcPr>
          <w:p>
            <w:pPr>
              <w:spacing w:after="40"/>
            </w:pPr>
            <w:r/>
            <w:r>
              <w:rPr>
                <w:sz w:val="19"/>
              </w:rPr>
              <w:t>Designed. WAF_RULES has no expiry logic.</w:t>
            </w:r>
          </w:p>
        </w:tc>
      </w:tr>
      <w:tr>
        <w:tc>
          <w:tcPr>
            <w:tcW w:type="dxa" w:w="4608"/>
          </w:tcPr>
          <w:p>
            <w:pPr>
              <w:spacing w:after="40"/>
            </w:pPr>
            <w:r/>
            <w:r>
              <w:rPr>
                <w:sz w:val="19"/>
              </w:rPr>
              <w:t>Reinforcement feedback — WAF blocks the model missed become hard negatives</w:t>
            </w:r>
          </w:p>
        </w:tc>
        <w:tc>
          <w:tcPr>
            <w:tcW w:type="dxa" w:w="4320"/>
          </w:tcPr>
          <w:p>
            <w:pPr>
              <w:spacing w:after="40"/>
            </w:pPr>
            <w:r/>
            <w:r>
              <w:rPr>
                <w:sz w:val="19"/>
              </w:rPr>
              <w:t>Designed. HARD_NEGATIVES is declared and never populated.</w:t>
            </w:r>
          </w:p>
        </w:tc>
      </w:tr>
      <w:tr>
        <w:tc>
          <w:tcPr>
            <w:tcW w:type="dxa" w:w="4608"/>
          </w:tcPr>
          <w:p>
            <w:pPr>
              <w:spacing w:after="40"/>
            </w:pPr>
            <w:r/>
            <w:r>
              <w:rPr>
                <w:sz w:val="19"/>
              </w:rPr>
              <w:t>Concept drift healing — dynamic feature weight boosting</w:t>
            </w:r>
          </w:p>
        </w:tc>
        <w:tc>
          <w:tcPr>
            <w:tcW w:type="dxa" w:w="4320"/>
          </w:tcPr>
          <w:p>
            <w:pPr>
              <w:spacing w:after="40"/>
            </w:pPr>
            <w:r/>
            <w:r>
              <w:rPr>
                <w:sz w:val="19"/>
              </w:rPr>
              <w:t>Designed. No implementation.</w:t>
            </w:r>
          </w:p>
        </w:tc>
      </w:tr>
      <w:tr>
        <w:tc>
          <w:tcPr>
            <w:tcW w:type="dxa" w:w="4608"/>
          </w:tcPr>
          <w:p>
            <w:pPr>
              <w:spacing w:after="40"/>
            </w:pPr>
            <w:r/>
            <w:r>
              <w:rPr>
                <w:sz w:val="19"/>
              </w:rPr>
              <w:t>Autonomous feed switching — fall back to a secondary intel feed</w:t>
            </w:r>
          </w:p>
        </w:tc>
        <w:tc>
          <w:tcPr>
            <w:tcW w:type="dxa" w:w="4320"/>
          </w:tcPr>
          <w:p>
            <w:pPr>
              <w:spacing w:after="40"/>
            </w:pPr>
            <w:r/>
            <w:r>
              <w:rPr>
                <w:sz w:val="19"/>
              </w:rPr>
              <w:t>Designed. No implementation.</w:t>
            </w:r>
          </w:p>
        </w:tc>
      </w:tr>
      <w:tr>
        <w:tc>
          <w:tcPr>
            <w:tcW w:type="dxa" w:w="4608"/>
          </w:tcPr>
          <w:p>
            <w:pPr>
              <w:spacing w:after="40"/>
            </w:pPr>
            <w:r/>
            <w:r>
              <w:rPr>
                <w:sz w:val="19"/>
              </w:rPr>
              <w:t>SHAP explainability — per-decision feature attribution</w:t>
            </w:r>
          </w:p>
        </w:tc>
        <w:tc>
          <w:tcPr>
            <w:tcW w:type="dxa" w:w="4320"/>
          </w:tcPr>
          <w:p>
            <w:pPr>
              <w:spacing w:after="40"/>
            </w:pPr>
            <w:r/>
            <w:r>
              <w:rPr>
                <w:sz w:val="19"/>
              </w:rPr>
              <w:t>Designed. shap is in requirements.txt but never imported.</w:t>
            </w:r>
          </w:p>
        </w:tc>
      </w:tr>
    </w:tbl>
    <w:p>
      <w:pPr>
        <w:spacing w:after="40"/>
      </w:pPr>
    </w:p>
    <w:p>
      <w:r>
        <w:t>The honest framing: the time-based half of self-healing is real and running. The learning half — retraining, drift adaptation, feedback ingestion — is architecture, not code.</w:t>
      </w:r>
    </w:p>
    <w:p>
      <w:pPr>
        <w:pStyle w:val="Heading1"/>
      </w:pPr>
      <w:r>
        <w:t>6. Integration surface</w:t>
      </w:r>
    </w:p>
    <w:tbl>
      <w:tblPr>
        <w:tblStyle w:val="TableGrid"/>
        <w:tblW w:type="auto" w:w="0"/>
        <w:jc w:val="left"/>
        <w:tblLook w:firstColumn="1" w:firstRow="1" w:lastColumn="0" w:lastRow="0" w:noHBand="0" w:noVBand="1" w:val="04A0"/>
      </w:tblPr>
      <w:tblGrid>
        <w:gridCol w:w="2880"/>
        <w:gridCol w:w="2880"/>
        <w:gridCol w:w="2880"/>
      </w:tblGrid>
      <w:tr>
        <w:tc>
          <w:tcPr>
            <w:tcW w:type="dxa" w:w="2448"/>
          </w:tcPr>
          <w:p>
            <w:pPr>
              <w:shd w:val="clear" w:fill="D9E2F3"/>
            </w:pPr>
            <w:r/>
            <w:r>
              <w:rPr>
                <w:b/>
                <w:sz w:val="19"/>
              </w:rPr>
              <w:t>Integration</w:t>
            </w:r>
          </w:p>
        </w:tc>
        <w:tc>
          <w:tcPr>
            <w:tcW w:type="dxa" w:w="3600"/>
          </w:tcPr>
          <w:p>
            <w:pPr>
              <w:shd w:val="clear" w:fill="D9E2F3"/>
            </w:pPr>
            <w:r/>
            <w:r>
              <w:rPr>
                <w:b/>
                <w:sz w:val="19"/>
              </w:rPr>
              <w:t>How it's used</w:t>
            </w:r>
          </w:p>
        </w:tc>
        <w:tc>
          <w:tcPr>
            <w:tcW w:type="dxa" w:w="2736"/>
          </w:tcPr>
          <w:p>
            <w:pPr>
              <w:shd w:val="clear" w:fill="D9E2F3"/>
            </w:pPr>
            <w:r/>
            <w:r>
              <w:rPr>
                <w:b/>
                <w:sz w:val="19"/>
              </w:rPr>
              <w:t>State</w:t>
            </w:r>
          </w:p>
        </w:tc>
      </w:tr>
      <w:tr>
        <w:tc>
          <w:tcPr>
            <w:tcW w:type="dxa" w:w="2448"/>
          </w:tcPr>
          <w:p>
            <w:pPr>
              <w:spacing w:after="40"/>
            </w:pPr>
            <w:r/>
            <w:r>
              <w:rPr>
                <w:sz w:val="19"/>
              </w:rPr>
              <w:t>MaxMind GeoLite2</w:t>
            </w:r>
          </w:p>
        </w:tc>
        <w:tc>
          <w:tcPr>
            <w:tcW w:type="dxa" w:w="3600"/>
          </w:tcPr>
          <w:p>
            <w:pPr>
              <w:spacing w:after="40"/>
            </w:pPr>
            <w:r/>
            <w:r>
              <w:rPr>
                <w:sz w:val="19"/>
              </w:rPr>
              <w:t>Two local .mmdb files, offline reads</w:t>
            </w:r>
          </w:p>
        </w:tc>
        <w:tc>
          <w:tcPr>
            <w:tcW w:type="dxa" w:w="2736"/>
          </w:tcPr>
          <w:p>
            <w:pPr>
              <w:spacing w:after="40"/>
            </w:pPr>
            <w:r/>
            <w:r>
              <w:rPr>
                <w:sz w:val="19"/>
              </w:rPr>
              <w:t>Working</w:t>
            </w:r>
          </w:p>
        </w:tc>
      </w:tr>
      <w:tr>
        <w:tc>
          <w:tcPr>
            <w:tcW w:type="dxa" w:w="2448"/>
          </w:tcPr>
          <w:p>
            <w:pPr>
              <w:spacing w:after="40"/>
            </w:pPr>
            <w:r/>
            <w:r>
              <w:rPr>
                <w:sz w:val="19"/>
              </w:rPr>
              <w:t>AbuseIPDB</w:t>
            </w:r>
          </w:p>
        </w:tc>
        <w:tc>
          <w:tcPr>
            <w:tcW w:type="dxa" w:w="3600"/>
          </w:tcPr>
          <w:p>
            <w:pPr>
              <w:spacing w:after="40"/>
            </w:pPr>
            <w:r/>
            <w:r>
              <w:rPr>
                <w:sz w:val="19"/>
              </w:rPr>
              <w:t>REST, IP reputation, breaker-wrapped</w:t>
            </w:r>
          </w:p>
        </w:tc>
        <w:tc>
          <w:tcPr>
            <w:tcW w:type="dxa" w:w="2736"/>
          </w:tcPr>
          <w:p>
            <w:pPr>
              <w:spacing w:after="40"/>
            </w:pPr>
            <w:r/>
            <w:r>
              <w:rPr>
                <w:sz w:val="19"/>
              </w:rPr>
              <w:t>Working; API key not currently configured</w:t>
            </w:r>
          </w:p>
        </w:tc>
      </w:tr>
      <w:tr>
        <w:tc>
          <w:tcPr>
            <w:tcW w:type="dxa" w:w="2448"/>
          </w:tcPr>
          <w:p>
            <w:pPr>
              <w:spacing w:after="40"/>
            </w:pPr>
            <w:r/>
            <w:r>
              <w:rPr>
                <w:sz w:val="19"/>
              </w:rPr>
              <w:t>ipapi.co / ipwho.is / ipinfo.io</w:t>
            </w:r>
          </w:p>
        </w:tc>
        <w:tc>
          <w:tcPr>
            <w:tcW w:type="dxa" w:w="3600"/>
          </w:tcPr>
          <w:p>
            <w:pPr>
              <w:spacing w:after="40"/>
            </w:pPr>
            <w:r/>
            <w:r>
              <w:rPr>
                <w:sz w:val="19"/>
              </w:rPr>
              <w:t>Consensus vote for city/region</w:t>
            </w:r>
          </w:p>
        </w:tc>
        <w:tc>
          <w:tcPr>
            <w:tcW w:type="dxa" w:w="2736"/>
          </w:tcPr>
          <w:p>
            <w:pPr>
              <w:spacing w:after="40"/>
            </w:pPr>
            <w:r/>
            <w:r>
              <w:rPr>
                <w:sz w:val="19"/>
              </w:rPr>
              <w:t>Working, no key required</w:t>
            </w:r>
          </w:p>
        </w:tc>
      </w:tr>
      <w:tr>
        <w:tc>
          <w:tcPr>
            <w:tcW w:type="dxa" w:w="2448"/>
          </w:tcPr>
          <w:p>
            <w:pPr>
              <w:spacing w:after="40"/>
            </w:pPr>
            <w:r/>
            <w:r>
              <w:rPr>
                <w:sz w:val="19"/>
              </w:rPr>
              <w:t>Nominatim (OSM)</w:t>
            </w:r>
          </w:p>
        </w:tc>
        <w:tc>
          <w:tcPr>
            <w:tcW w:type="dxa" w:w="3600"/>
          </w:tcPr>
          <w:p>
            <w:pPr>
              <w:spacing w:after="40"/>
            </w:pPr>
            <w:r/>
            <w:r>
              <w:rPr>
                <w:sz w:val="19"/>
              </w:rPr>
              <w:t>Reverse geocode coordinates</w:t>
            </w:r>
          </w:p>
        </w:tc>
        <w:tc>
          <w:tcPr>
            <w:tcW w:type="dxa" w:w="2736"/>
          </w:tcPr>
          <w:p>
            <w:pPr>
              <w:spacing w:after="40"/>
            </w:pPr>
            <w:r/>
            <w:r>
              <w:rPr>
                <w:sz w:val="19"/>
              </w:rPr>
              <w:t>Working</w:t>
            </w:r>
          </w:p>
        </w:tc>
      </w:tr>
      <w:tr>
        <w:tc>
          <w:tcPr>
            <w:tcW w:type="dxa" w:w="2448"/>
          </w:tcPr>
          <w:p>
            <w:pPr>
              <w:spacing w:after="40"/>
            </w:pPr>
            <w:r/>
            <w:r>
              <w:rPr>
                <w:sz w:val="19"/>
              </w:rPr>
              <w:t>RIPE RDAP</w:t>
            </w:r>
          </w:p>
        </w:tc>
        <w:tc>
          <w:tcPr>
            <w:tcW w:type="dxa" w:w="3600"/>
          </w:tcPr>
          <w:p>
            <w:pPr>
              <w:spacing w:after="40"/>
            </w:pPr>
            <w:r/>
            <w:r>
              <w:rPr>
                <w:sz w:val="19"/>
              </w:rPr>
              <w:t>Registry org attribution</w:t>
            </w:r>
          </w:p>
        </w:tc>
        <w:tc>
          <w:tcPr>
            <w:tcW w:type="dxa" w:w="2736"/>
          </w:tcPr>
          <w:p>
            <w:pPr>
              <w:spacing w:after="40"/>
            </w:pPr>
            <w:r/>
            <w:r>
              <w:rPr>
                <w:sz w:val="19"/>
              </w:rPr>
              <w:t>Working</w:t>
            </w:r>
          </w:p>
        </w:tc>
      </w:tr>
      <w:tr>
        <w:tc>
          <w:tcPr>
            <w:tcW w:type="dxa" w:w="2448"/>
          </w:tcPr>
          <w:p>
            <w:pPr>
              <w:spacing w:after="40"/>
            </w:pPr>
            <w:r/>
            <w:r>
              <w:rPr>
                <w:sz w:val="19"/>
              </w:rPr>
              <w:t>Tor Project</w:t>
            </w:r>
          </w:p>
        </w:tc>
        <w:tc>
          <w:tcPr>
            <w:tcW w:type="dxa" w:w="3600"/>
          </w:tcPr>
          <w:p>
            <w:pPr>
              <w:spacing w:after="40"/>
            </w:pPr>
            <w:r/>
            <w:r>
              <w:rPr>
                <w:sz w:val="19"/>
              </w:rPr>
              <w:t>Exit-node list, hourly refresh to Redis</w:t>
            </w:r>
          </w:p>
        </w:tc>
        <w:tc>
          <w:tcPr>
            <w:tcW w:type="dxa" w:w="2736"/>
          </w:tcPr>
          <w:p>
            <w:pPr>
              <w:spacing w:after="40"/>
            </w:pPr>
            <w:r/>
            <w:r>
              <w:rPr>
                <w:sz w:val="19"/>
              </w:rPr>
              <w:t>Working</w:t>
            </w:r>
          </w:p>
        </w:tc>
      </w:tr>
      <w:tr>
        <w:tc>
          <w:tcPr>
            <w:tcW w:type="dxa" w:w="2448"/>
          </w:tcPr>
          <w:p>
            <w:pPr>
              <w:spacing w:after="40"/>
            </w:pPr>
            <w:r/>
            <w:r>
              <w:rPr>
                <w:sz w:val="19"/>
              </w:rPr>
              <w:t>SMTP (Gmail)</w:t>
            </w:r>
          </w:p>
        </w:tc>
        <w:tc>
          <w:tcPr>
            <w:tcW w:type="dxa" w:w="3600"/>
          </w:tcPr>
          <w:p>
            <w:pPr>
              <w:spacing w:after="40"/>
            </w:pPr>
            <w:r/>
            <w:r>
              <w:rPr>
                <w:sz w:val="19"/>
              </w:rPr>
              <w:t>Critical alert delivery to SOC</w:t>
            </w:r>
          </w:p>
        </w:tc>
        <w:tc>
          <w:tcPr>
            <w:tcW w:type="dxa" w:w="2736"/>
          </w:tcPr>
          <w:p>
            <w:pPr>
              <w:spacing w:after="40"/>
            </w:pPr>
            <w:r/>
            <w:r>
              <w:rPr>
                <w:sz w:val="19"/>
              </w:rPr>
              <w:t>Working</w:t>
            </w:r>
          </w:p>
        </w:tc>
      </w:tr>
      <w:tr>
        <w:tc>
          <w:tcPr>
            <w:tcW w:type="dxa" w:w="2448"/>
          </w:tcPr>
          <w:p>
            <w:pPr>
              <w:spacing w:after="40"/>
            </w:pPr>
            <w:r/>
            <w:r>
              <w:rPr>
                <w:sz w:val="19"/>
              </w:rPr>
              <w:t>Redis</w:t>
            </w:r>
          </w:p>
        </w:tc>
        <w:tc>
          <w:tcPr>
            <w:tcW w:type="dxa" w:w="3600"/>
          </w:tcPr>
          <w:p>
            <w:pPr>
              <w:spacing w:after="40"/>
            </w:pPr>
            <w:r/>
            <w:r>
              <w:rPr>
                <w:sz w:val="19"/>
              </w:rPr>
              <w:t>Behavioural state, caching, quotas, hot audit</w:t>
            </w:r>
          </w:p>
        </w:tc>
        <w:tc>
          <w:tcPr>
            <w:tcW w:type="dxa" w:w="2736"/>
          </w:tcPr>
          <w:p>
            <w:pPr>
              <w:spacing w:after="40"/>
            </w:pPr>
            <w:r/>
            <w:r>
              <w:rPr>
                <w:sz w:val="19"/>
              </w:rPr>
              <w:t>Working</w:t>
            </w:r>
          </w:p>
        </w:tc>
      </w:tr>
      <w:tr>
        <w:tc>
          <w:tcPr>
            <w:tcW w:type="dxa" w:w="2448"/>
          </w:tcPr>
          <w:p>
            <w:pPr>
              <w:spacing w:after="40"/>
            </w:pPr>
            <w:r/>
            <w:r>
              <w:rPr>
                <w:sz w:val="19"/>
              </w:rPr>
              <w:t>SQLite / SQLAlchemy</w:t>
            </w:r>
          </w:p>
        </w:tc>
        <w:tc>
          <w:tcPr>
            <w:tcW w:type="dxa" w:w="3600"/>
          </w:tcPr>
          <w:p>
            <w:pPr>
              <w:spacing w:after="40"/>
            </w:pPr>
            <w:r/>
            <w:r>
              <w:rPr>
                <w:sz w:val="19"/>
              </w:rPr>
              <w:t>Persistent audit retention</w:t>
            </w:r>
          </w:p>
        </w:tc>
        <w:tc>
          <w:tcPr>
            <w:tcW w:type="dxa" w:w="2736"/>
          </w:tcPr>
          <w:p>
            <w:pPr>
              <w:spacing w:after="40"/>
            </w:pPr>
            <w:r/>
            <w:r>
              <w:rPr>
                <w:sz w:val="19"/>
              </w:rPr>
              <w:t>Working</w:t>
            </w:r>
          </w:p>
        </w:tc>
      </w:tr>
      <w:tr>
        <w:tc>
          <w:tcPr>
            <w:tcW w:type="dxa" w:w="2448"/>
          </w:tcPr>
          <w:p>
            <w:pPr>
              <w:spacing w:after="40"/>
            </w:pPr>
            <w:r/>
            <w:r>
              <w:rPr>
                <w:sz w:val="19"/>
              </w:rPr>
              <w:t>Prometheus</w:t>
            </w:r>
          </w:p>
        </w:tc>
        <w:tc>
          <w:tcPr>
            <w:tcW w:type="dxa" w:w="3600"/>
          </w:tcPr>
          <w:p>
            <w:pPr>
              <w:spacing w:after="40"/>
            </w:pPr>
            <w:r/>
            <w:r>
              <w:rPr>
                <w:sz w:val="19"/>
              </w:rPr>
              <w:t>Metrics scrape endpoint</w:t>
            </w:r>
          </w:p>
        </w:tc>
        <w:tc>
          <w:tcPr>
            <w:tcW w:type="dxa" w:w="2736"/>
          </w:tcPr>
          <w:p>
            <w:pPr>
              <w:spacing w:after="40"/>
            </w:pPr>
            <w:r/>
            <w:r>
              <w:rPr>
                <w:sz w:val="19"/>
              </w:rPr>
              <w:t>Working</w:t>
            </w:r>
          </w:p>
        </w:tc>
      </w:tr>
      <w:tr>
        <w:tc>
          <w:tcPr>
            <w:tcW w:type="dxa" w:w="2448"/>
          </w:tcPr>
          <w:p>
            <w:pPr>
              <w:spacing w:after="40"/>
            </w:pPr>
            <w:r/>
            <w:r>
              <w:rPr>
                <w:sz w:val="19"/>
              </w:rPr>
              <w:t>WAF / SIEM / SOAR</w:t>
            </w:r>
          </w:p>
        </w:tc>
        <w:tc>
          <w:tcPr>
            <w:tcW w:type="dxa" w:w="3600"/>
          </w:tcPr>
          <w:p>
            <w:pPr>
              <w:spacing w:after="40"/>
            </w:pPr>
            <w:r/>
            <w:r>
              <w:rPr>
                <w:sz w:val="19"/>
              </w:rPr>
              <w:t>Named in every architecture diagram</w:t>
            </w:r>
          </w:p>
        </w:tc>
        <w:tc>
          <w:tcPr>
            <w:tcW w:type="dxa" w:w="2736"/>
          </w:tcPr>
          <w:p>
            <w:pPr>
              <w:spacing w:after="40"/>
            </w:pPr>
            <w:r/>
            <w:r>
              <w:rPr>
                <w:sz w:val="19"/>
              </w:rPr>
              <w:t>Not implemented</w:t>
            </w:r>
          </w:p>
        </w:tc>
      </w:tr>
    </w:tbl>
    <w:p>
      <w:pPr>
        <w:spacing w:after="40"/>
      </w:pPr>
    </w:p>
    <w:p>
      <w:pPr>
        <w:spacing w:before="120" w:after="160"/>
        <w:ind w:left="173" w:right="173"/>
        <w:shd w:val="clear" w:fill="EAF1F8"/>
      </w:pPr>
      <w:r>
        <w:rPr>
          <w:b/>
          <w:sz w:val="20"/>
        </w:rPr>
        <w:t xml:space="preserve">Key point  </w:t>
      </w:r>
      <w:r>
        <w:rPr>
          <w:sz w:val="20"/>
        </w:rPr>
        <w:t>The system produces a recommended action. It does not enforce anything. Nothing pushes rules to a firewall, and nothing forwards events to a SIEM. That's the largest gap between the architecture diagrams and the running code.</w:t>
      </w:r>
    </w:p>
    <w:p>
      <w:pPr>
        <w:pStyle w:val="Heading1"/>
      </w:pPr>
      <w:r>
        <w:t>7. Open items</w:t>
      </w:r>
    </w:p>
    <w:p>
      <w:pPr>
        <w:pStyle w:val="ListNumber"/>
      </w:pPr>
      <w:r>
        <w:t>Validate on real traffic. The model is trained entirely on synthetic data, and its current numbers on that data are not strong enough to deploy against. Obtaining masked or anonymised production traffic is the highest-value next action and was already the agreed priority — everything downstream depends on it.</w:t>
      </w:r>
    </w:p>
    <w:p>
      <w:pPr>
        <w:pStyle w:val="ListNumber"/>
      </w:pPr>
      <w:r>
        <w:t>Wire the two subsystems together. The enrichment service already emits the intel fields the model consumes. This is a contained piece of work and unlocks the actual end-to-end story.</w:t>
      </w:r>
    </w:p>
    <w:p>
      <w:pPr>
        <w:pStyle w:val="ListNumber"/>
      </w:pPr>
      <w:r>
        <w:t>Persist the model. Training currently happens in-process on UI init and lives in Streamlit session state. There is no serialised artifact, so every session retrains and there's no versioning. Needs joblib persistence and a model registry before anything real.</w:t>
      </w:r>
    </w:p>
    <w:p>
      <w:pPr>
        <w:pStyle w:val="ListNumber"/>
      </w:pPr>
      <w:r>
        <w:t>Load and concurrency testing. No benchmark exists. SQLite audit writes in particular will be the first bottleneck under concurrency.</w:t>
      </w:r>
    </w:p>
    <w:p>
      <w:pPr>
        <w:pStyle w:val="ListNumber"/>
      </w:pPr>
      <w:r>
        <w:t>Build the enforcement path. Decisions need to reach a WAF, and events need to reach the SIEM.</w:t>
      </w:r>
    </w:p>
    <w:p>
      <w:pPr>
        <w:pStyle w:val="ListNumber"/>
      </w:pPr>
      <w:r>
        <w:t>Rule lifecycle and feedback loop. The designed self-healing mechanisms that aren't yet code.</w:t>
      </w:r>
    </w:p>
    <w:p>
      <w:pPr>
        <w:spacing w:before="120" w:after="160"/>
        <w:ind w:left="173" w:right="173"/>
        <w:shd w:val="clear" w:fill="FFF2E5"/>
      </w:pPr>
      <w:r>
        <w:rPr>
          <w:b/>
          <w:sz w:val="20"/>
        </w:rPr>
        <w:t xml:space="preserve">Hygiene  </w:t>
      </w:r>
      <w:r>
        <w:rPr>
          <w:sz w:val="20"/>
        </w:rPr>
        <w:t>learn.py contains a live Gmail address and an app password in a comment. It's a dead stub that duplicates main.py's config and is imported by nothing — revoke the credential and delete the file. Separately, fetch.py is an unrelated internal employee-allocation tool checked in by accident; it has nothing to do with this system.</w:t>
      </w:r>
    </w:p>
    <w:p>
      <w:r>
        <w:br w:type="page"/>
      </w:r>
    </w:p>
    <w:p>
      <w:pPr>
        <w:pStyle w:val="Heading1"/>
      </w:pPr>
      <w:r>
        <w:t>Appendix A — File map</w:t>
      </w:r>
    </w:p>
    <w:p>
      <w:pPr>
        <w:pStyle w:val="Heading3"/>
      </w:pPr>
      <w:r>
        <w:t>Detection Engine (finalsinglenxt/finalsingle2/)</w:t>
      </w:r>
    </w:p>
    <w:tbl>
      <w:tblPr>
        <w:tblStyle w:val="TableGrid"/>
        <w:tblW w:type="auto" w:w="0"/>
        <w:jc w:val="left"/>
        <w:tblLook w:firstColumn="1" w:firstRow="1" w:lastColumn="0" w:lastRow="0" w:noHBand="0" w:noVBand="1" w:val="04A0"/>
      </w:tblPr>
      <w:tblGrid>
        <w:gridCol w:w="4320"/>
        <w:gridCol w:w="4320"/>
      </w:tblGrid>
      <w:tr>
        <w:tc>
          <w:tcPr>
            <w:tcW w:type="dxa" w:w="3024"/>
          </w:tcPr>
          <w:p>
            <w:pPr>
              <w:shd w:val="clear" w:fill="D9E2F3"/>
            </w:pPr>
            <w:r/>
            <w:r>
              <w:rPr>
                <w:b/>
                <w:sz w:val="19"/>
              </w:rPr>
              <w:t>File</w:t>
            </w:r>
          </w:p>
        </w:tc>
        <w:tc>
          <w:tcPr>
            <w:tcW w:type="dxa" w:w="5760"/>
          </w:tcPr>
          <w:p>
            <w:pPr>
              <w:shd w:val="clear" w:fill="D9E2F3"/>
            </w:pPr>
            <w:r/>
            <w:r>
              <w:rPr>
                <w:b/>
                <w:sz w:val="19"/>
              </w:rPr>
              <w:t>Purpose</w:t>
            </w:r>
          </w:p>
        </w:tc>
      </w:tr>
      <w:tr>
        <w:tc>
          <w:tcPr>
            <w:tcW w:type="dxa" w:w="3024"/>
          </w:tcPr>
          <w:p>
            <w:pPr>
              <w:spacing w:after="40"/>
            </w:pPr>
            <w:r/>
            <w:r>
              <w:rPr>
                <w:sz w:val="19"/>
              </w:rPr>
              <w:t>main.py</w:t>
            </w:r>
          </w:p>
        </w:tc>
        <w:tc>
          <w:tcPr>
            <w:tcW w:type="dxa" w:w="5760"/>
          </w:tcPr>
          <w:p>
            <w:pPr>
              <w:spacing w:after="40"/>
            </w:pPr>
            <w:r/>
            <w:r>
              <w:rPr>
                <w:sz w:val="19"/>
              </w:rPr>
              <w:t>The engine. Loading, feature engineering, training, inference, scoring, decay, alerting, logging. Read this first.</w:t>
            </w:r>
          </w:p>
        </w:tc>
      </w:tr>
      <w:tr>
        <w:tc>
          <w:tcPr>
            <w:tcW w:type="dxa" w:w="3024"/>
          </w:tcPr>
          <w:p>
            <w:pPr>
              <w:spacing w:after="40"/>
            </w:pPr>
            <w:r/>
            <w:r>
              <w:rPr>
                <w:sz w:val="19"/>
              </w:rPr>
              <w:t>selecttabs.py</w:t>
            </w:r>
          </w:p>
        </w:tc>
        <w:tc>
          <w:tcPr>
            <w:tcW w:type="dxa" w:w="5760"/>
          </w:tcPr>
          <w:p>
            <w:pPr>
              <w:spacing w:after="40"/>
            </w:pPr>
            <w:r/>
            <w:r>
              <w:rPr>
                <w:sz w:val="19"/>
              </w:rPr>
              <w:t>The working demo UI. Four screens: Neural Network Core, Live Threat Simulator, Threat Intelligence Logs, Self-Healing Matrix.</w:t>
            </w:r>
          </w:p>
        </w:tc>
      </w:tr>
      <w:tr>
        <w:tc>
          <w:tcPr>
            <w:tcW w:type="dxa" w:w="3024"/>
          </w:tcPr>
          <w:p>
            <w:pPr>
              <w:spacing w:after="40"/>
            </w:pPr>
            <w:r/>
            <w:r>
              <w:rPr>
                <w:sz w:val="19"/>
              </w:rPr>
              <w:t>Enriched_v2_realistic_network_threat_data.csv</w:t>
            </w:r>
          </w:p>
        </w:tc>
        <w:tc>
          <w:tcPr>
            <w:tcW w:type="dxa" w:w="5760"/>
          </w:tcPr>
          <w:p>
            <w:pPr>
              <w:spacing w:after="40"/>
            </w:pPr>
            <w:r/>
            <w:r>
              <w:rPr>
                <w:sz w:val="19"/>
              </w:rPr>
              <w:t>The 40k-row training dataset.</w:t>
            </w:r>
          </w:p>
        </w:tc>
      </w:tr>
      <w:tr>
        <w:tc>
          <w:tcPr>
            <w:tcW w:type="dxa" w:w="3024"/>
          </w:tcPr>
          <w:p>
            <w:pPr>
              <w:spacing w:after="40"/>
            </w:pPr>
            <w:r/>
            <w:r>
              <w:rPr>
                <w:sz w:val="19"/>
              </w:rPr>
              <w:t>threat_action_log.csv</w:t>
            </w:r>
          </w:p>
        </w:tc>
        <w:tc>
          <w:tcPr>
            <w:tcW w:type="dxa" w:w="5760"/>
          </w:tcPr>
          <w:p>
            <w:pPr>
              <w:spacing w:after="40"/>
            </w:pPr>
            <w:r/>
            <w:r>
              <w:rPr>
                <w:sz w:val="19"/>
              </w:rPr>
              <w:t>Append-only decision log — the threat memory.</w:t>
            </w:r>
          </w:p>
        </w:tc>
      </w:tr>
      <w:tr>
        <w:tc>
          <w:tcPr>
            <w:tcW w:type="dxa" w:w="3024"/>
          </w:tcPr>
          <w:p>
            <w:pPr>
              <w:spacing w:after="40"/>
            </w:pPr>
            <w:r/>
            <w:r>
              <w:rPr>
                <w:sz w:val="19"/>
              </w:rPr>
              <w:t>app.py / app1.py / app3.py / app4.py / app5.py</w:t>
            </w:r>
          </w:p>
        </w:tc>
        <w:tc>
          <w:tcPr>
            <w:tcW w:type="dxa" w:w="5760"/>
          </w:tcPr>
          <w:p>
            <w:pPr>
              <w:spacing w:after="40"/>
            </w:pPr>
            <w:r/>
            <w:r>
              <w:rPr>
                <w:sz w:val="19"/>
              </w:rPr>
              <w:t>Earlier UI iterations. Superseded.</w:t>
            </w:r>
          </w:p>
        </w:tc>
      </w:tr>
      <w:tr>
        <w:tc>
          <w:tcPr>
            <w:tcW w:type="dxa" w:w="3024"/>
          </w:tcPr>
          <w:p>
            <w:pPr>
              <w:spacing w:after="40"/>
            </w:pPr>
            <w:r/>
            <w:r>
              <w:rPr>
                <w:sz w:val="19"/>
              </w:rPr>
              <w:t>frontend.py / uinew.py</w:t>
            </w:r>
          </w:p>
        </w:tc>
        <w:tc>
          <w:tcPr>
            <w:tcW w:type="dxa" w:w="5760"/>
          </w:tcPr>
          <w:p>
            <w:pPr>
              <w:spacing w:after="40"/>
            </w:pPr>
            <w:r/>
            <w:r>
              <w:rPr>
                <w:sz w:val="19"/>
              </w:rPr>
              <w:t>UI variants with a menu/routing string mismatch — they render blank. Use selecttabs.py.</w:t>
            </w:r>
          </w:p>
        </w:tc>
      </w:tr>
      <w:tr>
        <w:tc>
          <w:tcPr>
            <w:tcW w:type="dxa" w:w="3024"/>
          </w:tcPr>
          <w:p>
            <w:pPr>
              <w:spacing w:after="40"/>
            </w:pPr>
            <w:r/>
            <w:r>
              <w:rPr>
                <w:sz w:val="19"/>
              </w:rPr>
              <w:t>learn.py / fetch.py</w:t>
            </w:r>
          </w:p>
        </w:tc>
        <w:tc>
          <w:tcPr>
            <w:tcW w:type="dxa" w:w="5760"/>
          </w:tcPr>
          <w:p>
            <w:pPr>
              <w:spacing w:after="40"/>
            </w:pPr>
            <w:r/>
            <w:r>
              <w:rPr>
                <w:sz w:val="19"/>
              </w:rPr>
              <w:t>Dead stub and unrelated tool respectively. Ignore both.</w:t>
            </w:r>
          </w:p>
        </w:tc>
      </w:tr>
    </w:tbl>
    <w:p>
      <w:pPr>
        <w:spacing w:after="40"/>
      </w:pPr>
    </w:p>
    <w:p>
      <w:pPr>
        <w:pStyle w:val="Heading3"/>
      </w:pPr>
      <w:r>
        <w:t>Enrichment Service (Self Heal AI Next/)</w:t>
      </w:r>
    </w:p>
    <w:tbl>
      <w:tblPr>
        <w:tblStyle w:val="TableGrid"/>
        <w:tblW w:type="auto" w:w="0"/>
        <w:jc w:val="left"/>
        <w:tblLook w:firstColumn="1" w:firstRow="1" w:lastColumn="0" w:lastRow="0" w:noHBand="0" w:noVBand="1" w:val="04A0"/>
      </w:tblPr>
      <w:tblGrid>
        <w:gridCol w:w="4320"/>
        <w:gridCol w:w="4320"/>
      </w:tblGrid>
      <w:tr>
        <w:tc>
          <w:tcPr>
            <w:tcW w:type="dxa" w:w="3024"/>
          </w:tcPr>
          <w:p>
            <w:pPr>
              <w:shd w:val="clear" w:fill="D9E2F3"/>
            </w:pPr>
            <w:r/>
            <w:r>
              <w:rPr>
                <w:b/>
                <w:sz w:val="19"/>
              </w:rPr>
              <w:t>File</w:t>
            </w:r>
          </w:p>
        </w:tc>
        <w:tc>
          <w:tcPr>
            <w:tcW w:type="dxa" w:w="5760"/>
          </w:tcPr>
          <w:p>
            <w:pPr>
              <w:shd w:val="clear" w:fill="D9E2F3"/>
            </w:pPr>
            <w:r/>
            <w:r>
              <w:rPr>
                <w:b/>
                <w:sz w:val="19"/>
              </w:rPr>
              <w:t>Purpose</w:t>
            </w:r>
          </w:p>
        </w:tc>
      </w:tr>
      <w:tr>
        <w:tc>
          <w:tcPr>
            <w:tcW w:type="dxa" w:w="3024"/>
          </w:tcPr>
          <w:p>
            <w:pPr>
              <w:spacing w:after="40"/>
            </w:pPr>
            <w:r/>
            <w:r>
              <w:rPr>
                <w:sz w:val="19"/>
              </w:rPr>
              <w:t>api/main.py</w:t>
            </w:r>
          </w:p>
        </w:tc>
        <w:tc>
          <w:tcPr>
            <w:tcW w:type="dxa" w:w="5760"/>
          </w:tcPr>
          <w:p>
            <w:pPr>
              <w:spacing w:after="40"/>
            </w:pPr>
            <w:r/>
            <w:r>
              <w:rPr>
                <w:sz w:val="19"/>
              </w:rPr>
              <w:t>FastAPI app, /enrich, auth, quotas, audit wiring.</w:t>
            </w:r>
          </w:p>
        </w:tc>
      </w:tr>
      <w:tr>
        <w:tc>
          <w:tcPr>
            <w:tcW w:type="dxa" w:w="3024"/>
          </w:tcPr>
          <w:p>
            <w:pPr>
              <w:spacing w:after="40"/>
            </w:pPr>
            <w:r/>
            <w:r>
              <w:rPr>
                <w:sz w:val="19"/>
              </w:rPr>
              <w:t>enrichment/feature_builder.py</w:t>
            </w:r>
          </w:p>
        </w:tc>
        <w:tc>
          <w:tcPr>
            <w:tcW w:type="dxa" w:w="5760"/>
          </w:tcPr>
          <w:p>
            <w:pPr>
              <w:spacing w:after="40"/>
            </w:pPr>
            <w:r/>
            <w:r>
              <w:rPr>
                <w:sz w:val="19"/>
              </w:rPr>
              <w:t>Concurrent orchestration of all seven sources. The core of the service.</w:t>
            </w:r>
          </w:p>
        </w:tc>
      </w:tr>
      <w:tr>
        <w:tc>
          <w:tcPr>
            <w:tcW w:type="dxa" w:w="3024"/>
          </w:tcPr>
          <w:p>
            <w:pPr>
              <w:spacing w:after="40"/>
            </w:pPr>
            <w:r/>
            <w:r>
              <w:rPr>
                <w:sz w:val="19"/>
              </w:rPr>
              <w:t>enrichment/geoip.py</w:t>
            </w:r>
          </w:p>
        </w:tc>
        <w:tc>
          <w:tcPr>
            <w:tcW w:type="dxa" w:w="5760"/>
          </w:tcPr>
          <w:p>
            <w:pPr>
              <w:spacing w:after="40"/>
            </w:pPr>
            <w:r/>
            <w:r>
              <w:rPr>
                <w:sz w:val="19"/>
              </w:rPr>
              <w:t>Layered geo resolution with consensus voting.</w:t>
            </w:r>
          </w:p>
        </w:tc>
      </w:tr>
      <w:tr>
        <w:tc>
          <w:tcPr>
            <w:tcW w:type="dxa" w:w="3024"/>
          </w:tcPr>
          <w:p>
            <w:pPr>
              <w:spacing w:after="40"/>
            </w:pPr>
            <w:r/>
            <w:r>
              <w:rPr>
                <w:sz w:val="19"/>
              </w:rPr>
              <w:t>enrichment/org_lookup.py</w:t>
            </w:r>
          </w:p>
        </w:tc>
        <w:tc>
          <w:tcPr>
            <w:tcW w:type="dxa" w:w="5760"/>
          </w:tcPr>
          <w:p>
            <w:pPr>
              <w:spacing w:after="40"/>
            </w:pPr>
            <w:r/>
            <w:r>
              <w:rPr>
                <w:sz w:val="19"/>
              </w:rPr>
              <w:t>RDAP org attribution with name-scoring heuristics.</w:t>
            </w:r>
          </w:p>
        </w:tc>
      </w:tr>
      <w:tr>
        <w:tc>
          <w:tcPr>
            <w:tcW w:type="dxa" w:w="3024"/>
          </w:tcPr>
          <w:p>
            <w:pPr>
              <w:spacing w:after="40"/>
            </w:pPr>
            <w:r/>
            <w:r>
              <w:rPr>
                <w:sz w:val="19"/>
              </w:rPr>
              <w:t>enrichment/circuit_breaker.py</w:t>
            </w:r>
          </w:p>
        </w:tc>
        <w:tc>
          <w:tcPr>
            <w:tcW w:type="dxa" w:w="5760"/>
          </w:tcPr>
          <w:p>
            <w:pPr>
              <w:spacing w:after="40"/>
            </w:pPr>
            <w:r/>
            <w:r>
              <w:rPr>
                <w:sz w:val="19"/>
              </w:rPr>
              <w:t>Breaker implementation wrapping external calls.</w:t>
            </w:r>
          </w:p>
        </w:tc>
      </w:tr>
      <w:tr>
        <w:tc>
          <w:tcPr>
            <w:tcW w:type="dxa" w:w="3024"/>
          </w:tcPr>
          <w:p>
            <w:pPr>
              <w:spacing w:after="40"/>
            </w:pPr>
            <w:r/>
            <w:r>
              <w:rPr>
                <w:sz w:val="19"/>
              </w:rPr>
              <w:t>governance/policy_engine.py</w:t>
            </w:r>
          </w:p>
        </w:tc>
        <w:tc>
          <w:tcPr>
            <w:tcW w:type="dxa" w:w="5760"/>
          </w:tcPr>
          <w:p>
            <w:pPr>
              <w:spacing w:after="40"/>
            </w:pPr>
            <w:r/>
            <w:r>
              <w:rPr>
                <w:sz w:val="19"/>
              </w:rPr>
              <w:t>The service's own weighted scoring (independent of the ML model).</w:t>
            </w:r>
          </w:p>
        </w:tc>
      </w:tr>
      <w:tr>
        <w:tc>
          <w:tcPr>
            <w:tcW w:type="dxa" w:w="3024"/>
          </w:tcPr>
          <w:p>
            <w:pPr>
              <w:spacing w:after="40"/>
            </w:pPr>
            <w:r/>
            <w:r>
              <w:rPr>
                <w:sz w:val="19"/>
              </w:rPr>
              <w:t>governance/audit_store*.py</w:t>
            </w:r>
          </w:p>
        </w:tc>
        <w:tc>
          <w:tcPr>
            <w:tcW w:type="dxa" w:w="5760"/>
          </w:tcPr>
          <w:p>
            <w:pPr>
              <w:spacing w:after="40"/>
            </w:pPr>
            <w:r/>
            <w:r>
              <w:rPr>
                <w:sz w:val="19"/>
              </w:rPr>
              <w:t>Redis hot store and SQLite persistent store.</w:t>
            </w:r>
          </w:p>
        </w:tc>
      </w:tr>
      <w:tr>
        <w:tc>
          <w:tcPr>
            <w:tcW w:type="dxa" w:w="3024"/>
          </w:tcPr>
          <w:p>
            <w:pPr>
              <w:spacing w:after="40"/>
            </w:pPr>
            <w:r/>
            <w:r>
              <w:rPr>
                <w:sz w:val="19"/>
              </w:rPr>
              <w:t>config/settings.py</w:t>
            </w:r>
          </w:p>
        </w:tc>
        <w:tc>
          <w:tcPr>
            <w:tcW w:type="dxa" w:w="5760"/>
          </w:tcPr>
          <w:p>
            <w:pPr>
              <w:spacing w:after="40"/>
            </w:pPr>
            <w:r/>
            <w:r>
              <w:rPr>
                <w:sz w:val="19"/>
              </w:rPr>
              <w:t>All timeouts, thresholds and toggles, pydantic-settings.</w:t>
            </w:r>
          </w:p>
        </w:tc>
      </w:tr>
      <w:tr>
        <w:tc>
          <w:tcPr>
            <w:tcW w:type="dxa" w:w="3024"/>
          </w:tcPr>
          <w:p>
            <w:pPr>
              <w:spacing w:after="40"/>
            </w:pPr>
            <w:r/>
            <w:r>
              <w:rPr>
                <w:sz w:val="19"/>
              </w:rPr>
              <w:t>tests/test_api_v4.py</w:t>
            </w:r>
          </w:p>
        </w:tc>
        <w:tc>
          <w:tcPr>
            <w:tcW w:type="dxa" w:w="5760"/>
          </w:tcPr>
          <w:p>
            <w:pPr>
              <w:spacing w:after="40"/>
            </w:pPr>
            <w:r/>
            <w:r>
              <w:rPr>
                <w:sz w:val="19"/>
              </w:rPr>
              <w:t>Auth, quota, audit isolation and decision contract tests.</w:t>
            </w:r>
          </w:p>
        </w:tc>
      </w:tr>
    </w:tbl>
    <w:p>
      <w:pPr>
        <w:spacing w:after="40"/>
      </w:pPr>
    </w:p>
    <w:p>
      <w:pPr>
        <w:pStyle w:val="Heading1"/>
      </w:pPr>
      <w:r>
        <w:t>Appendix B — Running it</w:t>
      </w:r>
    </w:p>
    <w:p>
      <w:r>
        <w:t>Detection engine:</w:t>
      </w:r>
    </w:p>
    <w:p>
      <w:pPr>
        <w:spacing w:before="80" w:after="160" w:line="240" w:lineRule="auto"/>
        <w:ind w:left="230"/>
        <w:shd w:val="clear" w:fill="F2F2F2"/>
      </w:pPr>
      <w:r>
        <w:rPr>
          <w:rFonts w:ascii="Consolas" w:hAnsi="Consolas"/>
          <w:sz w:val="17"/>
        </w:rPr>
        <w:t>cd finalsinglenxt/finalsingle2</w:t>
        <w:br/>
        <w:t>pip install -r requirements.txt</w:t>
        <w:br/>
        <w:t>streamlit run selecttabs.py          # then click "INITIALIZE AI SYSTEMS" to train</w:t>
        <w:br/>
        <w:br/>
        <w:t>python main.py                       # standalone: trains + runs one test event + leakage test</w:t>
      </w:r>
    </w:p>
    <w:p>
      <w:r>
        <w:t>Enrichment service:</w:t>
      </w:r>
    </w:p>
    <w:p>
      <w:pPr>
        <w:spacing w:before="80" w:after="160" w:line="240" w:lineRule="auto"/>
        <w:ind w:left="230"/>
        <w:shd w:val="clear" w:fill="F2F2F2"/>
      </w:pPr>
      <w:r>
        <w:rPr>
          <w:rFonts w:ascii="Consolas" w:hAnsi="Consolas"/>
          <w:sz w:val="17"/>
        </w:rPr>
        <w:t>cd "Self Heal AI Next"</w:t>
        <w:br/>
        <w:t>pip install -r requirements.txt</w:t>
        <w:br/>
        <w:t># Redis must be running on localhost:6379</w:t>
        <w:br/>
        <w:t>uvicorn api.main:app --port 8000</w:t>
        <w:br/>
        <w:t>python api_test.py                   # smoke test against a live IP</w:t>
        <w:br/>
        <w:t>pytest -q                            # 4 tests</w:t>
      </w:r>
    </w:p>
    <w:p>
      <w:pPr>
        <w:pStyle w:val="Heading1"/>
      </w:pPr>
      <w:r>
        <w:t>Appendix C — Function quick reference</w:t>
      </w:r>
    </w:p>
    <w:tbl>
      <w:tblPr>
        <w:tblStyle w:val="TableGrid"/>
        <w:tblW w:type="auto" w:w="0"/>
        <w:jc w:val="left"/>
        <w:tblLook w:firstColumn="1" w:firstRow="1" w:lastColumn="0" w:lastRow="0" w:noHBand="0" w:noVBand="1" w:val="04A0"/>
      </w:tblPr>
      <w:tblGrid>
        <w:gridCol w:w="2880"/>
        <w:gridCol w:w="2880"/>
        <w:gridCol w:w="2880"/>
      </w:tblGrid>
      <w:tr>
        <w:tc>
          <w:tcPr>
            <w:tcW w:type="dxa" w:w="2664"/>
          </w:tcPr>
          <w:p>
            <w:pPr>
              <w:shd w:val="clear" w:fill="D9E2F3"/>
            </w:pPr>
            <w:r/>
            <w:r>
              <w:rPr>
                <w:b/>
                <w:sz w:val="19"/>
              </w:rPr>
              <w:t>Function</w:t>
            </w:r>
          </w:p>
        </w:tc>
        <w:tc>
          <w:tcPr>
            <w:tcW w:type="dxa" w:w="2448"/>
          </w:tcPr>
          <w:p>
            <w:pPr>
              <w:shd w:val="clear" w:fill="D9E2F3"/>
            </w:pPr>
            <w:r/>
            <w:r>
              <w:rPr>
                <w:b/>
                <w:sz w:val="19"/>
              </w:rPr>
              <w:t>File</w:t>
            </w:r>
          </w:p>
        </w:tc>
        <w:tc>
          <w:tcPr>
            <w:tcW w:type="dxa" w:w="3672"/>
          </w:tcPr>
          <w:p>
            <w:pPr>
              <w:shd w:val="clear" w:fill="D9E2F3"/>
            </w:pPr>
            <w:r/>
            <w:r>
              <w:rPr>
                <w:b/>
                <w:sz w:val="19"/>
              </w:rPr>
              <w:t>Does</w:t>
            </w:r>
          </w:p>
        </w:tc>
      </w:tr>
      <w:tr>
        <w:tc>
          <w:tcPr>
            <w:tcW w:type="dxa" w:w="2664"/>
          </w:tcPr>
          <w:p>
            <w:pPr>
              <w:spacing w:after="40"/>
            </w:pPr>
            <w:r/>
            <w:r>
              <w:rPr>
                <w:sz w:val="19"/>
              </w:rPr>
              <w:t>load_data()</w:t>
            </w:r>
          </w:p>
        </w:tc>
        <w:tc>
          <w:tcPr>
            <w:tcW w:type="dxa" w:w="2448"/>
          </w:tcPr>
          <w:p>
            <w:pPr>
              <w:spacing w:after="40"/>
            </w:pPr>
            <w:r/>
            <w:r>
              <w:rPr>
                <w:sz w:val="19"/>
              </w:rPr>
              <w:t>main.py</w:t>
            </w:r>
          </w:p>
        </w:tc>
        <w:tc>
          <w:tcPr>
            <w:tcW w:type="dxa" w:w="3672"/>
          </w:tcPr>
          <w:p>
            <w:pPr>
              <w:spacing w:after="40"/>
            </w:pPr>
            <w:r/>
            <w:r>
              <w:rPr>
                <w:sz w:val="19"/>
              </w:rPr>
              <w:t>CSV in, timestamps parsed</w:t>
            </w:r>
          </w:p>
        </w:tc>
      </w:tr>
      <w:tr>
        <w:tc>
          <w:tcPr>
            <w:tcW w:type="dxa" w:w="2664"/>
          </w:tcPr>
          <w:p>
            <w:pPr>
              <w:spacing w:after="40"/>
            </w:pPr>
            <w:r/>
            <w:r>
              <w:rPr>
                <w:sz w:val="19"/>
              </w:rPr>
              <w:t>feature_engineering()</w:t>
            </w:r>
          </w:p>
        </w:tc>
        <w:tc>
          <w:tcPr>
            <w:tcW w:type="dxa" w:w="2448"/>
          </w:tcPr>
          <w:p>
            <w:pPr>
              <w:spacing w:after="40"/>
            </w:pPr>
            <w:r/>
            <w:r>
              <w:rPr>
                <w:sz w:val="19"/>
              </w:rPr>
              <w:t>main.py</w:t>
            </w:r>
          </w:p>
        </w:tc>
        <w:tc>
          <w:tcPr>
            <w:tcW w:type="dxa" w:w="3672"/>
          </w:tcPr>
          <w:p>
            <w:pPr>
              <w:spacing w:after="40"/>
            </w:pPr>
            <w:r/>
            <w:r>
              <w:rPr>
                <w:sz w:val="19"/>
              </w:rPr>
              <w:t>Derived flow features</w:t>
            </w:r>
          </w:p>
        </w:tc>
      </w:tr>
      <w:tr>
        <w:tc>
          <w:tcPr>
            <w:tcW w:type="dxa" w:w="2664"/>
          </w:tcPr>
          <w:p>
            <w:pPr>
              <w:spacing w:after="40"/>
            </w:pPr>
            <w:r/>
            <w:r>
              <w:rPr>
                <w:sz w:val="19"/>
              </w:rPr>
              <w:t>add_behavioral_counts()</w:t>
            </w:r>
          </w:p>
        </w:tc>
        <w:tc>
          <w:tcPr>
            <w:tcW w:type="dxa" w:w="2448"/>
          </w:tcPr>
          <w:p>
            <w:pPr>
              <w:spacing w:after="40"/>
            </w:pPr>
            <w:r/>
            <w:r>
              <w:rPr>
                <w:sz w:val="19"/>
              </w:rPr>
              <w:t>main.py</w:t>
            </w:r>
          </w:p>
        </w:tc>
        <w:tc>
          <w:tcPr>
            <w:tcW w:type="dxa" w:w="3672"/>
          </w:tcPr>
          <w:p>
            <w:pPr>
              <w:spacing w:after="40"/>
            </w:pPr>
            <w:r/>
            <w:r>
              <w:rPr>
                <w:sz w:val="19"/>
              </w:rPr>
              <w:t>Windowed per-key counts</w:t>
            </w:r>
          </w:p>
        </w:tc>
      </w:tr>
      <w:tr>
        <w:tc>
          <w:tcPr>
            <w:tcW w:type="dxa" w:w="2664"/>
          </w:tcPr>
          <w:p>
            <w:pPr>
              <w:spacing w:after="40"/>
            </w:pPr>
            <w:r/>
            <w:r>
              <w:rPr>
                <w:sz w:val="19"/>
              </w:rPr>
              <w:t>inject_noise()</w:t>
            </w:r>
          </w:p>
        </w:tc>
        <w:tc>
          <w:tcPr>
            <w:tcW w:type="dxa" w:w="2448"/>
          </w:tcPr>
          <w:p>
            <w:pPr>
              <w:spacing w:after="40"/>
            </w:pPr>
            <w:r/>
            <w:r>
              <w:rPr>
                <w:sz w:val="19"/>
              </w:rPr>
              <w:t>main.py</w:t>
            </w:r>
          </w:p>
        </w:tc>
        <w:tc>
          <w:tcPr>
            <w:tcW w:type="dxa" w:w="3672"/>
          </w:tcPr>
          <w:p>
            <w:pPr>
              <w:spacing w:after="40"/>
            </w:pPr>
            <w:r/>
            <w:r>
              <w:rPr>
                <w:sz w:val="19"/>
              </w:rPr>
              <w:t>Flips 15% of labels pre-training</w:t>
            </w:r>
          </w:p>
        </w:tc>
      </w:tr>
      <w:tr>
        <w:tc>
          <w:tcPr>
            <w:tcW w:type="dxa" w:w="2664"/>
          </w:tcPr>
          <w:p>
            <w:pPr>
              <w:spacing w:after="40"/>
            </w:pPr>
            <w:r/>
            <w:r>
              <w:rPr>
                <w:sz w:val="19"/>
              </w:rPr>
              <w:t>preprocess()</w:t>
            </w:r>
          </w:p>
        </w:tc>
        <w:tc>
          <w:tcPr>
            <w:tcW w:type="dxa" w:w="2448"/>
          </w:tcPr>
          <w:p>
            <w:pPr>
              <w:spacing w:after="40"/>
            </w:pPr>
            <w:r/>
            <w:r>
              <w:rPr>
                <w:sz w:val="19"/>
              </w:rPr>
              <w:t>main.py</w:t>
            </w:r>
          </w:p>
        </w:tc>
        <w:tc>
          <w:tcPr>
            <w:tcW w:type="dxa" w:w="3672"/>
          </w:tcPr>
          <w:p>
            <w:pPr>
              <w:spacing w:after="40"/>
            </w:pPr>
            <w:r/>
            <w:r>
              <w:rPr>
                <w:sz w:val="19"/>
              </w:rPr>
              <w:t>Encode, split, scale</w:t>
            </w:r>
          </w:p>
        </w:tc>
      </w:tr>
      <w:tr>
        <w:tc>
          <w:tcPr>
            <w:tcW w:type="dxa" w:w="2664"/>
          </w:tcPr>
          <w:p>
            <w:pPr>
              <w:spacing w:after="40"/>
            </w:pPr>
            <w:r/>
            <w:r>
              <w:rPr>
                <w:sz w:val="19"/>
              </w:rPr>
              <w:t>evaluate_models()</w:t>
            </w:r>
          </w:p>
        </w:tc>
        <w:tc>
          <w:tcPr>
            <w:tcW w:type="dxa" w:w="2448"/>
          </w:tcPr>
          <w:p>
            <w:pPr>
              <w:spacing w:after="40"/>
            </w:pPr>
            <w:r/>
            <w:r>
              <w:rPr>
                <w:sz w:val="19"/>
              </w:rPr>
              <w:t>main.py</w:t>
            </w:r>
          </w:p>
        </w:tc>
        <w:tc>
          <w:tcPr>
            <w:tcW w:type="dxa" w:w="3672"/>
          </w:tcPr>
          <w:p>
            <w:pPr>
              <w:spacing w:after="40"/>
            </w:pPr>
            <w:r/>
            <w:r>
              <w:rPr>
                <w:sz w:val="19"/>
              </w:rPr>
              <w:t>Three-model benchmark</w:t>
            </w:r>
          </w:p>
        </w:tc>
      </w:tr>
      <w:tr>
        <w:tc>
          <w:tcPr>
            <w:tcW w:type="dxa" w:w="2664"/>
          </w:tcPr>
          <w:p>
            <w:pPr>
              <w:spacing w:after="40"/>
            </w:pPr>
            <w:r/>
            <w:r>
              <w:rPr>
                <w:sz w:val="19"/>
              </w:rPr>
              <w:t>preprocess_and_train()</w:t>
            </w:r>
          </w:p>
        </w:tc>
        <w:tc>
          <w:tcPr>
            <w:tcW w:type="dxa" w:w="2448"/>
          </w:tcPr>
          <w:p>
            <w:pPr>
              <w:spacing w:after="40"/>
            </w:pPr>
            <w:r/>
            <w:r>
              <w:rPr>
                <w:sz w:val="19"/>
              </w:rPr>
              <w:t>main.py</w:t>
            </w:r>
          </w:p>
        </w:tc>
        <w:tc>
          <w:tcPr>
            <w:tcW w:type="dxa" w:w="3672"/>
          </w:tcPr>
          <w:p>
            <w:pPr>
              <w:spacing w:after="40"/>
            </w:pPr>
            <w:r/>
            <w:r>
              <w:rPr>
                <w:sz w:val="19"/>
              </w:rPr>
              <w:t>RF feature selection then XGBoost fit</w:t>
            </w:r>
          </w:p>
        </w:tc>
      </w:tr>
      <w:tr>
        <w:tc>
          <w:tcPr>
            <w:tcW w:type="dxa" w:w="2664"/>
          </w:tcPr>
          <w:p>
            <w:pPr>
              <w:spacing w:after="40"/>
            </w:pPr>
            <w:r/>
            <w:r>
              <w:rPr>
                <w:sz w:val="19"/>
              </w:rPr>
              <w:t>leakage_test()</w:t>
            </w:r>
          </w:p>
        </w:tc>
        <w:tc>
          <w:tcPr>
            <w:tcW w:type="dxa" w:w="2448"/>
          </w:tcPr>
          <w:p>
            <w:pPr>
              <w:spacing w:after="40"/>
            </w:pPr>
            <w:r/>
            <w:r>
              <w:rPr>
                <w:sz w:val="19"/>
              </w:rPr>
              <w:t>main.py</w:t>
            </w:r>
          </w:p>
        </w:tc>
        <w:tc>
          <w:tcPr>
            <w:tcW w:type="dxa" w:w="3672"/>
          </w:tcPr>
          <w:p>
            <w:pPr>
              <w:spacing w:after="40"/>
            </w:pPr>
            <w:r/>
            <w:r>
              <w:rPr>
                <w:sz w:val="19"/>
              </w:rPr>
              <w:t>Shuffled-label negative control</w:t>
            </w:r>
          </w:p>
        </w:tc>
      </w:tr>
      <w:tr>
        <w:tc>
          <w:tcPr>
            <w:tcW w:type="dxa" w:w="2664"/>
          </w:tcPr>
          <w:p>
            <w:pPr>
              <w:spacing w:after="40"/>
            </w:pPr>
            <w:r/>
            <w:r>
              <w:rPr>
                <w:sz w:val="19"/>
              </w:rPr>
              <w:t>compute_decay()</w:t>
            </w:r>
          </w:p>
        </w:tc>
        <w:tc>
          <w:tcPr>
            <w:tcW w:type="dxa" w:w="2448"/>
          </w:tcPr>
          <w:p>
            <w:pPr>
              <w:spacing w:after="40"/>
            </w:pPr>
            <w:r/>
            <w:r>
              <w:rPr>
                <w:sz w:val="19"/>
              </w:rPr>
              <w:t>main.py</w:t>
            </w:r>
          </w:p>
        </w:tc>
        <w:tc>
          <w:tcPr>
            <w:tcW w:type="dxa" w:w="3672"/>
          </w:tcPr>
          <w:p>
            <w:pPr>
              <w:spacing w:after="40"/>
            </w:pPr>
            <w:r/>
            <w:r>
              <w:rPr>
                <w:sz w:val="19"/>
              </w:rPr>
              <w:t>30/60-day decay factor</w:t>
            </w:r>
          </w:p>
        </w:tc>
      </w:tr>
      <w:tr>
        <w:tc>
          <w:tcPr>
            <w:tcW w:type="dxa" w:w="2664"/>
          </w:tcPr>
          <w:p>
            <w:pPr>
              <w:spacing w:after="40"/>
            </w:pPr>
            <w:r/>
            <w:r>
              <w:rPr>
                <w:sz w:val="19"/>
              </w:rPr>
              <w:t>run_realtime_engine()</w:t>
            </w:r>
          </w:p>
        </w:tc>
        <w:tc>
          <w:tcPr>
            <w:tcW w:type="dxa" w:w="2448"/>
          </w:tcPr>
          <w:p>
            <w:pPr>
              <w:spacing w:after="40"/>
            </w:pPr>
            <w:r/>
            <w:r>
              <w:rPr>
                <w:sz w:val="19"/>
              </w:rPr>
              <w:t>main.py</w:t>
            </w:r>
          </w:p>
        </w:tc>
        <w:tc>
          <w:tcPr>
            <w:tcW w:type="dxa" w:w="3672"/>
          </w:tcPr>
          <w:p>
            <w:pPr>
              <w:spacing w:after="40"/>
            </w:pPr>
            <w:r/>
            <w:r>
              <w:rPr>
                <w:sz w:val="19"/>
              </w:rPr>
              <w:t>Full inference to enforcement decision</w:t>
            </w:r>
          </w:p>
        </w:tc>
      </w:tr>
      <w:tr>
        <w:tc>
          <w:tcPr>
            <w:tcW w:type="dxa" w:w="2664"/>
          </w:tcPr>
          <w:p>
            <w:pPr>
              <w:spacing w:after="40"/>
            </w:pPr>
            <w:r/>
            <w:r>
              <w:rPr>
                <w:sz w:val="19"/>
              </w:rPr>
              <w:t>send_critical_alert()</w:t>
            </w:r>
          </w:p>
        </w:tc>
        <w:tc>
          <w:tcPr>
            <w:tcW w:type="dxa" w:w="2448"/>
          </w:tcPr>
          <w:p>
            <w:pPr>
              <w:spacing w:after="40"/>
            </w:pPr>
            <w:r/>
            <w:r>
              <w:rPr>
                <w:sz w:val="19"/>
              </w:rPr>
              <w:t>main.py</w:t>
            </w:r>
          </w:p>
        </w:tc>
        <w:tc>
          <w:tcPr>
            <w:tcW w:type="dxa" w:w="3672"/>
          </w:tcPr>
          <w:p>
            <w:pPr>
              <w:spacing w:after="40"/>
            </w:pPr>
            <w:r/>
            <w:r>
              <w:rPr>
                <w:sz w:val="19"/>
              </w:rPr>
              <w:t>SMTP alert on CRITICAL</w:t>
            </w:r>
          </w:p>
        </w:tc>
      </w:tr>
      <w:tr>
        <w:tc>
          <w:tcPr>
            <w:tcW w:type="dxa" w:w="2664"/>
          </w:tcPr>
          <w:p>
            <w:pPr>
              <w:spacing w:after="40"/>
            </w:pPr>
            <w:r/>
            <w:r>
              <w:rPr>
                <w:sz w:val="19"/>
              </w:rPr>
              <w:t>log_threat()</w:t>
            </w:r>
          </w:p>
        </w:tc>
        <w:tc>
          <w:tcPr>
            <w:tcW w:type="dxa" w:w="2448"/>
          </w:tcPr>
          <w:p>
            <w:pPr>
              <w:spacing w:after="40"/>
            </w:pPr>
            <w:r/>
            <w:r>
              <w:rPr>
                <w:sz w:val="19"/>
              </w:rPr>
              <w:t>main.py</w:t>
            </w:r>
          </w:p>
        </w:tc>
        <w:tc>
          <w:tcPr>
            <w:tcW w:type="dxa" w:w="3672"/>
          </w:tcPr>
          <w:p>
            <w:pPr>
              <w:spacing w:after="40"/>
            </w:pPr>
            <w:r/>
            <w:r>
              <w:rPr>
                <w:sz w:val="19"/>
              </w:rPr>
              <w:t>Append to threat memory CSV</w:t>
            </w:r>
          </w:p>
        </w:tc>
      </w:tr>
      <w:tr>
        <w:tc>
          <w:tcPr>
            <w:tcW w:type="dxa" w:w="2664"/>
          </w:tcPr>
          <w:p>
            <w:pPr>
              <w:spacing w:after="40"/>
            </w:pPr>
            <w:r/>
            <w:r>
              <w:rPr>
                <w:sz w:val="19"/>
              </w:rPr>
              <w:t>build_features()</w:t>
            </w:r>
          </w:p>
        </w:tc>
        <w:tc>
          <w:tcPr>
            <w:tcW w:type="dxa" w:w="2448"/>
          </w:tcPr>
          <w:p>
            <w:pPr>
              <w:spacing w:after="40"/>
            </w:pPr>
            <w:r/>
            <w:r>
              <w:rPr>
                <w:sz w:val="19"/>
              </w:rPr>
              <w:t>feature_builder.py</w:t>
            </w:r>
          </w:p>
        </w:tc>
        <w:tc>
          <w:tcPr>
            <w:tcW w:type="dxa" w:w="3672"/>
          </w:tcPr>
          <w:p>
            <w:pPr>
              <w:spacing w:after="40"/>
            </w:pPr>
            <w:r/>
            <w:r>
              <w:rPr>
                <w:sz w:val="19"/>
              </w:rPr>
              <w:t>Concurrent 7-source enrichment</w:t>
            </w:r>
          </w:p>
        </w:tc>
      </w:tr>
      <w:tr>
        <w:tc>
          <w:tcPr>
            <w:tcW w:type="dxa" w:w="2664"/>
          </w:tcPr>
          <w:p>
            <w:pPr>
              <w:spacing w:after="40"/>
            </w:pPr>
            <w:r/>
            <w:r>
              <w:rPr>
                <w:sz w:val="19"/>
              </w:rPr>
              <w:t>PolicyEngine.evaluate()</w:t>
            </w:r>
          </w:p>
        </w:tc>
        <w:tc>
          <w:tcPr>
            <w:tcW w:type="dxa" w:w="2448"/>
          </w:tcPr>
          <w:p>
            <w:pPr>
              <w:spacing w:after="40"/>
            </w:pPr>
            <w:r/>
            <w:r>
              <w:rPr>
                <w:sz w:val="19"/>
              </w:rPr>
              <w:t>policy_engine.py</w:t>
            </w:r>
          </w:p>
        </w:tc>
        <w:tc>
          <w:tcPr>
            <w:tcW w:type="dxa" w:w="3672"/>
          </w:tcPr>
          <w:p>
            <w:pPr>
              <w:spacing w:after="40"/>
            </w:pPr>
            <w:r/>
            <w:r>
              <w:rPr>
                <w:sz w:val="19"/>
              </w:rPr>
              <w:t>Service-side weighted scoring</w:t>
            </w:r>
          </w:p>
        </w:tc>
      </w:tr>
    </w:tbl>
    <w:p>
      <w:pPr>
        <w:spacing w:after="40"/>
      </w:pPr>
    </w:p>
    <w:p>
      <w:pPr>
        <w:pStyle w:val="Heading1"/>
      </w:pPr>
      <w:r>
        <w:t>Appendix D — 30-minute run sheet</w:t>
      </w:r>
    </w:p>
    <w:tbl>
      <w:tblPr>
        <w:tblStyle w:val="TableGrid"/>
        <w:tblW w:type="auto" w:w="0"/>
        <w:jc w:val="left"/>
        <w:tblLook w:firstColumn="1" w:firstRow="1" w:lastColumn="0" w:lastRow="0" w:noHBand="0" w:noVBand="1" w:val="04A0"/>
      </w:tblPr>
      <w:tblGrid>
        <w:gridCol w:w="2880"/>
        <w:gridCol w:w="2880"/>
        <w:gridCol w:w="2880"/>
      </w:tblGrid>
      <w:tr>
        <w:tc>
          <w:tcPr>
            <w:tcW w:type="dxa" w:w="936"/>
          </w:tcPr>
          <w:p>
            <w:pPr>
              <w:shd w:val="clear" w:fill="D9E2F3"/>
            </w:pPr>
            <w:r/>
            <w:r>
              <w:rPr>
                <w:b/>
                <w:sz w:val="19"/>
              </w:rPr>
              <w:t>Min</w:t>
            </w:r>
          </w:p>
        </w:tc>
        <w:tc>
          <w:tcPr>
            <w:tcW w:type="dxa" w:w="2664"/>
          </w:tcPr>
          <w:p>
            <w:pPr>
              <w:shd w:val="clear" w:fill="D9E2F3"/>
            </w:pPr>
            <w:r/>
            <w:r>
              <w:rPr>
                <w:b/>
                <w:sz w:val="19"/>
              </w:rPr>
              <w:t>Section</w:t>
            </w:r>
          </w:p>
        </w:tc>
        <w:tc>
          <w:tcPr>
            <w:tcW w:type="dxa" w:w="5184"/>
          </w:tcPr>
          <w:p>
            <w:pPr>
              <w:shd w:val="clear" w:fill="D9E2F3"/>
            </w:pPr>
            <w:r/>
            <w:r>
              <w:rPr>
                <w:b/>
                <w:sz w:val="19"/>
              </w:rPr>
              <w:t>Land this point</w:t>
            </w:r>
          </w:p>
        </w:tc>
      </w:tr>
      <w:tr>
        <w:tc>
          <w:tcPr>
            <w:tcW w:type="dxa" w:w="936"/>
          </w:tcPr>
          <w:p>
            <w:pPr>
              <w:spacing w:after="40"/>
            </w:pPr>
            <w:r/>
            <w:r>
              <w:rPr>
                <w:sz w:val="19"/>
              </w:rPr>
              <w:t>0–3</w:t>
            </w:r>
          </w:p>
        </w:tc>
        <w:tc>
          <w:tcPr>
            <w:tcW w:type="dxa" w:w="2664"/>
          </w:tcPr>
          <w:p>
            <w:pPr>
              <w:spacing w:after="40"/>
            </w:pPr>
            <w:r/>
            <w:r>
              <w:rPr>
                <w:sz w:val="19"/>
              </w:rPr>
              <w:t>What it is, the thesis</w:t>
            </w:r>
          </w:p>
        </w:tc>
        <w:tc>
          <w:tcPr>
            <w:tcW w:type="dxa" w:w="5184"/>
          </w:tcPr>
          <w:p>
            <w:pPr>
              <w:spacing w:after="40"/>
            </w:pPr>
            <w:r/>
            <w:r>
              <w:rPr>
                <w:sz w:val="19"/>
              </w:rPr>
              <w:t>Score + proportional response + decay, as a WAF companion</w:t>
            </w:r>
          </w:p>
        </w:tc>
      </w:tr>
      <w:tr>
        <w:tc>
          <w:tcPr>
            <w:tcW w:type="dxa" w:w="936"/>
          </w:tcPr>
          <w:p>
            <w:pPr>
              <w:spacing w:after="40"/>
            </w:pPr>
            <w:r/>
            <w:r>
              <w:rPr>
                <w:sz w:val="19"/>
              </w:rPr>
              <w:t>3–6</w:t>
            </w:r>
          </w:p>
        </w:tc>
        <w:tc>
          <w:tcPr>
            <w:tcW w:type="dxa" w:w="2664"/>
          </w:tcPr>
          <w:p>
            <w:pPr>
              <w:spacing w:after="40"/>
            </w:pPr>
            <w:r/>
            <w:r>
              <w:rPr>
                <w:sz w:val="19"/>
              </w:rPr>
              <w:t>Two subsystems</w:t>
            </w:r>
          </w:p>
        </w:tc>
        <w:tc>
          <w:tcPr>
            <w:tcW w:type="dxa" w:w="5184"/>
          </w:tcPr>
          <w:p>
            <w:pPr>
              <w:spacing w:after="40"/>
            </w:pPr>
            <w:r/>
            <w:r>
              <w:rPr>
                <w:sz w:val="19"/>
              </w:rPr>
              <w:t>Separate codebases, shared feature contract, not yet joined</w:t>
            </w:r>
          </w:p>
        </w:tc>
      </w:tr>
      <w:tr>
        <w:tc>
          <w:tcPr>
            <w:tcW w:type="dxa" w:w="936"/>
          </w:tcPr>
          <w:p>
            <w:pPr>
              <w:spacing w:after="40"/>
            </w:pPr>
            <w:r/>
            <w:r>
              <w:rPr>
                <w:sz w:val="19"/>
              </w:rPr>
              <w:t>6–13</w:t>
            </w:r>
          </w:p>
        </w:tc>
        <w:tc>
          <w:tcPr>
            <w:tcW w:type="dxa" w:w="2664"/>
          </w:tcPr>
          <w:p>
            <w:pPr>
              <w:spacing w:after="40"/>
            </w:pPr>
            <w:r/>
            <w:r>
              <w:rPr>
                <w:sz w:val="19"/>
              </w:rPr>
              <w:t>Enrichment service</w:t>
            </w:r>
          </w:p>
        </w:tc>
        <w:tc>
          <w:tcPr>
            <w:tcW w:type="dxa" w:w="5184"/>
          </w:tcPr>
          <w:p>
            <w:pPr>
              <w:spacing w:after="40"/>
            </w:pPr>
            <w:r/>
            <w:r>
              <w:rPr>
                <w:sz w:val="19"/>
              </w:rPr>
              <w:t>Seven sources concurrent, three layers of failure isolation, geo consensus</w:t>
            </w:r>
          </w:p>
        </w:tc>
      </w:tr>
      <w:tr>
        <w:tc>
          <w:tcPr>
            <w:tcW w:type="dxa" w:w="936"/>
          </w:tcPr>
          <w:p>
            <w:pPr>
              <w:spacing w:after="40"/>
            </w:pPr>
            <w:r/>
            <w:r>
              <w:rPr>
                <w:sz w:val="19"/>
              </w:rPr>
              <w:t>13–22</w:t>
            </w:r>
          </w:p>
        </w:tc>
        <w:tc>
          <w:tcPr>
            <w:tcW w:type="dxa" w:w="2664"/>
          </w:tcPr>
          <w:p>
            <w:pPr>
              <w:spacing w:after="40"/>
            </w:pPr>
            <w:r/>
            <w:r>
              <w:rPr>
                <w:sz w:val="19"/>
              </w:rPr>
              <w:t>Detection engine</w:t>
            </w:r>
          </w:p>
        </w:tc>
        <w:tc>
          <w:tcPr>
            <w:tcW w:type="dxa" w:w="5184"/>
          </w:tcPr>
          <w:p>
            <w:pPr>
              <w:spacing w:after="40"/>
            </w:pPr>
            <w:r/>
            <w:r>
              <w:rPr>
                <w:sz w:val="19"/>
              </w:rPr>
              <w:t>Dataset, feature engineering, two-stage training, inference path</w:t>
            </w:r>
          </w:p>
        </w:tc>
      </w:tr>
      <w:tr>
        <w:tc>
          <w:tcPr>
            <w:tcW w:type="dxa" w:w="936"/>
          </w:tcPr>
          <w:p>
            <w:pPr>
              <w:spacing w:after="40"/>
            </w:pPr>
            <w:r/>
            <w:r>
              <w:rPr>
                <w:sz w:val="19"/>
              </w:rPr>
              <w:t>22–26</w:t>
            </w:r>
          </w:p>
        </w:tc>
        <w:tc>
          <w:tcPr>
            <w:tcW w:type="dxa" w:w="2664"/>
          </w:tcPr>
          <w:p>
            <w:pPr>
              <w:spacing w:after="40"/>
            </w:pPr>
            <w:r/>
            <w:r>
              <w:rPr>
                <w:sz w:val="19"/>
              </w:rPr>
              <w:t>Scoring, decay, enforcement</w:t>
            </w:r>
          </w:p>
        </w:tc>
        <w:tc>
          <w:tcPr>
            <w:tcW w:type="dxa" w:w="5184"/>
          </w:tcPr>
          <w:p>
            <w:pPr>
              <w:spacing w:after="40"/>
            </w:pPr>
            <w:r/>
            <w:r>
              <w:rPr>
                <w:sz w:val="19"/>
              </w:rPr>
              <w:t>Composite score, why the model isn't trusted alone, four bands</w:t>
            </w:r>
          </w:p>
        </w:tc>
      </w:tr>
      <w:tr>
        <w:tc>
          <w:tcPr>
            <w:tcW w:type="dxa" w:w="936"/>
          </w:tcPr>
          <w:p>
            <w:pPr>
              <w:spacing w:after="40"/>
            </w:pPr>
            <w:r/>
            <w:r>
              <w:rPr>
                <w:sz w:val="19"/>
              </w:rPr>
              <w:t>26–29</w:t>
            </w:r>
          </w:p>
        </w:tc>
        <w:tc>
          <w:tcPr>
            <w:tcW w:type="dxa" w:w="2664"/>
          </w:tcPr>
          <w:p>
            <w:pPr>
              <w:spacing w:after="40"/>
            </w:pPr>
            <w:r/>
            <w:r>
              <w:rPr>
                <w:sz w:val="19"/>
              </w:rPr>
              <w:t>Self-healing status</w:t>
            </w:r>
          </w:p>
        </w:tc>
        <w:tc>
          <w:tcPr>
            <w:tcW w:type="dxa" w:w="5184"/>
          </w:tcPr>
          <w:p>
            <w:pPr>
              <w:spacing w:after="40"/>
            </w:pPr>
            <w:r/>
            <w:r>
              <w:rPr>
                <w:sz w:val="19"/>
              </w:rPr>
              <w:t>Time-based half is real, learning half is designed</w:t>
            </w:r>
          </w:p>
        </w:tc>
      </w:tr>
      <w:tr>
        <w:tc>
          <w:tcPr>
            <w:tcW w:type="dxa" w:w="936"/>
          </w:tcPr>
          <w:p>
            <w:pPr>
              <w:spacing w:after="40"/>
            </w:pPr>
            <w:r/>
            <w:r>
              <w:rPr>
                <w:sz w:val="19"/>
              </w:rPr>
              <w:t>29–30</w:t>
            </w:r>
          </w:p>
        </w:tc>
        <w:tc>
          <w:tcPr>
            <w:tcW w:type="dxa" w:w="2664"/>
          </w:tcPr>
          <w:p>
            <w:pPr>
              <w:spacing w:after="40"/>
            </w:pPr>
            <w:r/>
            <w:r>
              <w:rPr>
                <w:sz w:val="19"/>
              </w:rPr>
              <w:t>Open items</w:t>
            </w:r>
          </w:p>
        </w:tc>
        <w:tc>
          <w:tcPr>
            <w:tcW w:type="dxa" w:w="5184"/>
          </w:tcPr>
          <w:p>
            <w:pPr>
              <w:spacing w:after="40"/>
            </w:pPr>
            <w:r/>
            <w:r>
              <w:rPr>
                <w:sz w:val="19"/>
              </w:rPr>
              <w:t>Real data, wire the halves, persist the model, load test</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5496"/>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