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pacing w:val="40"/>
          <w:sz w:val="30"/>
          <w:szCs w:val="30"/>
        </w:rPr>
        <w:t xml:space="preserve">LOHAN DE SILVA</w:t>
      </w:r>
    </w:p>
    <w:p>
      <w:pPr>
        <w:spacing w:after="60"/>
      </w:pPr>
      <w:r>
        <w:rPr>
          <w:color w:val="555555"/>
          <w:sz w:val="19"/>
          <w:szCs w:val="19"/>
        </w:rPr>
        <w:t xml:space="preserve">Business Analyst  |  Financial Analysis  |  Business Intelligence</w:t>
      </w:r>
    </w:p>
    <w:p>
      <w:pPr>
        <w:spacing w:after="0"/>
      </w:pPr>
      <w:r>
        <w:rPr>
          <w:color w:val="555555"/>
          <w:sz w:val="17"/>
          <w:szCs w:val="17"/>
        </w:rPr>
        <w:t xml:space="preserve">Colombo, Sri Lanka  ·  +94 70 466 9834  ·  </w:t>
      </w:r>
      <w:hyperlink w:history="1" r:id="rIdc9hctsxren_wfrtb7tn3s">
        <w:r>
          <w:rPr>
            <w:color w:val="1C4E80"/>
            <w:sz w:val="17"/>
            <w:szCs w:val="17"/>
            <w:u w:val="single"/>
          </w:rPr>
          <w:t xml:space="preserve">desilvalohan@gmail.com</w:t>
        </w:r>
      </w:hyperlink>
      <w:r>
        <w:rPr>
          <w:color w:val="555555"/>
          <w:sz w:val="17"/>
          <w:szCs w:val="17"/>
        </w:rPr>
        <w:t xml:space="preserve">  ·  </w:t>
      </w:r>
      <w:hyperlink w:history="1" r:id="rIdgrn2uexc5hwqlpqvoyenw">
        <w:r>
          <w:rPr>
            <w:color w:val="1C4E80"/>
            <w:sz w:val="17"/>
            <w:szCs w:val="17"/>
            <w:u w:val="single"/>
          </w:rPr>
          <w:t xml:space="preserve">linkedin.com/in/lohands</w:t>
        </w:r>
      </w:hyperlink>
      <w:r>
        <w:rPr>
          <w:color w:val="555555"/>
          <w:sz w:val="17"/>
          <w:szCs w:val="17"/>
        </w:rPr>
        <w:t xml:space="preserve">  ·  </w:t>
      </w:r>
      <w:hyperlink w:history="1" r:id="rIdl9tvfbqsqnaqipilz9a6e">
        <w:r>
          <w:rPr>
            <w:color w:val="1C4E80"/>
            <w:sz w:val="17"/>
            <w:szCs w:val="17"/>
            <w:u w:val="single"/>
          </w:rPr>
          <w:t xml:space="preserve">github.com/Lohandesilva</w:t>
        </w:r>
      </w:hyperlink>
    </w:p>
    <w:p>
      <w:pPr>
        <w:pBdr>
          <w:bottom w:val="single" w:color="999999" w:sz="6" w:space="1"/>
        </w:pBdr>
        <w:spacing w:after="60" w:before="140"/>
      </w:pPr>
    </w:p>
    <w:p>
      <w:pPr>
        <w:pBdr>
          <w:bottom w:val="single" w:color="999999" w:sz="4" w:space="3"/>
        </w:pBdr>
        <w:spacing w:after="30" w:before="180"/>
      </w:pPr>
      <w:r>
        <w:rPr>
          <w:b/>
          <w:bCs/>
          <w:color w:val="1A1A1A"/>
          <w:spacing w:val="30"/>
          <w:sz w:val="17"/>
          <w:szCs w:val="17"/>
        </w:rPr>
        <w:t xml:space="preserve">PROFESSIONAL SUMMARY</w:t>
      </w:r>
    </w:p>
    <w:p>
      <w:pPr>
        <w:spacing w:after="30" w:before="50" w:line="232"/>
      </w:pPr>
      <w:r>
        <w:rPr>
          <w:color w:val="1A1A1A"/>
          <w:sz w:val="19"/>
          <w:szCs w:val="19"/>
        </w:rPr>
        <w:t xml:space="preserve">Business analyst with four years across enterprise technology, financial services and business development, working primarily in quantitative analysis. Builds analyses that end in a decision: five published projects spanning retention economics, pricing policy, credit risk, equity profitability and operational capacity, each carried through to a recommendation with a stated break-even and a fully reproducible pipeline. Comfortable owning a problem from requirements through SQL and Python to the dashboard and the memo that goes with it.</w:t>
      </w:r>
    </w:p>
    <w:p>
      <w:pPr>
        <w:pBdr>
          <w:bottom w:val="single" w:color="999999" w:sz="4" w:space="3"/>
        </w:pBdr>
        <w:spacing w:after="30" w:before="180"/>
      </w:pPr>
      <w:r>
        <w:rPr>
          <w:b/>
          <w:bCs/>
          <w:color w:val="1A1A1A"/>
          <w:spacing w:val="30"/>
          <w:sz w:val="17"/>
          <w:szCs w:val="17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b/>
          <w:bCs/>
          <w:color w:val="1A1A1A"/>
          <w:sz w:val="19"/>
          <w:szCs w:val="19"/>
        </w:rPr>
        <w:t xml:space="preserve">Analysis  </w:t>
      </w:r>
      <w:r>
        <w:rPr>
          <w:color w:val="1A1A1A"/>
          <w:sz w:val="19"/>
          <w:szCs w:val="19"/>
        </w:rPr>
        <w:t xml:space="preserve">Python (pandas, NumPy, statsmodels, scikit-learn), SQL (PostgreSQL, MySQL), advanced Excel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b/>
          <w:bCs/>
          <w:color w:val="1A1A1A"/>
          <w:sz w:val="19"/>
          <w:szCs w:val="19"/>
        </w:rPr>
        <w:t xml:space="preserve">Methods  </w:t>
      </w:r>
      <w:r>
        <w:rPr>
          <w:color w:val="1A1A1A"/>
          <w:sz w:val="19"/>
          <w:szCs w:val="19"/>
        </w:rPr>
        <w:t xml:space="preserve">Survival analysis, logistic regression and scorecard development, variance decomposition, profit bridging, stratified confounding analysis, sensitivity and break-even modelling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b/>
          <w:bCs/>
          <w:color w:val="1A1A1A"/>
          <w:sz w:val="19"/>
          <w:szCs w:val="19"/>
        </w:rPr>
        <w:t xml:space="preserve">Business intelligence  </w:t>
      </w:r>
      <w:r>
        <w:rPr>
          <w:color w:val="1A1A1A"/>
          <w:sz w:val="19"/>
          <w:szCs w:val="19"/>
        </w:rPr>
        <w:t xml:space="preserve">Interactive dashboard development, Tableau, Power BI, Power Query, DAX, KPI and measure specification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b/>
          <w:bCs/>
          <w:color w:val="1A1A1A"/>
          <w:sz w:val="19"/>
          <w:szCs w:val="19"/>
        </w:rPr>
        <w:t xml:space="preserve">Engineering  </w:t>
      </w:r>
      <w:r>
        <w:rPr>
          <w:color w:val="1A1A1A"/>
          <w:sz w:val="19"/>
          <w:szCs w:val="19"/>
        </w:rPr>
        <w:t xml:space="preserve">Git and GitHub, reproducible pipelines, Jupyter, Matplotlib, Plotly, data quality assertion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b/>
          <w:bCs/>
          <w:color w:val="1A1A1A"/>
          <w:sz w:val="19"/>
          <w:szCs w:val="19"/>
        </w:rPr>
        <w:t xml:space="preserve">Business  </w:t>
      </w:r>
      <w:r>
        <w:rPr>
          <w:color w:val="1A1A1A"/>
          <w:sz w:val="19"/>
          <w:szCs w:val="19"/>
        </w:rPr>
        <w:t xml:space="preserve">Requirements gathering, stakeholder management, process analysis, KPI definition, executive reporting</w:t>
      </w:r>
    </w:p>
    <w:p>
      <w:pPr>
        <w:pBdr>
          <w:bottom w:val="single" w:color="999999" w:sz="4" w:space="3"/>
        </w:pBdr>
        <w:spacing w:after="30" w:before="180"/>
      </w:pPr>
      <w:r>
        <w:rPr>
          <w:b/>
          <w:bCs/>
          <w:color w:val="1A1A1A"/>
          <w:spacing w:val="30"/>
          <w:sz w:val="17"/>
          <w:szCs w:val="17"/>
        </w:rPr>
        <w:t xml:space="preserve">ANALYTICS PROJECTS</w:t>
      </w:r>
    </w:p>
    <w:p>
      <w:pPr>
        <w:spacing w:after="16" w:before="118"/>
      </w:pPr>
      <w:r>
        <w:rPr>
          <w:b/>
          <w:bCs/>
          <w:color w:val="1A1A1A"/>
          <w:sz w:val="19"/>
          <w:szCs w:val="19"/>
        </w:rPr>
        <w:t xml:space="preserve">Customer Churn and Retention Economics</w:t>
      </w:r>
      <w:r>
        <w:rPr>
          <w:color w:val="555555"/>
          <w:sz w:val="17"/>
          <w:szCs w:val="17"/>
        </w:rPr>
        <w:t xml:space="preserve">  ·  Python · SQL · interactive dashboard  ·  </w:t>
      </w:r>
      <w:hyperlink w:history="1" r:id="rIdzphzdqsy-rmbycyaecuec">
        <w:r>
          <w:rPr>
            <w:color w:val="1C4E80"/>
            <w:sz w:val="17"/>
            <w:szCs w:val="17"/>
            <w:u w:val="single"/>
          </w:rPr>
          <w:t xml:space="preserve">github.com/Lohandesilva/customer-churn-analysis</w:t>
        </w:r>
      </w:hyperlink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Quantified </w:t>
      </w:r>
      <w:r>
        <w:rPr>
          <w:b/>
          <w:bCs/>
          <w:color w:val="1A1A1A"/>
          <w:sz w:val="19"/>
          <w:szCs w:val="19"/>
        </w:rPr>
        <w:t xml:space="preserve">$1.67M of annualised revenue at risk</w:t>
      </w:r>
      <w:r>
        <w:rPr>
          <w:color w:val="1A1A1A"/>
          <w:sz w:val="19"/>
          <w:szCs w:val="19"/>
        </w:rPr>
        <w:t xml:space="preserve"> on a 7,043-account book, establishing that churn took 30.5% of revenue against 26.5% of accounts because leavers billed 21% more than customers who stayed.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Estimated Kaplan-Meier retention curves by contract type (log-rank </w:t>
      </w:r>
      <w:r>
        <w:rPr>
          <w:sz w:val="19"/>
          <w:szCs w:val="19"/>
        </w:rPr>
        <w:t xml:space="preserve">χ²</w:t>
      </w:r>
      <w:r>
        <w:rPr>
          <w:color w:val="1A1A1A"/>
          <w:sz w:val="19"/>
          <w:szCs w:val="19"/>
        </w:rPr>
        <w:t xml:space="preserve"> = 2,353, p &lt; 0.001) and isolated fibre broadband as the largest driver at </w:t>
      </w:r>
      <w:r>
        <w:rPr>
          <w:b/>
          <w:bCs/>
          <w:color w:val="1A1A1A"/>
          <w:sz w:val="19"/>
          <w:szCs w:val="19"/>
        </w:rPr>
        <w:t xml:space="preserve">4.38x churn odds</w:t>
      </w:r>
      <w:r>
        <w:rPr>
          <w:color w:val="1A1A1A"/>
          <w:sz w:val="19"/>
          <w:szCs w:val="19"/>
        </w:rPr>
        <w:t xml:space="preserve"> (95% CI 2.68–7.17) after controlling for tenure, bill size and product mix.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Built a logistic targeting model reaching </w:t>
      </w:r>
      <w:r>
        <w:rPr>
          <w:b/>
          <w:bCs/>
          <w:color w:val="1A1A1A"/>
          <w:sz w:val="19"/>
          <w:szCs w:val="19"/>
        </w:rPr>
        <w:t xml:space="preserve">0.836 AUC on holdout</w:t>
      </w:r>
      <w:r>
        <w:rPr>
          <w:color w:val="1A1A1A"/>
          <w:sz w:val="19"/>
          <w:szCs w:val="19"/>
        </w:rPr>
        <w:t xml:space="preserve">; its top two deciles captured 56% of lost revenue from 20% of the customer base.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Recommended a 10% retention offer over the default 15% after showing the smaller offer </w:t>
      </w:r>
      <w:r>
        <w:rPr>
          <w:b/>
          <w:bCs/>
          <w:color w:val="1A1A1A"/>
          <w:sz w:val="19"/>
          <w:szCs w:val="19"/>
        </w:rPr>
        <w:t xml:space="preserve">more than doubled net value to $120,210</w:t>
      </w:r>
      <w:r>
        <w:rPr>
          <w:color w:val="1A1A1A"/>
          <w:sz w:val="19"/>
          <w:szCs w:val="19"/>
        </w:rPr>
        <w:t xml:space="preserve"> at a 1.77x return, against a 9.5% break-even save rate.</w:t>
      </w:r>
    </w:p>
    <w:p>
      <w:pPr>
        <w:spacing w:after="16" w:before="118"/>
      </w:pPr>
      <w:r>
        <w:rPr>
          <w:b/>
          <w:bCs/>
          <w:color w:val="1A1A1A"/>
          <w:sz w:val="19"/>
          <w:szCs w:val="19"/>
        </w:rPr>
        <w:t xml:space="preserve">Sales Performance and Discount Policy</w:t>
      </w:r>
      <w:r>
        <w:rPr>
          <w:color w:val="555555"/>
          <w:sz w:val="17"/>
          <w:szCs w:val="17"/>
        </w:rPr>
        <w:t xml:space="preserve">  ·  Python · SQL · interactive dashboard  ·  </w:t>
      </w:r>
      <w:hyperlink w:history="1" r:id="rIdb4y_nkjpcjaa8i99yopha">
        <w:r>
          <w:rPr>
            <w:color w:val="1C4E80"/>
            <w:sz w:val="17"/>
            <w:szCs w:val="17"/>
            <w:u w:val="single"/>
          </w:rPr>
          <w:t xml:space="preserve">github.com/Lohandesilva/sales-performance-analytics</w:t>
        </w:r>
      </w:hyperlink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Recovered a </w:t>
      </w:r>
      <w:r>
        <w:rPr>
          <w:b/>
          <w:bCs/>
          <w:color w:val="1A1A1A"/>
          <w:sz w:val="19"/>
          <w:szCs w:val="19"/>
        </w:rPr>
        <w:t xml:space="preserve">returns table of 800 records</w:t>
      </w:r>
      <w:r>
        <w:rPr>
          <w:color w:val="1A1A1A"/>
          <w:sz w:val="19"/>
          <w:szCs w:val="19"/>
        </w:rPr>
        <w:t xml:space="preserve"> that the standard read of the source file discards, by parsing three concatenated worksheets, then used it to test and rule out returns as a hidden cost of discounting.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Measured the discount-to-margin relationship at </w:t>
      </w:r>
      <w:r>
        <w:rPr>
          <w:b/>
          <w:bCs/>
          <w:color w:val="1A1A1A"/>
          <w:sz w:val="19"/>
          <w:szCs w:val="19"/>
        </w:rPr>
        <w:t xml:space="preserve">1.57 margin points lost per discount point</w:t>
      </w:r>
      <w:r>
        <w:rPr>
          <w:color w:val="1A1A1A"/>
          <w:sz w:val="19"/>
          <w:szCs w:val="19"/>
        </w:rPr>
        <w:t xml:space="preserve"> (R² = 0.858, p &lt; 0.001), locating the break-even at 20% and showing that 91.6% of lines discounted 21–30% lose money individually.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Decomposed the year-on-year profit movement into volume (+$16,650) and discount (−$13,545), demonstrating that </w:t>
      </w:r>
      <w:r>
        <w:rPr>
          <w:b/>
          <w:bCs/>
          <w:color w:val="1A1A1A"/>
          <w:sz w:val="19"/>
          <w:szCs w:val="19"/>
        </w:rPr>
        <w:t xml:space="preserve">higher discounting consumed 81% of the gain from revenue growth</w:t>
      </w:r>
      <w:r>
        <w:rPr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Quantified a 20% discount cap at </w:t>
      </w:r>
      <w:r>
        <w:rPr>
          <w:b/>
          <w:bCs/>
          <w:color w:val="1A1A1A"/>
          <w:sz w:val="19"/>
          <w:szCs w:val="19"/>
        </w:rPr>
        <w:t xml:space="preserve">$204,135 of recovered profit, a 71% increase</w:t>
      </w:r>
      <w:r>
        <w:rPr>
          <w:color w:val="1A1A1A"/>
          <w:sz w:val="19"/>
          <w:szCs w:val="19"/>
        </w:rPr>
        <w:t xml:space="preserve">, and separated 5.3 points of the worst-performing region's margin gap as discount policy rather than sales execution.</w:t>
      </w:r>
    </w:p>
    <w:p>
      <w:pPr>
        <w:spacing w:after="16" w:before="118"/>
      </w:pPr>
      <w:r>
        <w:rPr>
          <w:b/>
          <w:bCs/>
          <w:color w:val="1A1A1A"/>
          <w:sz w:val="19"/>
          <w:szCs w:val="19"/>
        </w:rPr>
        <w:t xml:space="preserve">S&amp;P 500 Profitability and Valuation</w:t>
      </w:r>
      <w:r>
        <w:rPr>
          <w:color w:val="555555"/>
          <w:sz w:val="17"/>
          <w:szCs w:val="17"/>
        </w:rPr>
        <w:t xml:space="preserve">  ·  Python · SQL · interactive dashboard  ·  </w:t>
      </w:r>
      <w:hyperlink w:history="1" r:id="rIdymr9mjzhvzd-o0x95w0ur">
        <w:r>
          <w:rPr>
            <w:color w:val="1C4E80"/>
            <w:sz w:val="17"/>
            <w:szCs w:val="17"/>
            <w:u w:val="single"/>
          </w:rPr>
          <w:t xml:space="preserve">github.com/Lohandesilva/financial-performance-analysis</w:t>
        </w:r>
      </w:hyperlink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Reconstructed revenue, net income, return on equity and payout for </w:t>
      </w:r>
      <w:r>
        <w:rPr>
          <w:b/>
          <w:bCs/>
          <w:color w:val="1A1A1A"/>
          <w:sz w:val="19"/>
          <w:szCs w:val="19"/>
        </w:rPr>
        <w:t xml:space="preserve">503 index constituents from accounting identities alone</w:t>
      </w:r>
      <w:r>
        <w:rPr>
          <w:color w:val="1A1A1A"/>
          <w:sz w:val="19"/>
          <w:szCs w:val="19"/>
        </w:rPr>
        <w:t xml:space="preserve">, the source extract carrying no income statement or balance sheet; implemented the derivations in both Python and SQL and reconciled them.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Tested the assumption that industry determines profitability: sector explains </w:t>
      </w:r>
      <w:r>
        <w:rPr>
          <w:b/>
          <w:bCs/>
          <w:color w:val="1A1A1A"/>
          <w:sz w:val="19"/>
          <w:szCs w:val="19"/>
        </w:rPr>
        <w:t xml:space="preserve">26% of EBITDA-margin variance</w:t>
      </w:r>
      <w:r>
        <w:rPr>
          <w:color w:val="1A1A1A"/>
          <w:sz w:val="19"/>
          <w:szCs w:val="19"/>
        </w:rPr>
        <w:t xml:space="preserve"> (η² = 0.261, F = 15.7, p &lt; 0.001), with 74% sitting within sectors and the real grouping only recovered at sub-industry level.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Found the market prices size rather than quality — margin coefficient −0.607 (p = 0.002) against size +0.144 (p &lt; 0.001) — and reported the naive quality-versus-price specification as the null it is.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Screened 285 companies against self-funded growth, flagging </w:t>
      </w:r>
      <w:r>
        <w:rPr>
          <w:b/>
          <w:bCs/>
          <w:color w:val="1A1A1A"/>
          <w:sz w:val="19"/>
          <w:szCs w:val="19"/>
        </w:rPr>
        <w:t xml:space="preserve">69 companies ($4.24tn, 6.4% of index capitalisation)</w:t>
      </w:r>
      <w:r>
        <w:rPr>
          <w:color w:val="1A1A1A"/>
          <w:sz w:val="19"/>
          <w:szCs w:val="19"/>
        </w:rPr>
        <w:t xml:space="preserve"> priced above what they can fund, on a median 66% payout and 8.8% return on equity.</w:t>
      </w:r>
    </w:p>
    <w:p>
      <w:pPr>
        <w:spacing w:after="16" w:before="118"/>
      </w:pPr>
      <w:r>
        <w:rPr>
          <w:b/>
          <w:bCs/>
          <w:color w:val="1A1A1A"/>
          <w:sz w:val="19"/>
          <w:szCs w:val="19"/>
        </w:rPr>
        <w:t xml:space="preserve">Credit Portfolio Risk and Provisioning</w:t>
      </w:r>
      <w:r>
        <w:rPr>
          <w:color w:val="555555"/>
          <w:sz w:val="17"/>
          <w:szCs w:val="17"/>
        </w:rPr>
        <w:t xml:space="preserve">  ·  Python · SQL · interactive dashboard  ·  </w:t>
      </w:r>
      <w:hyperlink w:history="1" r:id="rIdgerxet1u79s25iukle2q9">
        <w:r>
          <w:rPr>
            <w:color w:val="1C4E80"/>
            <w:sz w:val="17"/>
            <w:szCs w:val="17"/>
            <w:u w:val="single"/>
          </w:rPr>
          <w:t xml:space="preserve">github.com/Lohandesilva/credit-portfolio-risk</w:t>
        </w:r>
      </w:hyperlink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Built a behavioural probability-of-default scorecard on a </w:t>
      </w:r>
      <w:r>
        <w:rPr>
          <w:b/>
          <w:bCs/>
          <w:color w:val="1A1A1A"/>
          <w:sz w:val="19"/>
          <w:szCs w:val="19"/>
        </w:rPr>
        <w:t xml:space="preserve">30,000-account, NT$5.02bn book</w:t>
      </w:r>
      <w:r>
        <w:rPr>
          <w:color w:val="1A1A1A"/>
          <w:sz w:val="19"/>
          <w:szCs w:val="19"/>
        </w:rPr>
        <w:t xml:space="preserve"> excluding sex, education and marital status on fair-lending grounds, then measured the cost of that exclusion at </w:t>
      </w:r>
      <w:r>
        <w:rPr>
          <w:b/>
          <w:bCs/>
          <w:color w:val="1A1A1A"/>
          <w:sz w:val="19"/>
          <w:szCs w:val="19"/>
        </w:rPr>
        <w:t xml:space="preserve">0.003 of Gini</w:t>
      </w:r>
      <w:r>
        <w:rPr>
          <w:color w:val="1A1A1A"/>
          <w:sz w:val="19"/>
          <w:szCs w:val="19"/>
        </w:rPr>
        <w:t xml:space="preserve"> — removing the efficiency argument for using them.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Achieved </w:t>
      </w:r>
      <w:r>
        <w:rPr>
          <w:b/>
          <w:bCs/>
          <w:color w:val="1A1A1A"/>
          <w:sz w:val="19"/>
          <w:szCs w:val="19"/>
        </w:rPr>
        <w:t xml:space="preserve">0.539 Gini and 0.414 KS on holdout</w:t>
      </w:r>
      <w:r>
        <w:rPr>
          <w:color w:val="1A1A1A"/>
          <w:sz w:val="19"/>
          <w:szCs w:val="19"/>
        </w:rPr>
        <w:t xml:space="preserve"> and validated calibration by score band, on the basis that a well-ranked but poorly calibrated scorecard cannot support provisioning.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Constructed delinquency roll-rate matrices across six monthly cycles (4.9% pooled roll-forward, 28.2% cure) and an IFRS 9 expected-loss model showing </w:t>
      </w:r>
      <w:r>
        <w:rPr>
          <w:b/>
          <w:bCs/>
          <w:color w:val="1A1A1A"/>
          <w:sz w:val="19"/>
          <w:szCs w:val="19"/>
        </w:rPr>
        <w:t xml:space="preserve">51% of expected loss concentrated in 17% of exposure</w:t>
      </w:r>
      <w:r>
        <w:rPr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Reduced the credit-limit decision to a single break-even default probability (</w:t>
      </w:r>
      <w:r>
        <w:rPr>
          <w:b/>
          <w:bCs/>
          <w:color w:val="1A1A1A"/>
          <w:sz w:val="19"/>
          <w:szCs w:val="19"/>
        </w:rPr>
        <w:t xml:space="preserve">1.64% base case, 3.11% adverse</w:t>
      </w:r>
      <w:r>
        <w:rPr>
          <w:color w:val="1A1A1A"/>
          <w:sz w:val="19"/>
          <w:szCs w:val="19"/>
        </w:rPr>
        <w:t xml:space="preserve">) and recommended a shallower cut than the value-maximising depth, on customer-cost grounds the data could not price.</w:t>
      </w:r>
    </w:p>
    <w:p>
      <w:pPr>
        <w:spacing w:after="16" w:before="118"/>
      </w:pPr>
      <w:r>
        <w:rPr>
          <w:b/>
          <w:bCs/>
          <w:color w:val="1A1A1A"/>
          <w:sz w:val="19"/>
          <w:szCs w:val="19"/>
        </w:rPr>
        <w:t xml:space="preserve">Clinic Capacity and Non-Attendance</w:t>
      </w:r>
      <w:r>
        <w:rPr>
          <w:color w:val="555555"/>
          <w:sz w:val="17"/>
          <w:szCs w:val="17"/>
        </w:rPr>
        <w:t xml:space="preserve">  ·  Python · SQL · interactive dashboard  ·  </w:t>
      </w:r>
      <w:hyperlink w:history="1" r:id="rIdqw87tzax1ve--ei3mzetb">
        <w:r>
          <w:rPr>
            <w:color w:val="1C4E80"/>
            <w:sz w:val="17"/>
            <w:szCs w:val="17"/>
            <w:u w:val="single"/>
          </w:rPr>
          <w:t xml:space="preserve">github.com/Lohandesilva/healthcare-operations-analytics</w:t>
        </w:r>
      </w:hyperlink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Analysed </w:t>
      </w:r>
      <w:r>
        <w:rPr>
          <w:b/>
          <w:bCs/>
          <w:color w:val="1A1A1A"/>
          <w:sz w:val="19"/>
          <w:szCs w:val="19"/>
        </w:rPr>
        <w:t xml:space="preserve">110,521 outpatient appointments</w:t>
      </w:r>
      <w:r>
        <w:rPr>
          <w:color w:val="1A1A1A"/>
          <w:sz w:val="19"/>
          <w:szCs w:val="19"/>
        </w:rPr>
        <w:t xml:space="preserve">, quantifying 20.2% non-attendance as 20 points of slot utilisation and 5.4 clinic days of capacity lost over a six-week window.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Overturned the dataset's most-cited result by showing the adverse SMS-reminder effect (OR 1.90) is confounded by booking lead time; Mantel-Haenszel stratification across 105 exact lead-day strata </w:t>
      </w:r>
      <w:r>
        <w:rPr>
          <w:b/>
          <w:bCs/>
          <w:color w:val="1A1A1A"/>
          <w:sz w:val="19"/>
          <w:szCs w:val="19"/>
        </w:rPr>
        <w:t xml:space="preserve">reverses it to OR 0.769</w:t>
      </w:r>
      <w:r>
        <w:rPr>
          <w:color w:val="1A1A1A"/>
          <w:sz w:val="19"/>
          <w:szCs w:val="19"/>
        </w:rPr>
        <w:t xml:space="preserve"> (0.742–0.797).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Built a leakage-safe prior-attendance feature from an expanding count ordered by booking time — the strongest term in the model at OR 2.83 — reaching 0.729 AUC with calibration within one point in every decile.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Tested and rejected the binomial arrival assumption behind the standard overbooking rule (2.0x overdispersion), publishing the corrected version: </w:t>
      </w:r>
      <w:r>
        <w:rPr>
          <w:b/>
          <w:bCs/>
          <w:color w:val="1A1A1A"/>
          <w:sz w:val="19"/>
          <w:szCs w:val="19"/>
        </w:rPr>
        <w:t xml:space="preserve">14,874 slots recovered against 658 expected overflow, a 23:1 ratio</w:t>
      </w:r>
      <w:r>
        <w:rPr>
          <w:color w:val="1A1A1A"/>
          <w:sz w:val="19"/>
          <w:szCs w:val="19"/>
        </w:rPr>
        <w:t xml:space="preserve">.</w:t>
      </w:r>
    </w:p>
    <w:p>
      <w:pPr>
        <w:pBdr>
          <w:bottom w:val="single" w:color="999999" w:sz="4" w:space="3"/>
        </w:pBdr>
        <w:spacing w:after="30" w:before="180"/>
      </w:pPr>
      <w:r>
        <w:rPr>
          <w:b/>
          <w:bCs/>
          <w:color w:val="1A1A1A"/>
          <w:spacing w:val="30"/>
          <w:sz w:val="17"/>
          <w:szCs w:val="17"/>
        </w:rPr>
        <w:t xml:space="preserve">PROFESSIONAL EXPERIENCE</w:t>
      </w:r>
    </w:p>
    <w:p>
      <w:pPr>
        <w:tabs>
          <w:tab w:val="right" w:pos="9360"/>
        </w:tabs>
        <w:spacing w:after="16" w:before="105"/>
      </w:pPr>
      <w:r>
        <w:rPr>
          <w:b/>
          <w:bCs/>
          <w:color w:val="1A1A1A"/>
          <w:sz w:val="19"/>
          <w:szCs w:val="19"/>
        </w:rPr>
        <w:t xml:space="preserve">Operations Lead</w:t>
      </w:r>
      <w:r>
        <w:rPr>
          <w:color w:val="1A1A1A"/>
          <w:sz w:val="19"/>
          <w:szCs w:val="19"/>
        </w:rPr>
        <w:t xml:space="preserve">  ·  Sentra Technologies</w:t>
      </w:r>
      <w:r>
        <w:rPr>
          <w:color w:val="555555"/>
          <w:sz w:val="17"/>
          <w:szCs w:val="17"/>
        </w:rPr>
        <w:t xml:space="preserve">	February 2026 – Present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Own requirements gathering across client implementations, translating operational needs into functional specifications the engineering team builds against.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Analyse client processes to identify automation opportunities and build the operational case before development work is committed.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Coordinate delivery across product, engineering and implementation, maintaining the project documentation and workflow specifications the engagements run on.</w:t>
      </w:r>
    </w:p>
    <w:p>
      <w:pPr>
        <w:tabs>
          <w:tab w:val="right" w:pos="9360"/>
        </w:tabs>
        <w:spacing w:after="16" w:before="105"/>
      </w:pPr>
      <w:r>
        <w:rPr>
          <w:b/>
          <w:bCs/>
          <w:color w:val="1A1A1A"/>
          <w:sz w:val="19"/>
          <w:szCs w:val="19"/>
        </w:rPr>
        <w:t xml:space="preserve">Executive</w:t>
      </w:r>
      <w:r>
        <w:rPr>
          <w:color w:val="1A1A1A"/>
          <w:sz w:val="19"/>
          <w:szCs w:val="19"/>
        </w:rPr>
        <w:t xml:space="preserve">  ·  Codegen International</w:t>
      </w:r>
      <w:r>
        <w:rPr>
          <w:color w:val="555555"/>
          <w:sz w:val="17"/>
          <w:szCs w:val="17"/>
        </w:rPr>
        <w:t xml:space="preserve">	June 2025 – February 2026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b/>
          <w:bCs/>
          <w:color w:val="1A1A1A"/>
          <w:sz w:val="19"/>
          <w:szCs w:val="19"/>
        </w:rPr>
        <w:t xml:space="preserve">Closed LKR 26M of software revenue across four months</w:t>
      </w:r>
      <w:r>
        <w:rPr>
          <w:color w:val="1A1A1A"/>
          <w:sz w:val="19"/>
          <w:szCs w:val="19"/>
        </w:rPr>
        <w:t xml:space="preserve">, growing monthly closed revenue from LKR 4M to LKR 11M — a </w:t>
      </w:r>
      <w:r>
        <w:rPr>
          <w:b/>
          <w:bCs/>
          <w:color w:val="1A1A1A"/>
          <w:sz w:val="19"/>
          <w:szCs w:val="19"/>
        </w:rPr>
        <w:t xml:space="preserve">2.75x increase</w:t>
      </w:r>
      <w:r>
        <w:rPr>
          <w:color w:val="1A1A1A"/>
          <w:sz w:val="19"/>
          <w:szCs w:val="19"/>
        </w:rPr>
        <w:t xml:space="preserve"> over the period.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Ran discovery workshops with enterprise clients to establish business problems and technical requirements ahead of solution design.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Converted commercial requirements into functional specifications with engineering, and presented solutions to both technical and executive audiences.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Managed concurrent client engagements from first meeting through to implementation.</w:t>
      </w:r>
    </w:p>
    <w:p>
      <w:pPr>
        <w:tabs>
          <w:tab w:val="right" w:pos="9360"/>
        </w:tabs>
        <w:spacing w:after="16" w:before="105"/>
      </w:pPr>
      <w:r>
        <w:rPr>
          <w:b/>
          <w:bCs/>
          <w:color w:val="1A1A1A"/>
          <w:sz w:val="19"/>
          <w:szCs w:val="19"/>
        </w:rPr>
        <w:t xml:space="preserve">Business Development Associate</w:t>
      </w:r>
      <w:r>
        <w:rPr>
          <w:color w:val="1A1A1A"/>
          <w:sz w:val="19"/>
          <w:szCs w:val="19"/>
        </w:rPr>
        <w:t xml:space="preserve">  ·  HSBC</w:t>
      </w:r>
      <w:r>
        <w:rPr>
          <w:color w:val="555555"/>
          <w:sz w:val="17"/>
          <w:szCs w:val="17"/>
        </w:rPr>
        <w:t xml:space="preserve">	December 2023 – August 2024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b/>
          <w:bCs/>
          <w:color w:val="1A1A1A"/>
          <w:sz w:val="19"/>
          <w:szCs w:val="19"/>
        </w:rPr>
        <w:t xml:space="preserve">Organised five promotional campaigns</w:t>
      </w:r>
      <w:r>
        <w:rPr>
          <w:color w:val="1A1A1A"/>
          <w:sz w:val="19"/>
          <w:szCs w:val="19"/>
        </w:rPr>
        <w:t xml:space="preserve"> with merchant partners across the assigned territory, selling </w:t>
      </w:r>
      <w:r>
        <w:rPr>
          <w:b/>
          <w:bCs/>
          <w:color w:val="1A1A1A"/>
          <w:sz w:val="19"/>
          <w:szCs w:val="19"/>
        </w:rPr>
        <w:t xml:space="preserve">50+ credit cards</w:t>
      </w:r>
      <w:r>
        <w:rPr>
          <w:color w:val="1A1A1A"/>
          <w:sz w:val="19"/>
          <w:szCs w:val="19"/>
        </w:rPr>
        <w:t xml:space="preserve"> into the consumer banking portfolio.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Used CRM and customer analytics to refine acquisition targeting and improve campaign effectiveness.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Maintained client relationships throughout, within the bank's regulatory and conduct requirements.</w:t>
      </w:r>
    </w:p>
    <w:p>
      <w:pPr>
        <w:tabs>
          <w:tab w:val="right" w:pos="9360"/>
        </w:tabs>
        <w:spacing w:after="16" w:before="105"/>
      </w:pPr>
      <w:r>
        <w:rPr>
          <w:b/>
          <w:bCs/>
          <w:color w:val="1A1A1A"/>
          <w:sz w:val="19"/>
          <w:szCs w:val="19"/>
        </w:rPr>
        <w:t xml:space="preserve">Lead Generation Executive</w:t>
      </w:r>
      <w:r>
        <w:rPr>
          <w:color w:val="1A1A1A"/>
          <w:sz w:val="19"/>
          <w:szCs w:val="19"/>
        </w:rPr>
        <w:t xml:space="preserve">  ·  Havelock Asia</w:t>
      </w:r>
      <w:r>
        <w:rPr>
          <w:color w:val="555555"/>
          <w:sz w:val="17"/>
          <w:szCs w:val="17"/>
        </w:rPr>
        <w:t xml:space="preserve">	January 2022 – August 2023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Conducted market research to qualify B2B prospects across multiple industries for software and digital marketing services.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Built and ran outbound prospecting campaigns, maintaining CRM data and tracking progression through the pipeline.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Worked with senior consultants on conversion analysis and pipeline quality.</w:t>
      </w:r>
    </w:p>
    <w:p>
      <w:pPr>
        <w:pBdr>
          <w:bottom w:val="single" w:color="999999" w:sz="4" w:space="3"/>
        </w:pBdr>
        <w:spacing w:after="30" w:before="180"/>
      </w:pPr>
      <w:r>
        <w:rPr>
          <w:b/>
          <w:bCs/>
          <w:color w:val="1A1A1A"/>
          <w:spacing w:val="30"/>
          <w:sz w:val="17"/>
          <w:szCs w:val="17"/>
        </w:rPr>
        <w:t xml:space="preserve">EDUCATION</w:t>
      </w:r>
    </w:p>
    <w:p>
      <w:pPr>
        <w:tabs>
          <w:tab w:val="right" w:pos="9360"/>
        </w:tabs>
        <w:spacing w:after="16" w:before="105"/>
      </w:pPr>
      <w:r>
        <w:rPr>
          <w:b/>
          <w:bCs/>
          <w:color w:val="1A1A1A"/>
          <w:sz w:val="19"/>
          <w:szCs w:val="19"/>
        </w:rPr>
        <w:t xml:space="preserve">BSc (Hons) Business Management with International Business</w:t>
      </w:r>
      <w:r>
        <w:rPr>
          <w:color w:val="1A1A1A"/>
          <w:sz w:val="19"/>
          <w:szCs w:val="19"/>
        </w:rPr>
        <w:t xml:space="preserve">  ·  Queen Margaret University, UK</w:t>
      </w:r>
      <w:r>
        <w:rPr>
          <w:color w:val="555555"/>
          <w:sz w:val="17"/>
          <w:szCs w:val="17"/>
        </w:rPr>
        <w:t xml:space="preserve">	2024 – 2026</w:t>
      </w:r>
    </w:p>
    <w:p>
      <w:pPr>
        <w:spacing w:after="40"/>
      </w:pPr>
      <w:r>
        <w:rPr>
          <w:color w:val="555555"/>
          <w:sz w:val="17"/>
          <w:szCs w:val="17"/>
        </w:rPr>
        <w:t xml:space="preserve">Upper second-class honours (2:1)</w:t>
      </w:r>
    </w:p>
    <w:p>
      <w:pPr>
        <w:tabs>
          <w:tab w:val="right" w:pos="9360"/>
        </w:tabs>
        <w:spacing w:after="16" w:before="105"/>
      </w:pPr>
      <w:r>
        <w:rPr>
          <w:b/>
          <w:bCs/>
          <w:color w:val="1A1A1A"/>
          <w:sz w:val="19"/>
          <w:szCs w:val="19"/>
        </w:rPr>
        <w:t xml:space="preserve">Institute of Bankers of Sri Lanka</w:t>
      </w:r>
      <w:r>
        <w:rPr>
          <w:color w:val="1A1A1A"/>
          <w:sz w:val="19"/>
          <w:szCs w:val="19"/>
        </w:rPr>
        <w:t xml:space="preserve">  ·  Banking and financial services qualification</w:t>
      </w:r>
      <w:r>
        <w:rPr>
          <w:color w:val="555555"/>
          <w:sz w:val="17"/>
          <w:szCs w:val="17"/>
        </w:rPr>
        <w:t xml:space="preserve">	Oct 2023 – Feb 2024</w:t>
      </w:r>
    </w:p>
    <w:p>
      <w:pPr>
        <w:tabs>
          <w:tab w:val="right" w:pos="9360"/>
        </w:tabs>
        <w:spacing w:after="16" w:before="105"/>
      </w:pPr>
      <w:r>
        <w:rPr>
          <w:b/>
          <w:bCs/>
          <w:color w:val="1A1A1A"/>
          <w:sz w:val="19"/>
          <w:szCs w:val="19"/>
        </w:rPr>
        <w:t xml:space="preserve">G.C.E. Advanced Level</w:t>
      </w:r>
      <w:r>
        <w:rPr>
          <w:color w:val="1A1A1A"/>
          <w:sz w:val="19"/>
          <w:szCs w:val="19"/>
        </w:rPr>
        <w:t xml:space="preserve">  ·  Royal College, Colombo</w:t>
      </w:r>
      <w:r>
        <w:rPr>
          <w:color w:val="555555"/>
          <w:sz w:val="17"/>
          <w:szCs w:val="17"/>
        </w:rPr>
        <w:t xml:space="preserve">	</w:t>
      </w:r>
    </w:p>
    <w:p>
      <w:pPr>
        <w:spacing w:after="40"/>
      </w:pPr>
      <w:r>
        <w:rPr>
          <w:color w:val="555555"/>
          <w:sz w:val="17"/>
          <w:szCs w:val="17"/>
        </w:rPr>
        <w:t xml:space="preserve">Physical science stream</w:t>
      </w:r>
    </w:p>
    <w:p>
      <w:pPr>
        <w:pBdr>
          <w:bottom w:val="single" w:color="999999" w:sz="4" w:space="3"/>
        </w:pBdr>
        <w:spacing w:after="30" w:before="180"/>
      </w:pPr>
      <w:r>
        <w:rPr>
          <w:b/>
          <w:bCs/>
          <w:color w:val="1A1A1A"/>
          <w:spacing w:val="30"/>
          <w:sz w:val="17"/>
          <w:szCs w:val="17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color w:val="1A1A1A"/>
          <w:sz w:val="19"/>
          <w:szCs w:val="19"/>
        </w:rPr>
        <w:t xml:space="preserve">IBM Data Analyst Professional Certificate</w:t>
      </w:r>
    </w:p>
    <w:p>
      <w:pPr>
        <w:pBdr>
          <w:bottom w:val="single" w:color="999999" w:sz="4" w:space="3"/>
        </w:pBdr>
        <w:spacing w:after="30" w:before="180"/>
      </w:pPr>
      <w:r>
        <w:rPr>
          <w:b/>
          <w:bCs/>
          <w:color w:val="1A1A1A"/>
          <w:spacing w:val="30"/>
          <w:sz w:val="17"/>
          <w:szCs w:val="17"/>
        </w:rPr>
        <w:t xml:space="preserve">ADDITIONAL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b/>
          <w:bCs/>
          <w:color w:val="1A1A1A"/>
          <w:sz w:val="19"/>
          <w:szCs w:val="19"/>
        </w:rPr>
        <w:t xml:space="preserve">Languages  </w:t>
      </w:r>
      <w:r>
        <w:rPr>
          <w:color w:val="1A1A1A"/>
          <w:sz w:val="19"/>
          <w:szCs w:val="19"/>
        </w:rPr>
        <w:t xml:space="preserve">English, Sinhala</w:t>
      </w:r>
    </w:p>
    <w:p>
      <w:pPr>
        <w:pStyle w:val="ListParagraph"/>
        <w:numPr>
          <w:ilvl w:val="0"/>
          <w:numId w:val="2"/>
        </w:numPr>
        <w:spacing w:after="26" w:line="232"/>
      </w:pPr>
      <w:r>
        <w:rPr>
          <w:b/>
          <w:bCs/>
          <w:color w:val="1A1A1A"/>
          <w:sz w:val="19"/>
          <w:szCs w:val="19"/>
        </w:rPr>
        <w:t xml:space="preserve">Portfolio  </w:t>
      </w:r>
      <w:hyperlink w:history="1" r:id="rIdi6r-dh7fhehfovad9okdt">
        <w:r>
          <w:rPr>
            <w:color w:val="1C4E80"/>
            <w:sz w:val="19"/>
            <w:szCs w:val="19"/>
            <w:u w:val="single"/>
          </w:rPr>
          <w:t xml:space="preserve">lohandesilva.github.io/lohan-desilva-portfolio</w:t>
        </w:r>
      </w:hyperlink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16" w:hanging="201"/>
      </w:pPr>
      <w:rPr>
        <w:color w:val="5555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>
      <w:pPr>
        <w:spacing w:line="23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9hctsxren_wfrtb7tn3s" Type="http://schemas.openxmlformats.org/officeDocument/2006/relationships/hyperlink" Target="mailto:desilvalohan@gmail.com" TargetMode="External"/><Relationship Id="rIdgrn2uexc5hwqlpqvoyenw" Type="http://schemas.openxmlformats.org/officeDocument/2006/relationships/hyperlink" Target="https://www.linkedin.com/in/lohands" TargetMode="External"/><Relationship Id="rIdl9tvfbqsqnaqipilz9a6e" Type="http://schemas.openxmlformats.org/officeDocument/2006/relationships/hyperlink" Target="https://github.com/Lohandesilva" TargetMode="External"/><Relationship Id="rIdzphzdqsy-rmbycyaecuec" Type="http://schemas.openxmlformats.org/officeDocument/2006/relationships/hyperlink" Target="https://github.com/Lohandesilva/customer-churn-analysis" TargetMode="External"/><Relationship Id="rIdb4y_nkjpcjaa8i99yopha" Type="http://schemas.openxmlformats.org/officeDocument/2006/relationships/hyperlink" Target="https://github.com/Lohandesilva/sales-performance-analytics" TargetMode="External"/><Relationship Id="rIdymr9mjzhvzd-o0x95w0ur" Type="http://schemas.openxmlformats.org/officeDocument/2006/relationships/hyperlink" Target="https://github.com/Lohandesilva/financial-performance-analysis" TargetMode="External"/><Relationship Id="rIdgerxet1u79s25iukle2q9" Type="http://schemas.openxmlformats.org/officeDocument/2006/relationships/hyperlink" Target="https://github.com/Lohandesilva/credit-portfolio-risk" TargetMode="External"/><Relationship Id="rIdqw87tzax1ve--ei3mzetb" Type="http://schemas.openxmlformats.org/officeDocument/2006/relationships/hyperlink" Target="https://github.com/Lohandesilva/healthcare-operations-analytics" TargetMode="External"/><Relationship Id="rIdi6r-dh7fhehfovad9okdt" Type="http://schemas.openxmlformats.org/officeDocument/2006/relationships/hyperlink" Target="https://lohandesilva.github.io/lohan-desilva-portfolio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Lohan De Silva — Curriculum Vitae</dc:title>
  <dc:creator>Lohan De Silva</dc:creator>
  <cp:lastModifiedBy>Lohan De Silva</cp:lastModifiedBy>
  <cp:revision>1</cp:revision>
  <dcterms:created xsi:type="dcterms:W3CDTF">2026-09-09T08:42:32.778Z</dcterms:created>
  <dcterms:modified xsi:type="dcterms:W3CDTF">2026-09-09T08:42:32.785Z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