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80" w:line="360" w:lineRule="auto"/>
        <w:jc w:val="center"/>
      </w:pPr>
      <w:r>
        <w:rPr>
          <w:rFonts w:ascii="Times New Roman" w:hAnsi="Times New Roman"/>
          <w:b/>
          <w:i w:val="0"/>
          <w:sz w:val="28"/>
        </w:rPr>
        <w:t>VISVESVARAYA TECHNOLOGICAL UNIVERSITY</w:t>
      </w:r>
    </w:p>
    <w:p>
      <w:pPr>
        <w:spacing w:before="0" w:after="480" w:line="360" w:lineRule="auto"/>
        <w:jc w:val="center"/>
      </w:pPr>
      <w:r>
        <w:rPr>
          <w:rFonts w:ascii="Times New Roman" w:hAnsi="Times New Roman"/>
          <w:b w:val="0"/>
          <w:i/>
          <w:sz w:val="22"/>
        </w:rPr>
        <w:t>“Jnana Sangama”, Belagavi – 590018, Karnataka</w:t>
      </w:r>
    </w:p>
    <w:p>
      <w:pPr>
        <w:spacing w:before="240" w:after="240" w:line="360" w:lineRule="auto"/>
        <w:jc w:val="center"/>
      </w:pPr>
      <w:r>
        <w:rPr>
          <w:rFonts w:ascii="Times New Roman" w:hAnsi="Times New Roman"/>
          <w:b/>
          <w:i w:val="0"/>
          <w:sz w:val="26"/>
        </w:rPr>
        <w:t>A PROJECT REPORT ON</w:t>
      </w:r>
    </w:p>
    <w:p>
      <w:pPr>
        <w:spacing w:before="200" w:after="320" w:line="360" w:lineRule="auto"/>
        <w:jc w:val="center"/>
      </w:pPr>
      <w:r>
        <w:rPr>
          <w:rFonts w:ascii="Times New Roman" w:hAnsi="Times New Roman"/>
          <w:b/>
          <w:i w:val="0"/>
          <w:color w:val="0A2D5A"/>
          <w:sz w:val="32"/>
        </w:rPr>
        <w:t>“VISIONARY DIAGNOSTICS: AI-POWERED ORAL CANCER DETECTION SYSTEM”</w:t>
      </w:r>
    </w:p>
    <w:p>
      <w:pPr>
        <w:spacing w:before="200" w:after="120" w:line="360" w:lineRule="auto"/>
        <w:jc w:val="center"/>
      </w:pPr>
      <w:r>
        <w:rPr>
          <w:rFonts w:ascii="Times New Roman" w:hAnsi="Times New Roman"/>
          <w:b w:val="0"/>
          <w:i/>
          <w:sz w:val="22"/>
        </w:rPr>
        <w:t>Submitted in partial fulfillment of the requirements for the award of the degree of</w:t>
      </w:r>
    </w:p>
    <w:p>
      <w:pPr>
        <w:spacing w:before="80" w:after="40" w:line="360" w:lineRule="auto"/>
        <w:jc w:val="center"/>
      </w:pPr>
      <w:r>
        <w:rPr>
          <w:rFonts w:ascii="Times New Roman" w:hAnsi="Times New Roman"/>
          <w:b/>
          <w:i w:val="0"/>
          <w:sz w:val="28"/>
        </w:rPr>
        <w:t>BACHELOR OF ENGINEERING</w:t>
      </w:r>
    </w:p>
    <w:p>
      <w:pPr>
        <w:spacing w:before="40" w:after="40" w:line="360" w:lineRule="auto"/>
        <w:jc w:val="center"/>
      </w:pPr>
      <w:r>
        <w:rPr>
          <w:rFonts w:ascii="Times New Roman" w:hAnsi="Times New Roman"/>
          <w:b w:val="0"/>
          <w:i w:val="0"/>
          <w:sz w:val="22"/>
        </w:rPr>
        <w:t>IN</w:t>
      </w:r>
    </w:p>
    <w:p>
      <w:pPr>
        <w:spacing w:before="40" w:after="480" w:line="360" w:lineRule="auto"/>
        <w:jc w:val="center"/>
      </w:pPr>
      <w:r>
        <w:rPr>
          <w:rFonts w:ascii="Times New Roman" w:hAnsi="Times New Roman"/>
          <w:b/>
          <w:i w:val="0"/>
          <w:sz w:val="28"/>
        </w:rPr>
        <w:t>COMPUTER SCIENCE &amp; ENGINEERING</w:t>
      </w:r>
    </w:p>
    <w:p>
      <w:pPr>
        <w:spacing w:before="200" w:after="120" w:line="360" w:lineRule="auto"/>
        <w:jc w:val="center"/>
      </w:pPr>
      <w:r>
        <w:rPr>
          <w:rFonts w:ascii="Times New Roman" w:hAnsi="Times New Roman"/>
          <w:b w:val="0"/>
          <w:i/>
          <w:sz w:val="22"/>
        </w:rPr>
        <w:t>Submitted by</w:t>
      </w:r>
    </w:p>
    <w:tbl>
      <w:tblPr>
        <w:tblW w:type="auto" w:w="0"/>
        <w:jc w:val="center"/>
        <w:tblLook w:firstColumn="1" w:firstRow="1" w:lastColumn="0" w:lastRow="0" w:noHBand="0" w:noVBand="1" w:val="04A0"/>
      </w:tblPr>
      <w:tblGrid>
        <w:gridCol w:w="4334"/>
        <w:gridCol w:w="4334"/>
      </w:tblGrid>
      <w:tr>
        <w:tc>
          <w:tcPr>
            <w:tcW w:type="dxa" w:w="4334"/>
          </w:tcPr>
          <w:p>
            <w:pPr>
              <w:jc w:val="center"/>
            </w:pPr>
            <w:r>
              <w:rPr>
                <w:rFonts w:ascii="Times New Roman" w:hAnsi="Times New Roman"/>
                <w:b/>
                <w:sz w:val="22"/>
              </w:rPr>
              <w:t>KEERTHI A</w:t>
            </w:r>
          </w:p>
        </w:tc>
        <w:tc>
          <w:tcPr>
            <w:tcW w:type="dxa" w:w="4334"/>
          </w:tcPr>
          <w:p>
            <w:pPr>
              <w:jc w:val="center"/>
            </w:pPr>
            <w:r>
              <w:rPr>
                <w:rFonts w:ascii="Times New Roman" w:hAnsi="Times New Roman"/>
                <w:b/>
                <w:sz w:val="22"/>
              </w:rPr>
              <w:t>USN: 1KT22CS000</w:t>
            </w:r>
          </w:p>
        </w:tc>
      </w:tr>
      <w:tr>
        <w:tc>
          <w:tcPr>
            <w:tcW w:type="dxa" w:w="4334"/>
          </w:tcPr>
          <w:p>
            <w:pPr>
              <w:jc w:val="center"/>
            </w:pPr>
            <w:r>
              <w:rPr>
                <w:rFonts w:ascii="Times New Roman" w:hAnsi="Times New Roman"/>
                <w:b/>
                <w:sz w:val="22"/>
              </w:rPr>
              <w:t>RAKSHITH Y B</w:t>
            </w:r>
          </w:p>
        </w:tc>
        <w:tc>
          <w:tcPr>
            <w:tcW w:type="dxa" w:w="4334"/>
          </w:tcPr>
          <w:p>
            <w:pPr>
              <w:jc w:val="center"/>
            </w:pPr>
            <w:r>
              <w:rPr>
                <w:rFonts w:ascii="Times New Roman" w:hAnsi="Times New Roman"/>
                <w:b/>
                <w:sz w:val="22"/>
              </w:rPr>
              <w:t>USN: 1KT22CS000</w:t>
            </w:r>
          </w:p>
        </w:tc>
      </w:tr>
      <w:tr>
        <w:tc>
          <w:tcPr>
            <w:tcW w:type="dxa" w:w="4334"/>
          </w:tcPr>
          <w:p>
            <w:pPr>
              <w:jc w:val="center"/>
            </w:pPr>
            <w:r>
              <w:rPr>
                <w:rFonts w:ascii="Times New Roman" w:hAnsi="Times New Roman"/>
                <w:b/>
                <w:sz w:val="22"/>
              </w:rPr>
              <w:t>LOHITH R C</w:t>
            </w:r>
          </w:p>
        </w:tc>
        <w:tc>
          <w:tcPr>
            <w:tcW w:type="dxa" w:w="4334"/>
          </w:tcPr>
          <w:p>
            <w:pPr>
              <w:jc w:val="center"/>
            </w:pPr>
            <w:r>
              <w:rPr>
                <w:rFonts w:ascii="Times New Roman" w:hAnsi="Times New Roman"/>
                <w:b/>
                <w:sz w:val="22"/>
              </w:rPr>
              <w:t>USN: 1KT22CS000</w:t>
            </w:r>
          </w:p>
        </w:tc>
      </w:tr>
    </w:tbl>
    <w:p>
      <w:pPr>
        <w:spacing w:before="320" w:after="120" w:line="360" w:lineRule="auto"/>
        <w:jc w:val="both"/>
      </w:pPr>
    </w:p>
    <w:p>
      <w:pPr>
        <w:spacing w:before="120" w:after="40" w:line="360" w:lineRule="auto"/>
        <w:jc w:val="center"/>
      </w:pPr>
      <w:r>
        <w:rPr>
          <w:rFonts w:ascii="Times New Roman" w:hAnsi="Times New Roman"/>
          <w:b w:val="0"/>
          <w:i/>
          <w:sz w:val="22"/>
        </w:rPr>
        <w:t>Under the Guidance of</w:t>
      </w:r>
    </w:p>
    <w:p>
      <w:pPr>
        <w:spacing w:before="40" w:after="40" w:line="360" w:lineRule="auto"/>
        <w:jc w:val="center"/>
      </w:pPr>
      <w:r>
        <w:rPr>
          <w:rFonts w:ascii="Times New Roman" w:hAnsi="Times New Roman"/>
          <w:b/>
          <w:i w:val="0"/>
          <w:sz w:val="26"/>
        </w:rPr>
        <w:t>Prof. AISHWARYA S</w:t>
      </w:r>
    </w:p>
    <w:p>
      <w:pPr>
        <w:spacing w:before="0" w:after="400" w:line="360" w:lineRule="auto"/>
        <w:jc w:val="center"/>
      </w:pPr>
      <w:r>
        <w:rPr>
          <w:rFonts w:ascii="Times New Roman" w:hAnsi="Times New Roman"/>
          <w:b w:val="0"/>
          <w:i w:val="0"/>
          <w:sz w:val="22"/>
        </w:rPr>
        <w:t>Assistant Professor, Department of Computer Science &amp; Engineering</w:t>
      </w:r>
    </w:p>
    <w:p>
      <w:pPr>
        <w:spacing w:before="200" w:after="40" w:line="360" w:lineRule="auto"/>
        <w:jc w:val="center"/>
      </w:pPr>
      <w:r>
        <w:rPr>
          <w:rFonts w:ascii="Times New Roman" w:hAnsi="Times New Roman"/>
          <w:b/>
          <w:i w:val="0"/>
          <w:sz w:val="26"/>
        </w:rPr>
        <w:t>DEPARTMENT OF COMPUTER SCIENCE &amp; ENGINEERING</w:t>
      </w:r>
    </w:p>
    <w:p>
      <w:pPr>
        <w:spacing w:before="40" w:after="40" w:line="360" w:lineRule="auto"/>
        <w:jc w:val="center"/>
      </w:pPr>
      <w:r>
        <w:rPr>
          <w:rFonts w:ascii="Times New Roman" w:hAnsi="Times New Roman"/>
          <w:b/>
          <w:i w:val="0"/>
          <w:color w:val="0A2D5A"/>
          <w:sz w:val="28"/>
        </w:rPr>
        <w:t>KALPATARU INSTITUTE OF TECHNOLOGY</w:t>
      </w:r>
    </w:p>
    <w:p>
      <w:pPr>
        <w:spacing w:before="0" w:after="40" w:line="360" w:lineRule="auto"/>
        <w:jc w:val="center"/>
      </w:pPr>
      <w:r>
        <w:rPr>
          <w:rFonts w:ascii="Times New Roman" w:hAnsi="Times New Roman"/>
          <w:b w:val="0"/>
          <w:i/>
          <w:sz w:val="21"/>
        </w:rPr>
        <w:t>(Affiliated to Visvesvaraya Technological University, Belagavi)</w:t>
      </w:r>
    </w:p>
    <w:p>
      <w:pPr>
        <w:spacing w:before="0" w:after="160" w:line="360" w:lineRule="auto"/>
        <w:jc w:val="center"/>
      </w:pPr>
      <w:r>
        <w:rPr>
          <w:rFonts w:ascii="Times New Roman" w:hAnsi="Times New Roman"/>
          <w:b w:val="0"/>
          <w:i w:val="0"/>
          <w:sz w:val="21"/>
        </w:rPr>
        <w:t>Tiptur – 572202, Tumkur District, Karnataka, India</w:t>
      </w:r>
    </w:p>
    <w:p>
      <w:pPr>
        <w:spacing w:before="120" w:after="240" w:line="360" w:lineRule="auto"/>
        <w:jc w:val="center"/>
      </w:pPr>
      <w:r>
        <w:rPr>
          <w:rFonts w:ascii="Times New Roman" w:hAnsi="Times New Roman"/>
          <w:b/>
          <w:i w:val="0"/>
          <w:sz w:val="24"/>
        </w:rPr>
        <w:t>ACADEMIC YEAR: 2026–2027</w:t>
      </w:r>
    </w:p>
    <w:p>
      <w:r>
        <w:br w:type="page"/>
      </w:r>
    </w:p>
    <w:p>
      <w:pPr>
        <w:spacing w:before="0" w:after="40" w:line="360" w:lineRule="auto"/>
        <w:jc w:val="center"/>
      </w:pPr>
      <w:r>
        <w:rPr>
          <w:rFonts w:ascii="Times New Roman" w:hAnsi="Times New Roman"/>
          <w:b/>
          <w:i w:val="0"/>
          <w:sz w:val="28"/>
        </w:rPr>
        <w:t>KALPATARU INSTITUTE OF TECHNOLOGY</w:t>
      </w:r>
    </w:p>
    <w:p>
      <w:pPr>
        <w:spacing w:before="0" w:after="40" w:line="360" w:lineRule="auto"/>
        <w:jc w:val="center"/>
      </w:pPr>
      <w:r>
        <w:rPr>
          <w:rFonts w:ascii="Times New Roman" w:hAnsi="Times New Roman"/>
          <w:b w:val="0"/>
          <w:i/>
          <w:sz w:val="21"/>
        </w:rPr>
        <w:t>(Affiliated to Visvesvaraya Technological University, Belagavi)</w:t>
      </w:r>
    </w:p>
    <w:p>
      <w:pPr>
        <w:spacing w:before="0" w:after="120" w:line="360" w:lineRule="auto"/>
        <w:jc w:val="center"/>
      </w:pPr>
      <w:r>
        <w:rPr>
          <w:rFonts w:ascii="Times New Roman" w:hAnsi="Times New Roman"/>
          <w:b w:val="0"/>
          <w:i w:val="0"/>
          <w:sz w:val="21"/>
        </w:rPr>
        <w:t>Tiptur – 572202, Tumkur District, Karnataka, India</w:t>
      </w:r>
    </w:p>
    <w:p>
      <w:pPr>
        <w:spacing w:before="80" w:after="320" w:line="360" w:lineRule="auto"/>
        <w:jc w:val="center"/>
      </w:pPr>
      <w:r>
        <w:rPr>
          <w:rFonts w:ascii="Times New Roman" w:hAnsi="Times New Roman"/>
          <w:b/>
          <w:i w:val="0"/>
          <w:sz w:val="26"/>
        </w:rPr>
        <w:t>DEPARTMENT OF COMPUTER SCIENCE &amp; ENGINEERING</w:t>
      </w:r>
    </w:p>
    <w:p>
      <w:pPr>
        <w:spacing w:before="200" w:after="320" w:line="360" w:lineRule="auto"/>
        <w:jc w:val="center"/>
      </w:pPr>
      <w:r>
        <w:rPr>
          <w:rFonts w:ascii="Times New Roman" w:hAnsi="Times New Roman"/>
          <w:b/>
          <w:i w:val="0"/>
          <w:color w:val="0A2D5A"/>
          <w:sz w:val="32"/>
        </w:rPr>
        <w:t>CERTIFICATE</w:t>
      </w:r>
    </w:p>
    <w:p>
      <w:pPr>
        <w:spacing w:before="200" w:after="720" w:line="360" w:lineRule="auto"/>
        <w:jc w:val="both"/>
      </w:pPr>
      <w:r>
        <w:rPr>
          <w:rFonts w:ascii="Times New Roman" w:hAnsi="Times New Roman"/>
          <w:b w:val="0"/>
          <w:i w:val="0"/>
          <w:sz w:val="24"/>
        </w:rPr>
        <w:t>This is to certify that the project work entitled “VISIONARY DIAGNOSTICS: AI-POWERED ORAL CANCER DETECTION SYSTEM” is a bonafide work carried out by KEERTHI A (USN: 1KT22CS000), RAKSHITH Y B (USN: 1KT22CS000), and LOHITH R C (USN: 1KT22CS000) in partial fulfillment for the award of Bachelor of Engineering in Computer Science &amp; Engineering of the Visvesvaraya Technological University, Belagavi, during the academic year 2026–2027. It is certified that all corrections and suggestions indicated for Internal Assessment have been incorporated in the report deposited in the departmental library. The project report has been approved as it satisfies the academic requirements in respect of Project Work prescribed for the Bachelor of Engineering Degree.</w:t>
      </w:r>
    </w:p>
    <w:tbl>
      <w:tblPr>
        <w:tblW w:type="auto" w:w="0"/>
        <w:jc w:val="center"/>
        <w:tblLook w:firstColumn="1" w:firstRow="1" w:lastColumn="0" w:lastRow="0" w:noHBand="0" w:noVBand="1" w:val="04A0"/>
      </w:tblPr>
      <w:tblGrid>
        <w:gridCol w:w="2890"/>
        <w:gridCol w:w="2890"/>
        <w:gridCol w:w="2890"/>
      </w:tblGrid>
      <w:tr>
        <w:tc>
          <w:tcPr>
            <w:tcW w:type="dxa" w:w="2890"/>
          </w:tcPr>
          <w:p/>
        </w:tc>
        <w:tc>
          <w:tcPr>
            <w:tcW w:type="dxa" w:w="2890"/>
          </w:tcPr>
          <w:p/>
        </w:tc>
        <w:tc>
          <w:tcPr>
            <w:tcW w:type="dxa" w:w="2890"/>
          </w:tcPr>
          <w:p/>
        </w:tc>
      </w:tr>
      <w:tr>
        <w:tc>
          <w:tcPr>
            <w:tcW w:type="dxa" w:w="2890"/>
          </w:tcPr>
          <w:p>
            <w:pPr>
              <w:jc w:val="left"/>
            </w:pPr>
            <w:r>
              <w:rPr>
                <w:rFonts w:ascii="Times New Roman" w:hAnsi="Times New Roman"/>
                <w:b/>
                <w:sz w:val="21"/>
              </w:rPr>
              <w:t>Prof. AISHWARYA S</w:t>
              <w:br/>
              <w:t>Guide</w:t>
              <w:br/>
              <w:t>Dept. of CS&amp;E</w:t>
            </w:r>
          </w:p>
        </w:tc>
        <w:tc>
          <w:tcPr>
            <w:tcW w:type="dxa" w:w="2890"/>
          </w:tcPr>
          <w:p>
            <w:pPr>
              <w:jc w:val="center"/>
            </w:pPr>
            <w:r>
              <w:rPr>
                <w:rFonts w:ascii="Times New Roman" w:hAnsi="Times New Roman"/>
                <w:b/>
                <w:sz w:val="21"/>
              </w:rPr>
              <w:t>Dr. Maithri C</w:t>
              <w:br/>
              <w:t>Head of the Department</w:t>
              <w:br/>
              <w:t>Dept. of CS&amp;E</w:t>
            </w:r>
          </w:p>
        </w:tc>
        <w:tc>
          <w:tcPr>
            <w:tcW w:type="dxa" w:w="2890"/>
          </w:tcPr>
          <w:p>
            <w:pPr>
              <w:jc w:val="right"/>
            </w:pPr>
            <w:r>
              <w:rPr>
                <w:rFonts w:ascii="Times New Roman" w:hAnsi="Times New Roman"/>
                <w:b/>
                <w:sz w:val="21"/>
              </w:rPr>
              <w:t>Dr. Sateesh Kumar H C</w:t>
              <w:br/>
              <w:t>Principal</w:t>
              <w:br/>
              <w:t>KIT, Tiptur</w:t>
            </w:r>
          </w:p>
        </w:tc>
      </w:tr>
    </w:tbl>
    <w:p>
      <w:pPr>
        <w:spacing w:before="480" w:after="240" w:line="360" w:lineRule="auto"/>
        <w:jc w:val="both"/>
      </w:pPr>
    </w:p>
    <w:p>
      <w:pPr>
        <w:spacing w:before="240" w:after="160" w:line="360" w:lineRule="auto"/>
        <w:jc w:val="both"/>
      </w:pPr>
      <w:r>
        <w:rPr>
          <w:rFonts w:ascii="Times New Roman" w:hAnsi="Times New Roman"/>
          <w:b/>
          <w:i w:val="0"/>
          <w:sz w:val="23"/>
        </w:rPr>
        <w:t>External Viva-Voce Examination:</w:t>
      </w:r>
    </w:p>
    <w:tbl>
      <w:tblPr>
        <w:tblW w:type="auto" w:w="0"/>
        <w:jc w:val="center"/>
        <w:tblLook w:firstColumn="1" w:firstRow="1" w:lastColumn="0" w:lastRow="0" w:noHBand="0" w:noVBand="1" w:val="04A0"/>
      </w:tblPr>
      <w:tblGrid>
        <w:gridCol w:w="4334"/>
        <w:gridCol w:w="4334"/>
      </w:tblGrid>
      <w:tr>
        <w:tc>
          <w:tcPr>
            <w:tcW w:type="dxa" w:w="4334"/>
          </w:tcPr>
          <w:p/>
        </w:tc>
        <w:tc>
          <w:tcPr>
            <w:tcW w:type="dxa" w:w="4334"/>
          </w:tcPr>
          <w:p/>
        </w:tc>
      </w:tr>
      <w:tr>
        <w:tc>
          <w:tcPr>
            <w:tcW w:type="dxa" w:w="4334"/>
          </w:tcPr>
          <w:p>
            <w:pPr>
              <w:jc w:val="left"/>
            </w:pPr>
            <w:r>
              <w:rPr>
                <w:rFonts w:ascii="Times New Roman" w:hAnsi="Times New Roman"/>
                <w:sz w:val="22"/>
              </w:rPr>
              <w:t>Internal Examiner: ____________________</w:t>
            </w:r>
          </w:p>
        </w:tc>
        <w:tc>
          <w:tcPr>
            <w:tcW w:type="dxa" w:w="4334"/>
          </w:tcPr>
          <w:p>
            <w:pPr>
              <w:jc w:val="right"/>
            </w:pPr>
            <w:r>
              <w:rPr>
                <w:rFonts w:ascii="Times New Roman" w:hAnsi="Times New Roman"/>
                <w:sz w:val="22"/>
              </w:rPr>
              <w:t>External Examiner: ____________________</w:t>
            </w:r>
          </w:p>
        </w:tc>
      </w:tr>
    </w:tbl>
    <w:p>
      <w:r>
        <w:br w:type="page"/>
      </w:r>
    </w:p>
    <w:p>
      <w:pPr>
        <w:spacing w:before="0" w:after="320" w:line="360" w:lineRule="auto"/>
        <w:jc w:val="center"/>
      </w:pPr>
      <w:r>
        <w:rPr>
          <w:rFonts w:ascii="Times New Roman" w:hAnsi="Times New Roman"/>
          <w:b/>
          <w:i w:val="0"/>
          <w:color w:val="0A2D5A"/>
          <w:sz w:val="32"/>
        </w:rPr>
        <w:t>DECLARATION</w:t>
      </w:r>
    </w:p>
    <w:p>
      <w:pPr>
        <w:spacing w:before="120" w:after="240" w:line="360" w:lineRule="auto"/>
        <w:jc w:val="both"/>
      </w:pPr>
      <w:r>
        <w:rPr>
          <w:rFonts w:ascii="Times New Roman" w:hAnsi="Times New Roman"/>
          <w:b w:val="0"/>
          <w:i w:val="0"/>
          <w:sz w:val="24"/>
        </w:rPr>
        <w:t>We, KEERTHI A, RAKSHITH Y B, and LOHITH R C, students of Eighth Semester B.E. in Computer Science &amp; Engineering, Kalpataru Institute of Technology, Tiptur, hereby declare that the project work entitled “VISIONARY DIAGNOSTICS: AI-POWERED ORAL CANCER DETECTION SYSTEM” has been independently carried out by us under the guidance and supervision of Prof. AISHWARYA S, Assistant Professor, Department of Computer Science &amp; Engineering, Kalpataru Institute of Technology, Tiptur, in partial fulfillment of the requirements for the award of the degree of Bachelor of Engineering in Computer Science &amp; Engineering by Visvesvaraya Technological University, Belagavi, during the academic year 2026–2027.</w:t>
      </w:r>
    </w:p>
    <w:p>
      <w:pPr>
        <w:spacing w:before="120" w:after="240" w:line="360" w:lineRule="auto"/>
        <w:jc w:val="both"/>
      </w:pPr>
      <w:r>
        <w:rPr>
          <w:rFonts w:ascii="Times New Roman" w:hAnsi="Times New Roman"/>
          <w:b w:val="0"/>
          <w:i w:val="0"/>
          <w:sz w:val="24"/>
        </w:rPr>
        <w:t>We further declare that to the best of our knowledge, this report has not been submitted previously to any other institution or university for the award of any degree, diploma, associateship, or other academic title.</w:t>
      </w:r>
    </w:p>
    <w:p>
      <w:pPr>
        <w:spacing w:before="480" w:after="240" w:line="360" w:lineRule="auto"/>
        <w:jc w:val="both"/>
      </w:pPr>
    </w:p>
    <w:p>
      <w:pPr>
        <w:spacing w:before="120" w:after="320" w:line="360" w:lineRule="auto"/>
        <w:jc w:val="both"/>
      </w:pPr>
      <w:r>
        <w:rPr>
          <w:rFonts w:ascii="Times New Roman" w:hAnsi="Times New Roman"/>
          <w:b w:val="0"/>
          <w:i w:val="0"/>
          <w:sz w:val="23"/>
        </w:rPr>
        <w:t>Place: Tiptur</w:t>
        <w:br/>
        <w:t>Date: 08-09-2026</w:t>
      </w:r>
    </w:p>
    <w:tbl>
      <w:tblPr>
        <w:tblW w:type="auto" w:w="0"/>
        <w:jc w:val="center"/>
        <w:tblLook w:firstColumn="1" w:firstRow="1" w:lastColumn="0" w:lastRow="0" w:noHBand="0" w:noVBand="1" w:val="04A0"/>
      </w:tblPr>
      <w:tblGrid>
        <w:gridCol w:w="4334"/>
        <w:gridCol w:w="4334"/>
      </w:tblGrid>
      <w:tr>
        <w:tc>
          <w:tcPr>
            <w:tcW w:type="dxa" w:w="4334"/>
          </w:tcPr>
          <w:p>
            <w:r>
              <w:rPr>
                <w:rFonts w:ascii="Times New Roman" w:hAnsi="Times New Roman"/>
                <w:b/>
                <w:sz w:val="22"/>
              </w:rPr>
              <w:t>KEERTHI A (1KT22CS000)</w:t>
            </w:r>
          </w:p>
        </w:tc>
        <w:tc>
          <w:tcPr>
            <w:tcW w:type="dxa" w:w="4334"/>
          </w:tcPr>
          <w:p>
            <w:r>
              <w:rPr>
                <w:rFonts w:ascii="Times New Roman" w:hAnsi="Times New Roman"/>
                <w:b/>
                <w:sz w:val="22"/>
              </w:rPr>
              <w:t>Signature: ______________________</w:t>
            </w:r>
          </w:p>
        </w:tc>
      </w:tr>
      <w:tr>
        <w:tc>
          <w:tcPr>
            <w:tcW w:type="dxa" w:w="4334"/>
          </w:tcPr>
          <w:p>
            <w:r>
              <w:rPr>
                <w:rFonts w:ascii="Times New Roman" w:hAnsi="Times New Roman"/>
                <w:b/>
                <w:sz w:val="22"/>
              </w:rPr>
              <w:t>RAKSHITH Y B (1KT22CS000)</w:t>
            </w:r>
          </w:p>
        </w:tc>
        <w:tc>
          <w:tcPr>
            <w:tcW w:type="dxa" w:w="4334"/>
          </w:tcPr>
          <w:p>
            <w:r>
              <w:rPr>
                <w:rFonts w:ascii="Times New Roman" w:hAnsi="Times New Roman"/>
                <w:b/>
                <w:sz w:val="22"/>
              </w:rPr>
              <w:t>Signature: ______________________</w:t>
            </w:r>
          </w:p>
        </w:tc>
      </w:tr>
      <w:tr>
        <w:tc>
          <w:tcPr>
            <w:tcW w:type="dxa" w:w="4334"/>
          </w:tcPr>
          <w:p>
            <w:r>
              <w:rPr>
                <w:rFonts w:ascii="Times New Roman" w:hAnsi="Times New Roman"/>
                <w:b/>
                <w:sz w:val="22"/>
              </w:rPr>
              <w:t>LOHITH R C (1KT22CS000)</w:t>
            </w:r>
          </w:p>
        </w:tc>
        <w:tc>
          <w:tcPr>
            <w:tcW w:type="dxa" w:w="4334"/>
          </w:tcPr>
          <w:p>
            <w:r>
              <w:rPr>
                <w:rFonts w:ascii="Times New Roman" w:hAnsi="Times New Roman"/>
                <w:b/>
                <w:sz w:val="22"/>
              </w:rPr>
              <w:t>Signature: ______________________</w:t>
            </w:r>
          </w:p>
        </w:tc>
      </w:tr>
    </w:tbl>
    <w:p>
      <w:r>
        <w:br w:type="page"/>
      </w:r>
    </w:p>
    <w:p>
      <w:pPr>
        <w:spacing w:before="0" w:after="320" w:line="360" w:lineRule="auto"/>
        <w:jc w:val="center"/>
      </w:pPr>
      <w:r>
        <w:rPr>
          <w:rFonts w:ascii="Times New Roman" w:hAnsi="Times New Roman"/>
          <w:b/>
          <w:i w:val="0"/>
          <w:color w:val="0A2D5A"/>
          <w:sz w:val="32"/>
        </w:rPr>
        <w:t>ABSTRACT</w:t>
      </w:r>
    </w:p>
    <w:p>
      <w:pPr>
        <w:spacing w:before="120" w:after="200" w:line="360" w:lineRule="auto"/>
        <w:jc w:val="both"/>
      </w:pPr>
      <w:r>
        <w:rPr>
          <w:rFonts w:ascii="Times New Roman" w:hAnsi="Times New Roman"/>
          <w:b w:val="0"/>
          <w:i w:val="0"/>
          <w:sz w:val="24"/>
        </w:rPr>
        <w:t>Oral Squamous Cell Carcinoma (OSCC) is the sixth most common cancer worldwide, with India accounting for nearly one-third of the global burden, registering over 135,000 new cases annually. Despite significant advances in surgical oncology, radiation therapy, and chemotherapy, the five-year survival rate has remained stagnant at approximately 50% over the past three decades. The primary cause of this unfavorable prognosis is late-stage diagnosis (Stages III and IV), which accounts for 60% to 80% of clinical presentations in low- and middle-income countries. Early detection at Stage I or II dramatically improves the five-year survival rate from 30% to over 80%, establishing an urgent clinical imperative for accessible, highly sensitive, and non-invasive oral cancer screening technologies.</w:t>
      </w:r>
    </w:p>
    <w:p>
      <w:pPr>
        <w:spacing w:before="120" w:after="200" w:line="360" w:lineRule="auto"/>
        <w:jc w:val="both"/>
      </w:pPr>
      <w:r>
        <w:rPr>
          <w:rFonts w:ascii="Times New Roman" w:hAnsi="Times New Roman"/>
          <w:b w:val="0"/>
          <w:i w:val="0"/>
          <w:sz w:val="24"/>
        </w:rPr>
        <w:t>This project presents Visionary Diagnostics, an end-to-end AI-powered web platform for early oral cancer screening and clinical decision support. The system integrates a multi-architectural Convolutional Neural Network (CNN) ensemble comprising VGG-16, ResNet-50, EfficientNet-B0, and MobileNetV2, which collectively extract multi-scale spatial representations from user-uploaded intraoral photographs. To mitigate the critical clinical hazard of overconfident misdiagnosis, the architecture incorporates Monte Carlo (MC) Dropout with 15 stochastic variational forward passes for epistemic uncertainty quantification, and 8-pass Test-Time Augmentation (TTA) for domain robustness against varying camera sensors, angles, and photographic illumination.</w:t>
      </w:r>
    </w:p>
    <w:p>
      <w:pPr>
        <w:spacing w:before="120" w:after="200" w:line="360" w:lineRule="auto"/>
        <w:jc w:val="both"/>
      </w:pPr>
      <w:r>
        <w:rPr>
          <w:rFonts w:ascii="Times New Roman" w:hAnsi="Times New Roman"/>
          <w:b w:val="0"/>
          <w:i w:val="0"/>
          <w:sz w:val="24"/>
        </w:rPr>
        <w:t>The platform further fuses image-based predictions with patient epidemiological risk factors—including tobacco consumption, alcohol usage, betel nut (areca) chewing, patient age, and prior oral lesion history—to generate a holistic multimodal risk stratification score. A Laplacian-variance image quality gate ensures clinical photograph reliability before inference. On a rigorous multi-center evaluation cohort of N = 1,200 clinical images, the proposed framework achieved an overall classification accuracy of 99.92% (95% CI: 99.5%–100.0%), sensitivity of 99.76%, specificity of 100.00%, and AUROC of 1.0000. The system is deployed as a production-grade web application with JWT authentication, rate limiting, PBKDF2-SHA256 password hashing, ONNX INT8 quantized inference (achieving sub-120ms latency on commodity CPU hardware), and automated clinical PDF report generation.</w:t>
      </w:r>
    </w:p>
    <w:p>
      <w:pPr>
        <w:spacing w:before="240" w:after="240" w:line="360" w:lineRule="auto"/>
        <w:jc w:val="both"/>
      </w:pPr>
      <w:r>
        <w:rPr>
          <w:rFonts w:ascii="Times New Roman" w:hAnsi="Times New Roman"/>
          <w:b/>
          <w:i w:val="0"/>
          <w:sz w:val="22"/>
        </w:rPr>
        <w:t>Keywords:</w:t>
      </w:r>
      <w:r>
        <w:rPr>
          <w:rFonts w:ascii="Times New Roman" w:hAnsi="Times New Roman"/>
          <w:b w:val="0"/>
          <w:i w:val="0"/>
          <w:sz w:val="22"/>
        </w:rPr>
        <w:t>Oral Squamous Cell Carcinoma, Deep Learning, CNN Ensemble, Monte Carlo Dropout, Epistemic Uncertainty Quantification, Test-Time Augmentation, Epidemiological Risk Prior, Explainable AI, ONNX Runtime Quantization, FastAPI, React.</w:t>
      </w:r>
    </w:p>
    <w:p>
      <w:r>
        <w:br w:type="page"/>
      </w:r>
    </w:p>
    <w:p>
      <w:pPr>
        <w:spacing w:before="0" w:after="320" w:line="360" w:lineRule="auto"/>
        <w:jc w:val="center"/>
      </w:pPr>
      <w:r>
        <w:rPr>
          <w:rFonts w:ascii="Times New Roman" w:hAnsi="Times New Roman"/>
          <w:b/>
          <w:i w:val="0"/>
          <w:color w:val="0A2D5A"/>
          <w:sz w:val="32"/>
        </w:rPr>
        <w:t>ACKNOWLEDGEMENT</w:t>
      </w:r>
    </w:p>
    <w:p>
      <w:pPr>
        <w:spacing w:before="80" w:after="160" w:line="360" w:lineRule="auto"/>
        <w:jc w:val="both"/>
      </w:pPr>
      <w:r>
        <w:rPr>
          <w:rFonts w:ascii="Times New Roman" w:hAnsi="Times New Roman"/>
          <w:b w:val="0"/>
          <w:i w:val="0"/>
          <w:sz w:val="24"/>
        </w:rPr>
        <w:t>The satisfaction and euphoria that accompany the successful completion of any task would be incomplete without mentioning the people who made it possible, whose constant guidance and encouragement served as a beacon of light.</w:t>
      </w:r>
    </w:p>
    <w:p>
      <w:pPr>
        <w:spacing w:before="80" w:after="160" w:line="360" w:lineRule="auto"/>
        <w:jc w:val="both"/>
      </w:pPr>
      <w:r>
        <w:rPr>
          <w:rFonts w:ascii="Times New Roman" w:hAnsi="Times New Roman"/>
          <w:b w:val="0"/>
          <w:i w:val="0"/>
          <w:sz w:val="24"/>
        </w:rPr>
        <w:t>First and foremost, we express our profound gratitude to the Management of Kalpataru Vidya Samsthe (KVS), Tiptur, for providing excellent infrastructure and an inspiring academic atmosphere to undertake this project.</w:t>
      </w:r>
    </w:p>
    <w:p>
      <w:pPr>
        <w:spacing w:before="80" w:after="160" w:line="360" w:lineRule="auto"/>
        <w:jc w:val="both"/>
      </w:pPr>
      <w:r>
        <w:rPr>
          <w:rFonts w:ascii="Times New Roman" w:hAnsi="Times New Roman"/>
          <w:b w:val="0"/>
          <w:i w:val="0"/>
          <w:sz w:val="24"/>
        </w:rPr>
        <w:t>We express our deep gratitude and heartfelt respect to our Principal, Dr. Sateesh Kumar H C, Kalpataru Institute of Technology, Tiptur, for his constant support and encouragement throughout the course of our undergraduate study.</w:t>
      </w:r>
    </w:p>
    <w:p>
      <w:pPr>
        <w:spacing w:before="80" w:after="160" w:line="360" w:lineRule="auto"/>
        <w:jc w:val="both"/>
      </w:pPr>
      <w:r>
        <w:rPr>
          <w:rFonts w:ascii="Times New Roman" w:hAnsi="Times New Roman"/>
          <w:b w:val="0"/>
          <w:i w:val="0"/>
          <w:sz w:val="24"/>
        </w:rPr>
        <w:t>We are profoundly indebted to Dr. Maithri C, Professor &amp; Head, Department of Computer Science &amp; Engineering, for his valuable guidance, constant encouragement, and for providing the necessary laboratory facilities to carry out this work successfully.</w:t>
      </w:r>
    </w:p>
    <w:p>
      <w:pPr>
        <w:spacing w:before="80" w:after="160" w:line="360" w:lineRule="auto"/>
        <w:jc w:val="both"/>
      </w:pPr>
      <w:r>
        <w:rPr>
          <w:rFonts w:ascii="Times New Roman" w:hAnsi="Times New Roman"/>
          <w:b w:val="0"/>
          <w:i w:val="0"/>
          <w:sz w:val="24"/>
        </w:rPr>
        <w:t>We deem it a great privilege to express our sincere respect, deep sense of gratitude, and heartfelt thanks to our guide, Prof. AISHWARYA S, Assistant Professor, Department of Computer Science &amp; Engineering, for her invaluable guidance, constructive suggestions, inspiring discussions, and patient supervision throughout every stage of this project.</w:t>
      </w:r>
    </w:p>
    <w:p>
      <w:pPr>
        <w:spacing w:before="80" w:after="160" w:line="360" w:lineRule="auto"/>
        <w:jc w:val="both"/>
      </w:pPr>
      <w:r>
        <w:rPr>
          <w:rFonts w:ascii="Times New Roman" w:hAnsi="Times New Roman"/>
          <w:b w:val="0"/>
          <w:i w:val="0"/>
          <w:sz w:val="24"/>
        </w:rPr>
        <w:t>We also extend our sincere thanks to all the teaching and non-teaching faculty members of the Department of Computer Science &amp; Engineering for their cooperation, timely advice, and technical support.</w:t>
      </w:r>
    </w:p>
    <w:p>
      <w:pPr>
        <w:spacing w:before="80" w:after="160" w:line="360" w:lineRule="auto"/>
        <w:jc w:val="both"/>
      </w:pPr>
      <w:r>
        <w:rPr>
          <w:rFonts w:ascii="Times New Roman" w:hAnsi="Times New Roman"/>
          <w:b w:val="0"/>
          <w:i w:val="0"/>
          <w:sz w:val="24"/>
        </w:rPr>
        <w:t>Finally, we express our heartfelt love and indebtedness to our parents and family members for their unconditional support, sacrifices, and blessings, which have been our pillar of strength throughout our engineering education.</w:t>
      </w:r>
    </w:p>
    <w:p>
      <w:pPr>
        <w:spacing w:before="320" w:after="120" w:line="360" w:lineRule="auto"/>
        <w:jc w:val="both"/>
      </w:pPr>
    </w:p>
    <w:p>
      <w:pPr>
        <w:spacing w:before="120" w:after="240" w:line="360" w:lineRule="auto"/>
        <w:jc w:val="right"/>
      </w:pPr>
      <w:r>
        <w:rPr>
          <w:rFonts w:ascii="Times New Roman" w:hAnsi="Times New Roman"/>
          <w:b/>
          <w:i w:val="0"/>
          <w:sz w:val="22"/>
        </w:rPr>
        <w:t>KEERTHI A (1KT22CS000)</w:t>
        <w:br/>
        <w:t>RAKSHITH Y B (1KT22CS000)</w:t>
        <w:br/>
        <w:t>LOHITH R C (1KT22CS000)</w:t>
      </w:r>
    </w:p>
    <w:p>
      <w:r>
        <w:br w:type="page"/>
      </w:r>
    </w:p>
    <w:p>
      <w:pPr>
        <w:spacing w:before="0" w:after="280" w:line="360" w:lineRule="auto"/>
        <w:jc w:val="center"/>
      </w:pPr>
      <w:r>
        <w:rPr>
          <w:rFonts w:ascii="Times New Roman" w:hAnsi="Times New Roman"/>
          <w:b/>
          <w:i w:val="0"/>
          <w:color w:val="0A2D5A"/>
          <w:sz w:val="32"/>
        </w:rPr>
        <w:t>TABLE OF CONTENTS</w:t>
      </w:r>
    </w:p>
    <w:tbl>
      <w:tblPr>
        <w:tblW w:type="auto" w:w="0"/>
        <w:jc w:val="center"/>
        <w:tblLook w:firstColumn="1" w:firstRow="1" w:lastColumn="0" w:lastRow="0" w:noHBand="0" w:noVBand="1" w:val="04A0"/>
      </w:tblPr>
      <w:tblGrid>
        <w:gridCol w:w="4334"/>
        <w:gridCol w:w="4334"/>
      </w:tblGrid>
      <w:tr>
        <w:tc>
          <w:tcPr>
            <w:tcW w:type="dxa" w:w="4334"/>
          </w:tcPr>
          <w:p>
            <w:r>
              <w:rPr>
                <w:rFonts w:ascii="Times New Roman" w:hAnsi="Times New Roman"/>
                <w:b w:val="0"/>
                <w:sz w:val="21"/>
              </w:rPr>
              <w:t>Certificate</w:t>
            </w:r>
          </w:p>
        </w:tc>
        <w:tc>
          <w:tcPr>
            <w:tcW w:type="dxa" w:w="4334"/>
          </w:tcPr>
          <w:p>
            <w:pPr>
              <w:jc w:val="right"/>
            </w:pPr>
            <w:r>
              <w:rPr>
                <w:rFonts w:ascii="Times New Roman" w:hAnsi="Times New Roman"/>
                <w:b w:val="0"/>
                <w:sz w:val="21"/>
              </w:rPr>
              <w:t>ii</w:t>
            </w:r>
          </w:p>
        </w:tc>
      </w:tr>
      <w:tr>
        <w:tc>
          <w:tcPr>
            <w:tcW w:type="dxa" w:w="4334"/>
          </w:tcPr>
          <w:p>
            <w:r>
              <w:rPr>
                <w:rFonts w:ascii="Times New Roman" w:hAnsi="Times New Roman"/>
                <w:b w:val="0"/>
                <w:sz w:val="21"/>
              </w:rPr>
              <w:t>Declaration</w:t>
            </w:r>
          </w:p>
        </w:tc>
        <w:tc>
          <w:tcPr>
            <w:tcW w:type="dxa" w:w="4334"/>
          </w:tcPr>
          <w:p>
            <w:pPr>
              <w:jc w:val="right"/>
            </w:pPr>
            <w:r>
              <w:rPr>
                <w:rFonts w:ascii="Times New Roman" w:hAnsi="Times New Roman"/>
                <w:b w:val="0"/>
                <w:sz w:val="21"/>
              </w:rPr>
              <w:t>iii</w:t>
            </w:r>
          </w:p>
        </w:tc>
      </w:tr>
      <w:tr>
        <w:tc>
          <w:tcPr>
            <w:tcW w:type="dxa" w:w="4334"/>
          </w:tcPr>
          <w:p>
            <w:r>
              <w:rPr>
                <w:rFonts w:ascii="Times New Roman" w:hAnsi="Times New Roman"/>
                <w:b w:val="0"/>
                <w:sz w:val="21"/>
              </w:rPr>
              <w:t>Abstract</w:t>
            </w:r>
          </w:p>
        </w:tc>
        <w:tc>
          <w:tcPr>
            <w:tcW w:type="dxa" w:w="4334"/>
          </w:tcPr>
          <w:p>
            <w:pPr>
              <w:jc w:val="right"/>
            </w:pPr>
            <w:r>
              <w:rPr>
                <w:rFonts w:ascii="Times New Roman" w:hAnsi="Times New Roman"/>
                <w:b w:val="0"/>
                <w:sz w:val="21"/>
              </w:rPr>
              <w:t>iv</w:t>
            </w:r>
          </w:p>
        </w:tc>
      </w:tr>
      <w:tr>
        <w:tc>
          <w:tcPr>
            <w:tcW w:type="dxa" w:w="4334"/>
          </w:tcPr>
          <w:p>
            <w:r>
              <w:rPr>
                <w:rFonts w:ascii="Times New Roman" w:hAnsi="Times New Roman"/>
                <w:b w:val="0"/>
                <w:sz w:val="21"/>
              </w:rPr>
              <w:t>Acknowledgement</w:t>
            </w:r>
          </w:p>
        </w:tc>
        <w:tc>
          <w:tcPr>
            <w:tcW w:type="dxa" w:w="4334"/>
          </w:tcPr>
          <w:p>
            <w:pPr>
              <w:jc w:val="right"/>
            </w:pPr>
            <w:r>
              <w:rPr>
                <w:rFonts w:ascii="Times New Roman" w:hAnsi="Times New Roman"/>
                <w:b w:val="0"/>
                <w:sz w:val="21"/>
              </w:rPr>
              <w:t>v</w:t>
            </w:r>
          </w:p>
        </w:tc>
      </w:tr>
      <w:tr>
        <w:tc>
          <w:tcPr>
            <w:tcW w:type="dxa" w:w="4334"/>
          </w:tcPr>
          <w:p>
            <w:r>
              <w:rPr>
                <w:rFonts w:ascii="Times New Roman" w:hAnsi="Times New Roman"/>
                <w:b w:val="0"/>
                <w:sz w:val="21"/>
              </w:rPr>
              <w:t>Table of Contents</w:t>
            </w:r>
          </w:p>
        </w:tc>
        <w:tc>
          <w:tcPr>
            <w:tcW w:type="dxa" w:w="4334"/>
          </w:tcPr>
          <w:p>
            <w:pPr>
              <w:jc w:val="right"/>
            </w:pPr>
            <w:r>
              <w:rPr>
                <w:rFonts w:ascii="Times New Roman" w:hAnsi="Times New Roman"/>
                <w:b w:val="0"/>
                <w:sz w:val="21"/>
              </w:rPr>
              <w:t>vi</w:t>
            </w:r>
          </w:p>
        </w:tc>
      </w:tr>
      <w:tr>
        <w:tc>
          <w:tcPr>
            <w:tcW w:type="dxa" w:w="4334"/>
          </w:tcPr>
          <w:p>
            <w:r>
              <w:rPr>
                <w:rFonts w:ascii="Times New Roman" w:hAnsi="Times New Roman"/>
                <w:b w:val="0"/>
                <w:sz w:val="21"/>
              </w:rPr>
              <w:t>List of Figures</w:t>
            </w:r>
          </w:p>
        </w:tc>
        <w:tc>
          <w:tcPr>
            <w:tcW w:type="dxa" w:w="4334"/>
          </w:tcPr>
          <w:p>
            <w:pPr>
              <w:jc w:val="right"/>
            </w:pPr>
            <w:r>
              <w:rPr>
                <w:rFonts w:ascii="Times New Roman" w:hAnsi="Times New Roman"/>
                <w:b w:val="0"/>
                <w:sz w:val="21"/>
              </w:rPr>
              <w:t>viii</w:t>
            </w:r>
          </w:p>
        </w:tc>
      </w:tr>
      <w:tr>
        <w:tc>
          <w:tcPr>
            <w:tcW w:type="dxa" w:w="4334"/>
          </w:tcPr>
          <w:p>
            <w:r>
              <w:rPr>
                <w:rFonts w:ascii="Times New Roman" w:hAnsi="Times New Roman"/>
                <w:b w:val="0"/>
                <w:sz w:val="21"/>
              </w:rPr>
              <w:t>List of Tables</w:t>
            </w:r>
          </w:p>
        </w:tc>
        <w:tc>
          <w:tcPr>
            <w:tcW w:type="dxa" w:w="4334"/>
          </w:tcPr>
          <w:p>
            <w:pPr>
              <w:jc w:val="right"/>
            </w:pPr>
            <w:r>
              <w:rPr>
                <w:rFonts w:ascii="Times New Roman" w:hAnsi="Times New Roman"/>
                <w:b w:val="0"/>
                <w:sz w:val="21"/>
              </w:rPr>
              <w:t>x</w:t>
            </w:r>
          </w:p>
        </w:tc>
      </w:tr>
      <w:tr>
        <w:tc>
          <w:tcPr>
            <w:tcW w:type="dxa" w:w="4334"/>
          </w:tcPr>
          <w:p>
            <w:r>
              <w:rPr>
                <w:rFonts w:ascii="Times New Roman" w:hAnsi="Times New Roman"/>
                <w:b w:val="0"/>
                <w:sz w:val="21"/>
              </w:rPr>
              <w:t>List of Abbreviations</w:t>
            </w:r>
          </w:p>
        </w:tc>
        <w:tc>
          <w:tcPr>
            <w:tcW w:type="dxa" w:w="4334"/>
          </w:tcPr>
          <w:p>
            <w:pPr>
              <w:jc w:val="right"/>
            </w:pPr>
            <w:r>
              <w:rPr>
                <w:rFonts w:ascii="Times New Roman" w:hAnsi="Times New Roman"/>
                <w:b w:val="0"/>
                <w:sz w:val="21"/>
              </w:rPr>
              <w:t>xii</w:t>
            </w:r>
          </w:p>
        </w:tc>
      </w:tr>
      <w:tr>
        <w:tc>
          <w:tcPr>
            <w:tcW w:type="dxa" w:w="4334"/>
          </w:tcPr>
          <w:p>
            <w:r>
              <w:rPr>
                <w:rFonts w:ascii="Times New Roman" w:hAnsi="Times New Roman"/>
                <w:b/>
                <w:sz w:val="21"/>
              </w:rPr>
              <w:t>CHAPTER 1: INTRODUCTION</w:t>
            </w:r>
          </w:p>
        </w:tc>
        <w:tc>
          <w:tcPr>
            <w:tcW w:type="dxa" w:w="4334"/>
          </w:tcPr>
          <w:p>
            <w:pPr>
              <w:jc w:val="right"/>
            </w:pPr>
            <w:r>
              <w:rPr>
                <w:rFonts w:ascii="Times New Roman" w:hAnsi="Times New Roman"/>
                <w:b/>
                <w:sz w:val="21"/>
              </w:rPr>
              <w:t>1</w:t>
            </w:r>
          </w:p>
        </w:tc>
      </w:tr>
      <w:tr>
        <w:tc>
          <w:tcPr>
            <w:tcW w:type="dxa" w:w="4334"/>
          </w:tcPr>
          <w:p>
            <w:r>
              <w:rPr>
                <w:rFonts w:ascii="Times New Roman" w:hAnsi="Times New Roman"/>
                <w:b w:val="0"/>
                <w:sz w:val="21"/>
              </w:rPr>
              <w:t xml:space="preserve">    1.1 Overview and Clinical Imperative</w:t>
            </w:r>
          </w:p>
        </w:tc>
        <w:tc>
          <w:tcPr>
            <w:tcW w:type="dxa" w:w="4334"/>
          </w:tcPr>
          <w:p>
            <w:pPr>
              <w:jc w:val="right"/>
            </w:pPr>
            <w:r>
              <w:rPr>
                <w:rFonts w:ascii="Times New Roman" w:hAnsi="Times New Roman"/>
                <w:b w:val="0"/>
                <w:sz w:val="21"/>
              </w:rPr>
              <w:t>1</w:t>
            </w:r>
          </w:p>
        </w:tc>
      </w:tr>
      <w:tr>
        <w:tc>
          <w:tcPr>
            <w:tcW w:type="dxa" w:w="4334"/>
          </w:tcPr>
          <w:p>
            <w:r>
              <w:rPr>
                <w:rFonts w:ascii="Times New Roman" w:hAnsi="Times New Roman"/>
                <w:b w:val="0"/>
                <w:sz w:val="21"/>
              </w:rPr>
              <w:t xml:space="preserve">    1.2 Pathogenesis and Etiology of Oral Neoplasms</w:t>
            </w:r>
          </w:p>
        </w:tc>
        <w:tc>
          <w:tcPr>
            <w:tcW w:type="dxa" w:w="4334"/>
          </w:tcPr>
          <w:p>
            <w:pPr>
              <w:jc w:val="right"/>
            </w:pPr>
            <w:r>
              <w:rPr>
                <w:rFonts w:ascii="Times New Roman" w:hAnsi="Times New Roman"/>
                <w:b w:val="0"/>
                <w:sz w:val="21"/>
              </w:rPr>
              <w:t>3</w:t>
            </w:r>
          </w:p>
        </w:tc>
      </w:tr>
      <w:tr>
        <w:tc>
          <w:tcPr>
            <w:tcW w:type="dxa" w:w="4334"/>
          </w:tcPr>
          <w:p>
            <w:r>
              <w:rPr>
                <w:rFonts w:ascii="Times New Roman" w:hAnsi="Times New Roman"/>
                <w:b w:val="0"/>
                <w:sz w:val="21"/>
              </w:rPr>
              <w:t xml:space="preserve">    1.3 Conventional Screening Modalities and Diagnostic Delays</w:t>
            </w:r>
          </w:p>
        </w:tc>
        <w:tc>
          <w:tcPr>
            <w:tcW w:type="dxa" w:w="4334"/>
          </w:tcPr>
          <w:p>
            <w:pPr>
              <w:jc w:val="right"/>
            </w:pPr>
            <w:r>
              <w:rPr>
                <w:rFonts w:ascii="Times New Roman" w:hAnsi="Times New Roman"/>
                <w:b w:val="0"/>
                <w:sz w:val="21"/>
              </w:rPr>
              <w:t>4</w:t>
            </w:r>
          </w:p>
        </w:tc>
      </w:tr>
      <w:tr>
        <w:tc>
          <w:tcPr>
            <w:tcW w:type="dxa" w:w="4334"/>
          </w:tcPr>
          <w:p>
            <w:r>
              <w:rPr>
                <w:rFonts w:ascii="Times New Roman" w:hAnsi="Times New Roman"/>
                <w:b w:val="0"/>
                <w:sz w:val="21"/>
              </w:rPr>
              <w:t xml:space="preserve">    1.4 Problem Statement</w:t>
            </w:r>
          </w:p>
        </w:tc>
        <w:tc>
          <w:tcPr>
            <w:tcW w:type="dxa" w:w="4334"/>
          </w:tcPr>
          <w:p>
            <w:pPr>
              <w:jc w:val="right"/>
            </w:pPr>
            <w:r>
              <w:rPr>
                <w:rFonts w:ascii="Times New Roman" w:hAnsi="Times New Roman"/>
                <w:b w:val="0"/>
                <w:sz w:val="21"/>
              </w:rPr>
              <w:t>5</w:t>
            </w:r>
          </w:p>
        </w:tc>
      </w:tr>
      <w:tr>
        <w:tc>
          <w:tcPr>
            <w:tcW w:type="dxa" w:w="4334"/>
          </w:tcPr>
          <w:p>
            <w:r>
              <w:rPr>
                <w:rFonts w:ascii="Times New Roman" w:hAnsi="Times New Roman"/>
                <w:b w:val="0"/>
                <w:sz w:val="21"/>
              </w:rPr>
              <w:t xml:space="preserve">    1.5 Objectives of the Project (O1 to O8)</w:t>
            </w:r>
          </w:p>
        </w:tc>
        <w:tc>
          <w:tcPr>
            <w:tcW w:type="dxa" w:w="4334"/>
          </w:tcPr>
          <w:p>
            <w:pPr>
              <w:jc w:val="right"/>
            </w:pPr>
            <w:r>
              <w:rPr>
                <w:rFonts w:ascii="Times New Roman" w:hAnsi="Times New Roman"/>
                <w:b w:val="0"/>
                <w:sz w:val="21"/>
              </w:rPr>
              <w:t>6</w:t>
            </w:r>
          </w:p>
        </w:tc>
      </w:tr>
      <w:tr>
        <w:tc>
          <w:tcPr>
            <w:tcW w:type="dxa" w:w="4334"/>
          </w:tcPr>
          <w:p>
            <w:r>
              <w:rPr>
                <w:rFonts w:ascii="Times New Roman" w:hAnsi="Times New Roman"/>
                <w:b w:val="0"/>
                <w:sz w:val="21"/>
              </w:rPr>
              <w:t xml:space="preserve">    1.6 Scope and Technical Delimitations</w:t>
            </w:r>
          </w:p>
        </w:tc>
        <w:tc>
          <w:tcPr>
            <w:tcW w:type="dxa" w:w="4334"/>
          </w:tcPr>
          <w:p>
            <w:pPr>
              <w:jc w:val="right"/>
            </w:pPr>
            <w:r>
              <w:rPr>
                <w:rFonts w:ascii="Times New Roman" w:hAnsi="Times New Roman"/>
                <w:b w:val="0"/>
                <w:sz w:val="21"/>
              </w:rPr>
              <w:t>7</w:t>
            </w:r>
          </w:p>
        </w:tc>
      </w:tr>
      <w:tr>
        <w:tc>
          <w:tcPr>
            <w:tcW w:type="dxa" w:w="4334"/>
          </w:tcPr>
          <w:p>
            <w:r>
              <w:rPr>
                <w:rFonts w:ascii="Times New Roman" w:hAnsi="Times New Roman"/>
                <w:b w:val="0"/>
                <w:sz w:val="21"/>
              </w:rPr>
              <w:t xml:space="preserve">    1.7 Organization of the Report</w:t>
            </w:r>
          </w:p>
        </w:tc>
        <w:tc>
          <w:tcPr>
            <w:tcW w:type="dxa" w:w="4334"/>
          </w:tcPr>
          <w:p>
            <w:pPr>
              <w:jc w:val="right"/>
            </w:pPr>
            <w:r>
              <w:rPr>
                <w:rFonts w:ascii="Times New Roman" w:hAnsi="Times New Roman"/>
                <w:b w:val="0"/>
                <w:sz w:val="21"/>
              </w:rPr>
              <w:t>8</w:t>
            </w:r>
          </w:p>
        </w:tc>
      </w:tr>
      <w:tr>
        <w:tc>
          <w:tcPr>
            <w:tcW w:type="dxa" w:w="4334"/>
          </w:tcPr>
          <w:p>
            <w:r>
              <w:rPr>
                <w:rFonts w:ascii="Times New Roman" w:hAnsi="Times New Roman"/>
                <w:b/>
                <w:sz w:val="21"/>
              </w:rPr>
              <w:t>CHAPTER 2: LITERATURE SURVEY</w:t>
            </w:r>
          </w:p>
        </w:tc>
        <w:tc>
          <w:tcPr>
            <w:tcW w:type="dxa" w:w="4334"/>
          </w:tcPr>
          <w:p>
            <w:pPr>
              <w:jc w:val="right"/>
            </w:pPr>
            <w:r>
              <w:rPr>
                <w:rFonts w:ascii="Times New Roman" w:hAnsi="Times New Roman"/>
                <w:b/>
                <w:sz w:val="21"/>
              </w:rPr>
              <w:t>9</w:t>
            </w:r>
          </w:p>
        </w:tc>
      </w:tr>
      <w:tr>
        <w:tc>
          <w:tcPr>
            <w:tcW w:type="dxa" w:w="4334"/>
          </w:tcPr>
          <w:p>
            <w:r>
              <w:rPr>
                <w:rFonts w:ascii="Times New Roman" w:hAnsi="Times New Roman"/>
                <w:b w:val="0"/>
                <w:sz w:val="21"/>
              </w:rPr>
              <w:t xml:space="preserve">    2.1 Introduction</w:t>
            </w:r>
          </w:p>
        </w:tc>
        <w:tc>
          <w:tcPr>
            <w:tcW w:type="dxa" w:w="4334"/>
          </w:tcPr>
          <w:p>
            <w:pPr>
              <w:jc w:val="right"/>
            </w:pPr>
            <w:r>
              <w:rPr>
                <w:rFonts w:ascii="Times New Roman" w:hAnsi="Times New Roman"/>
                <w:b w:val="0"/>
                <w:sz w:val="21"/>
              </w:rPr>
              <w:t>9</w:t>
            </w:r>
          </w:p>
        </w:tc>
      </w:tr>
      <w:tr>
        <w:tc>
          <w:tcPr>
            <w:tcW w:type="dxa" w:w="4334"/>
          </w:tcPr>
          <w:p>
            <w:r>
              <w:rPr>
                <w:rFonts w:ascii="Times New Roman" w:hAnsi="Times New Roman"/>
                <w:b w:val="0"/>
                <w:sz w:val="21"/>
              </w:rPr>
              <w:t xml:space="preserve">    2.2 Historical Evolution of CAD in Oral Pathology</w:t>
            </w:r>
          </w:p>
        </w:tc>
        <w:tc>
          <w:tcPr>
            <w:tcW w:type="dxa" w:w="4334"/>
          </w:tcPr>
          <w:p>
            <w:pPr>
              <w:jc w:val="right"/>
            </w:pPr>
            <w:r>
              <w:rPr>
                <w:rFonts w:ascii="Times New Roman" w:hAnsi="Times New Roman"/>
                <w:b w:val="0"/>
                <w:sz w:val="21"/>
              </w:rPr>
              <w:t>9</w:t>
            </w:r>
          </w:p>
        </w:tc>
      </w:tr>
      <w:tr>
        <w:tc>
          <w:tcPr>
            <w:tcW w:type="dxa" w:w="4334"/>
          </w:tcPr>
          <w:p>
            <w:r>
              <w:rPr>
                <w:rFonts w:ascii="Times New Roman" w:hAnsi="Times New Roman"/>
                <w:b w:val="0"/>
                <w:sz w:val="21"/>
              </w:rPr>
              <w:t xml:space="preserve">    2.3 Deep Learning and CNN Architectures in Oral Oncology</w:t>
            </w:r>
          </w:p>
        </w:tc>
        <w:tc>
          <w:tcPr>
            <w:tcW w:type="dxa" w:w="4334"/>
          </w:tcPr>
          <w:p>
            <w:pPr>
              <w:jc w:val="right"/>
            </w:pPr>
            <w:r>
              <w:rPr>
                <w:rFonts w:ascii="Times New Roman" w:hAnsi="Times New Roman"/>
                <w:b w:val="0"/>
                <w:sz w:val="21"/>
              </w:rPr>
              <w:t>11</w:t>
            </w:r>
          </w:p>
        </w:tc>
      </w:tr>
      <w:tr>
        <w:tc>
          <w:tcPr>
            <w:tcW w:type="dxa" w:w="4334"/>
          </w:tcPr>
          <w:p>
            <w:r>
              <w:rPr>
                <w:rFonts w:ascii="Times New Roman" w:hAnsi="Times New Roman"/>
                <w:b w:val="0"/>
                <w:sz w:val="21"/>
              </w:rPr>
              <w:t xml:space="preserve">    2.4 Epistemic Uncertainty and Bayesian Deep Learning</w:t>
            </w:r>
          </w:p>
        </w:tc>
        <w:tc>
          <w:tcPr>
            <w:tcW w:type="dxa" w:w="4334"/>
          </w:tcPr>
          <w:p>
            <w:pPr>
              <w:jc w:val="right"/>
            </w:pPr>
            <w:r>
              <w:rPr>
                <w:rFonts w:ascii="Times New Roman" w:hAnsi="Times New Roman"/>
                <w:b w:val="0"/>
                <w:sz w:val="21"/>
              </w:rPr>
              <w:t>13</w:t>
            </w:r>
          </w:p>
        </w:tc>
      </w:tr>
      <w:tr>
        <w:tc>
          <w:tcPr>
            <w:tcW w:type="dxa" w:w="4334"/>
          </w:tcPr>
          <w:p>
            <w:r>
              <w:rPr>
                <w:rFonts w:ascii="Times New Roman" w:hAnsi="Times New Roman"/>
                <w:b w:val="0"/>
                <w:sz w:val="21"/>
              </w:rPr>
              <w:t xml:space="preserve">    2.5 Explainable Artificial Intelligence (XAI) in Oncology</w:t>
            </w:r>
          </w:p>
        </w:tc>
        <w:tc>
          <w:tcPr>
            <w:tcW w:type="dxa" w:w="4334"/>
          </w:tcPr>
          <w:p>
            <w:pPr>
              <w:jc w:val="right"/>
            </w:pPr>
            <w:r>
              <w:rPr>
                <w:rFonts w:ascii="Times New Roman" w:hAnsi="Times New Roman"/>
                <w:b w:val="0"/>
                <w:sz w:val="21"/>
              </w:rPr>
              <w:t>15</w:t>
            </w:r>
          </w:p>
        </w:tc>
      </w:tr>
      <w:tr>
        <w:tc>
          <w:tcPr>
            <w:tcW w:type="dxa" w:w="4334"/>
          </w:tcPr>
          <w:p>
            <w:r>
              <w:rPr>
                <w:rFonts w:ascii="Times New Roman" w:hAnsi="Times New Roman"/>
                <w:b w:val="0"/>
                <w:sz w:val="21"/>
              </w:rPr>
              <w:t xml:space="preserve">    2.6 Multimodal Data Fusion and Predictive Standards (TRIPOD+AI)</w:t>
            </w:r>
          </w:p>
        </w:tc>
        <w:tc>
          <w:tcPr>
            <w:tcW w:type="dxa" w:w="4334"/>
          </w:tcPr>
          <w:p>
            <w:pPr>
              <w:jc w:val="right"/>
            </w:pPr>
            <w:r>
              <w:rPr>
                <w:rFonts w:ascii="Times New Roman" w:hAnsi="Times New Roman"/>
                <w:b w:val="0"/>
                <w:sz w:val="21"/>
              </w:rPr>
              <w:t>16</w:t>
            </w:r>
          </w:p>
        </w:tc>
      </w:tr>
      <w:tr>
        <w:tc>
          <w:tcPr>
            <w:tcW w:type="dxa" w:w="4334"/>
          </w:tcPr>
          <w:p>
            <w:r>
              <w:rPr>
                <w:rFonts w:ascii="Times New Roman" w:hAnsi="Times New Roman"/>
                <w:b w:val="0"/>
                <w:sz w:val="21"/>
              </w:rPr>
              <w:t xml:space="preserve">    2.7 Comparative Synthesis Matrix of Landmark Works (2014-2026)</w:t>
            </w:r>
          </w:p>
        </w:tc>
        <w:tc>
          <w:tcPr>
            <w:tcW w:type="dxa" w:w="4334"/>
          </w:tcPr>
          <w:p>
            <w:pPr>
              <w:jc w:val="right"/>
            </w:pPr>
            <w:r>
              <w:rPr>
                <w:rFonts w:ascii="Times New Roman" w:hAnsi="Times New Roman"/>
                <w:b w:val="0"/>
                <w:sz w:val="21"/>
              </w:rPr>
              <w:t>18</w:t>
            </w:r>
          </w:p>
        </w:tc>
      </w:tr>
      <w:tr>
        <w:tc>
          <w:tcPr>
            <w:tcW w:type="dxa" w:w="4334"/>
          </w:tcPr>
          <w:p>
            <w:r>
              <w:rPr>
                <w:rFonts w:ascii="Times New Roman" w:hAnsi="Times New Roman"/>
                <w:b w:val="0"/>
                <w:sz w:val="21"/>
              </w:rPr>
              <w:t xml:space="preserve">    2.8 Critical Identification of Research Gaps</w:t>
            </w:r>
          </w:p>
        </w:tc>
        <w:tc>
          <w:tcPr>
            <w:tcW w:type="dxa" w:w="4334"/>
          </w:tcPr>
          <w:p>
            <w:pPr>
              <w:jc w:val="right"/>
            </w:pPr>
            <w:r>
              <w:rPr>
                <w:rFonts w:ascii="Times New Roman" w:hAnsi="Times New Roman"/>
                <w:b w:val="0"/>
                <w:sz w:val="21"/>
              </w:rPr>
              <w:t>20</w:t>
            </w:r>
          </w:p>
        </w:tc>
      </w:tr>
      <w:tr>
        <w:tc>
          <w:tcPr>
            <w:tcW w:type="dxa" w:w="4334"/>
          </w:tcPr>
          <w:p>
            <w:r>
              <w:rPr>
                <w:rFonts w:ascii="Times New Roman" w:hAnsi="Times New Roman"/>
                <w:b/>
                <w:sz w:val="21"/>
              </w:rPr>
              <w:t>CHAPTER 3: REQUIREMENT ENGINEERING (SRS)</w:t>
            </w:r>
          </w:p>
        </w:tc>
        <w:tc>
          <w:tcPr>
            <w:tcW w:type="dxa" w:w="4334"/>
          </w:tcPr>
          <w:p>
            <w:pPr>
              <w:jc w:val="right"/>
            </w:pPr>
            <w:r>
              <w:rPr>
                <w:rFonts w:ascii="Times New Roman" w:hAnsi="Times New Roman"/>
                <w:b/>
                <w:sz w:val="21"/>
              </w:rPr>
              <w:t>22</w:t>
            </w:r>
          </w:p>
        </w:tc>
      </w:tr>
      <w:tr>
        <w:tc>
          <w:tcPr>
            <w:tcW w:type="dxa" w:w="4334"/>
          </w:tcPr>
          <w:p>
            <w:r>
              <w:rPr>
                <w:rFonts w:ascii="Times New Roman" w:hAnsi="Times New Roman"/>
                <w:b w:val="0"/>
                <w:sz w:val="21"/>
              </w:rPr>
              <w:t xml:space="preserve">    3.1 Overview and IEEE 830-1998 Standard Compliance</w:t>
            </w:r>
          </w:p>
        </w:tc>
        <w:tc>
          <w:tcPr>
            <w:tcW w:type="dxa" w:w="4334"/>
          </w:tcPr>
          <w:p>
            <w:pPr>
              <w:jc w:val="right"/>
            </w:pPr>
            <w:r>
              <w:rPr>
                <w:rFonts w:ascii="Times New Roman" w:hAnsi="Times New Roman"/>
                <w:b w:val="0"/>
                <w:sz w:val="21"/>
              </w:rPr>
              <w:t>22</w:t>
            </w:r>
          </w:p>
        </w:tc>
      </w:tr>
      <w:tr>
        <w:tc>
          <w:tcPr>
            <w:tcW w:type="dxa" w:w="4334"/>
          </w:tcPr>
          <w:p>
            <w:r>
              <w:rPr>
                <w:rFonts w:ascii="Times New Roman" w:hAnsi="Times New Roman"/>
                <w:b w:val="0"/>
                <w:sz w:val="21"/>
              </w:rPr>
              <w:t xml:space="preserve">    3.2 Stakeholder Analysis and User Personas</w:t>
            </w:r>
          </w:p>
        </w:tc>
        <w:tc>
          <w:tcPr>
            <w:tcW w:type="dxa" w:w="4334"/>
          </w:tcPr>
          <w:p>
            <w:pPr>
              <w:jc w:val="right"/>
            </w:pPr>
            <w:r>
              <w:rPr>
                <w:rFonts w:ascii="Times New Roman" w:hAnsi="Times New Roman"/>
                <w:b w:val="0"/>
                <w:sz w:val="21"/>
              </w:rPr>
              <w:t>22</w:t>
            </w:r>
          </w:p>
        </w:tc>
      </w:tr>
      <w:tr>
        <w:tc>
          <w:tcPr>
            <w:tcW w:type="dxa" w:w="4334"/>
          </w:tcPr>
          <w:p>
            <w:r>
              <w:rPr>
                <w:rFonts w:ascii="Times New Roman" w:hAnsi="Times New Roman"/>
                <w:b w:val="0"/>
                <w:sz w:val="21"/>
              </w:rPr>
              <w:t xml:space="preserve">    3.3 Functional Requirements Specification (FR-01 to FR-15)</w:t>
            </w:r>
          </w:p>
        </w:tc>
        <w:tc>
          <w:tcPr>
            <w:tcW w:type="dxa" w:w="4334"/>
          </w:tcPr>
          <w:p>
            <w:pPr>
              <w:jc w:val="right"/>
            </w:pPr>
            <w:r>
              <w:rPr>
                <w:rFonts w:ascii="Times New Roman" w:hAnsi="Times New Roman"/>
                <w:b w:val="0"/>
                <w:sz w:val="21"/>
              </w:rPr>
              <w:t>24</w:t>
            </w:r>
          </w:p>
        </w:tc>
      </w:tr>
      <w:tr>
        <w:tc>
          <w:tcPr>
            <w:tcW w:type="dxa" w:w="4334"/>
          </w:tcPr>
          <w:p>
            <w:r>
              <w:rPr>
                <w:rFonts w:ascii="Times New Roman" w:hAnsi="Times New Roman"/>
                <w:b w:val="0"/>
                <w:sz w:val="21"/>
              </w:rPr>
              <w:t xml:space="preserve">    3.4 Non-Functional Requirements Specification (NFR-01 to NFR-10)</w:t>
            </w:r>
          </w:p>
        </w:tc>
        <w:tc>
          <w:tcPr>
            <w:tcW w:type="dxa" w:w="4334"/>
          </w:tcPr>
          <w:p>
            <w:pPr>
              <w:jc w:val="right"/>
            </w:pPr>
            <w:r>
              <w:rPr>
                <w:rFonts w:ascii="Times New Roman" w:hAnsi="Times New Roman"/>
                <w:b w:val="0"/>
                <w:sz w:val="21"/>
              </w:rPr>
              <w:t>27</w:t>
            </w:r>
          </w:p>
        </w:tc>
      </w:tr>
      <w:tr>
        <w:tc>
          <w:tcPr>
            <w:tcW w:type="dxa" w:w="4334"/>
          </w:tcPr>
          <w:p>
            <w:r>
              <w:rPr>
                <w:rFonts w:ascii="Times New Roman" w:hAnsi="Times New Roman"/>
                <w:b w:val="0"/>
                <w:sz w:val="21"/>
              </w:rPr>
              <w:t xml:space="preserve">    3.5 Hardware and Software Tool Specifications</w:t>
            </w:r>
          </w:p>
        </w:tc>
        <w:tc>
          <w:tcPr>
            <w:tcW w:type="dxa" w:w="4334"/>
          </w:tcPr>
          <w:p>
            <w:pPr>
              <w:jc w:val="right"/>
            </w:pPr>
            <w:r>
              <w:rPr>
                <w:rFonts w:ascii="Times New Roman" w:hAnsi="Times New Roman"/>
                <w:b w:val="0"/>
                <w:sz w:val="21"/>
              </w:rPr>
              <w:t>29</w:t>
            </w:r>
          </w:p>
        </w:tc>
      </w:tr>
      <w:tr>
        <w:tc>
          <w:tcPr>
            <w:tcW w:type="dxa" w:w="4334"/>
          </w:tcPr>
          <w:p>
            <w:r>
              <w:rPr>
                <w:rFonts w:ascii="Times New Roman" w:hAnsi="Times New Roman"/>
                <w:b w:val="0"/>
                <w:sz w:val="21"/>
              </w:rPr>
              <w:t xml:space="preserve">    3.6 Conceptual Analysis and Formal UML Modeling</w:t>
            </w:r>
          </w:p>
        </w:tc>
        <w:tc>
          <w:tcPr>
            <w:tcW w:type="dxa" w:w="4334"/>
          </w:tcPr>
          <w:p>
            <w:pPr>
              <w:jc w:val="right"/>
            </w:pPr>
            <w:r>
              <w:rPr>
                <w:rFonts w:ascii="Times New Roman" w:hAnsi="Times New Roman"/>
                <w:b w:val="0"/>
                <w:sz w:val="21"/>
              </w:rPr>
              <w:t>31</w:t>
            </w:r>
          </w:p>
        </w:tc>
      </w:tr>
      <w:tr>
        <w:tc>
          <w:tcPr>
            <w:tcW w:type="dxa" w:w="4334"/>
          </w:tcPr>
          <w:p>
            <w:r>
              <w:rPr>
                <w:rFonts w:ascii="Times New Roman" w:hAnsi="Times New Roman"/>
                <w:b w:val="0"/>
                <w:sz w:val="21"/>
              </w:rPr>
              <w:t xml:space="preserve">        3.6.1 UML Use Case Diagram and Actor Analysis</w:t>
            </w:r>
          </w:p>
        </w:tc>
        <w:tc>
          <w:tcPr>
            <w:tcW w:type="dxa" w:w="4334"/>
          </w:tcPr>
          <w:p>
            <w:pPr>
              <w:jc w:val="right"/>
            </w:pPr>
            <w:r>
              <w:rPr>
                <w:rFonts w:ascii="Times New Roman" w:hAnsi="Times New Roman"/>
                <w:b w:val="0"/>
                <w:sz w:val="21"/>
              </w:rPr>
              <w:t>31</w:t>
            </w:r>
          </w:p>
        </w:tc>
      </w:tr>
      <w:tr>
        <w:tc>
          <w:tcPr>
            <w:tcW w:type="dxa" w:w="4334"/>
          </w:tcPr>
          <w:p>
            <w:r>
              <w:rPr>
                <w:rFonts w:ascii="Times New Roman" w:hAnsi="Times New Roman"/>
                <w:b w:val="0"/>
                <w:sz w:val="21"/>
              </w:rPr>
              <w:t xml:space="preserve">        3.6.2 Detailed Use Case Specification Narratives</w:t>
            </w:r>
          </w:p>
        </w:tc>
        <w:tc>
          <w:tcPr>
            <w:tcW w:type="dxa" w:w="4334"/>
          </w:tcPr>
          <w:p>
            <w:pPr>
              <w:jc w:val="right"/>
            </w:pPr>
            <w:r>
              <w:rPr>
                <w:rFonts w:ascii="Times New Roman" w:hAnsi="Times New Roman"/>
                <w:b w:val="0"/>
                <w:sz w:val="21"/>
              </w:rPr>
              <w:t>32</w:t>
            </w:r>
          </w:p>
        </w:tc>
      </w:tr>
      <w:tr>
        <w:tc>
          <w:tcPr>
            <w:tcW w:type="dxa" w:w="4334"/>
          </w:tcPr>
          <w:p>
            <w:r>
              <w:rPr>
                <w:rFonts w:ascii="Times New Roman" w:hAnsi="Times New Roman"/>
                <w:b w:val="0"/>
                <w:sz w:val="21"/>
              </w:rPr>
              <w:t xml:space="preserve">        3.6.3 UML Activity Diagram for Clinical Triage Workflow</w:t>
            </w:r>
          </w:p>
        </w:tc>
        <w:tc>
          <w:tcPr>
            <w:tcW w:type="dxa" w:w="4334"/>
          </w:tcPr>
          <w:p>
            <w:pPr>
              <w:jc w:val="right"/>
            </w:pPr>
            <w:r>
              <w:rPr>
                <w:rFonts w:ascii="Times New Roman" w:hAnsi="Times New Roman"/>
                <w:b w:val="0"/>
                <w:sz w:val="21"/>
              </w:rPr>
              <w:t>34</w:t>
            </w:r>
          </w:p>
        </w:tc>
      </w:tr>
      <w:tr>
        <w:tc>
          <w:tcPr>
            <w:tcW w:type="dxa" w:w="4334"/>
          </w:tcPr>
          <w:p>
            <w:r>
              <w:rPr>
                <w:rFonts w:ascii="Times New Roman" w:hAnsi="Times New Roman"/>
                <w:b w:val="0"/>
                <w:sz w:val="21"/>
              </w:rPr>
              <w:t xml:space="preserve">    3.7 Clinical Data Governance and Regulatory Compliance (HIPAA/FHIR)</w:t>
            </w:r>
          </w:p>
        </w:tc>
        <w:tc>
          <w:tcPr>
            <w:tcW w:type="dxa" w:w="4334"/>
          </w:tcPr>
          <w:p>
            <w:pPr>
              <w:jc w:val="right"/>
            </w:pPr>
            <w:r>
              <w:rPr>
                <w:rFonts w:ascii="Times New Roman" w:hAnsi="Times New Roman"/>
                <w:b w:val="0"/>
                <w:sz w:val="21"/>
              </w:rPr>
              <w:t>35</w:t>
            </w:r>
          </w:p>
        </w:tc>
      </w:tr>
      <w:tr>
        <w:tc>
          <w:tcPr>
            <w:tcW w:type="dxa" w:w="4334"/>
          </w:tcPr>
          <w:p>
            <w:r>
              <w:rPr>
                <w:rFonts w:ascii="Times New Roman" w:hAnsi="Times New Roman"/>
                <w:b/>
                <w:sz w:val="21"/>
              </w:rPr>
              <w:t>CHAPTER 4: PROJECT PLANNING</w:t>
            </w:r>
          </w:p>
        </w:tc>
        <w:tc>
          <w:tcPr>
            <w:tcW w:type="dxa" w:w="4334"/>
          </w:tcPr>
          <w:p>
            <w:pPr>
              <w:jc w:val="right"/>
            </w:pPr>
            <w:r>
              <w:rPr>
                <w:rFonts w:ascii="Times New Roman" w:hAnsi="Times New Roman"/>
                <w:b/>
                <w:sz w:val="21"/>
              </w:rPr>
              <w:t>37</w:t>
            </w:r>
          </w:p>
        </w:tc>
      </w:tr>
      <w:tr>
        <w:tc>
          <w:tcPr>
            <w:tcW w:type="dxa" w:w="4334"/>
          </w:tcPr>
          <w:p>
            <w:r>
              <w:rPr>
                <w:rFonts w:ascii="Times New Roman" w:hAnsi="Times New Roman"/>
                <w:b w:val="0"/>
                <w:sz w:val="21"/>
              </w:rPr>
              <w:t xml:space="preserve">    4.1 Software Engineering Process Model (Agile-Scrum)</w:t>
            </w:r>
          </w:p>
        </w:tc>
        <w:tc>
          <w:tcPr>
            <w:tcW w:type="dxa" w:w="4334"/>
          </w:tcPr>
          <w:p>
            <w:pPr>
              <w:jc w:val="right"/>
            </w:pPr>
            <w:r>
              <w:rPr>
                <w:rFonts w:ascii="Times New Roman" w:hAnsi="Times New Roman"/>
                <w:b w:val="0"/>
                <w:sz w:val="21"/>
              </w:rPr>
              <w:t>37</w:t>
            </w:r>
          </w:p>
        </w:tc>
      </w:tr>
      <w:tr>
        <w:tc>
          <w:tcPr>
            <w:tcW w:type="dxa" w:w="4334"/>
          </w:tcPr>
          <w:p>
            <w:r>
              <w:rPr>
                <w:rFonts w:ascii="Times New Roman" w:hAnsi="Times New Roman"/>
                <w:b w:val="0"/>
                <w:sz w:val="21"/>
              </w:rPr>
              <w:t xml:space="preserve">    4.2 Work Breakdown Structure (WBS)</w:t>
            </w:r>
          </w:p>
        </w:tc>
        <w:tc>
          <w:tcPr>
            <w:tcW w:type="dxa" w:w="4334"/>
          </w:tcPr>
          <w:p>
            <w:pPr>
              <w:jc w:val="right"/>
            </w:pPr>
            <w:r>
              <w:rPr>
                <w:rFonts w:ascii="Times New Roman" w:hAnsi="Times New Roman"/>
                <w:b w:val="0"/>
                <w:sz w:val="21"/>
              </w:rPr>
              <w:t>38</w:t>
            </w:r>
          </w:p>
        </w:tc>
      </w:tr>
      <w:tr>
        <w:tc>
          <w:tcPr>
            <w:tcW w:type="dxa" w:w="4334"/>
          </w:tcPr>
          <w:p>
            <w:r>
              <w:rPr>
                <w:rFonts w:ascii="Times New Roman" w:hAnsi="Times New Roman"/>
                <w:b w:val="0"/>
                <w:sz w:val="21"/>
              </w:rPr>
              <w:t xml:space="preserve">    4.3 Software Project Estimation via COCOMO II</w:t>
            </w:r>
          </w:p>
        </w:tc>
        <w:tc>
          <w:tcPr>
            <w:tcW w:type="dxa" w:w="4334"/>
          </w:tcPr>
          <w:p>
            <w:pPr>
              <w:jc w:val="right"/>
            </w:pPr>
            <w:r>
              <w:rPr>
                <w:rFonts w:ascii="Times New Roman" w:hAnsi="Times New Roman"/>
                <w:b w:val="0"/>
                <w:sz w:val="21"/>
              </w:rPr>
              <w:t>39</w:t>
            </w:r>
          </w:p>
        </w:tc>
      </w:tr>
      <w:tr>
        <w:tc>
          <w:tcPr>
            <w:tcW w:type="dxa" w:w="4334"/>
          </w:tcPr>
          <w:p>
            <w:r>
              <w:rPr>
                <w:rFonts w:ascii="Times New Roman" w:hAnsi="Times New Roman"/>
                <w:b w:val="0"/>
                <w:sz w:val="21"/>
              </w:rPr>
              <w:t xml:space="preserve">    4.4 Project Timeline and Milestone Schedule (Gantt Chart)</w:t>
            </w:r>
          </w:p>
        </w:tc>
        <w:tc>
          <w:tcPr>
            <w:tcW w:type="dxa" w:w="4334"/>
          </w:tcPr>
          <w:p>
            <w:pPr>
              <w:jc w:val="right"/>
            </w:pPr>
            <w:r>
              <w:rPr>
                <w:rFonts w:ascii="Times New Roman" w:hAnsi="Times New Roman"/>
                <w:b w:val="0"/>
                <w:sz w:val="21"/>
              </w:rPr>
              <w:t>41</w:t>
            </w:r>
          </w:p>
        </w:tc>
      </w:tr>
      <w:tr>
        <w:tc>
          <w:tcPr>
            <w:tcW w:type="dxa" w:w="4334"/>
          </w:tcPr>
          <w:p>
            <w:r>
              <w:rPr>
                <w:rFonts w:ascii="Times New Roman" w:hAnsi="Times New Roman"/>
                <w:b w:val="0"/>
                <w:sz w:val="21"/>
              </w:rPr>
              <w:t xml:space="preserve">    4.5 Risk Assessment and Failure Mode Analysis (FMEA)</w:t>
            </w:r>
          </w:p>
        </w:tc>
        <w:tc>
          <w:tcPr>
            <w:tcW w:type="dxa" w:w="4334"/>
          </w:tcPr>
          <w:p>
            <w:pPr>
              <w:jc w:val="right"/>
            </w:pPr>
            <w:r>
              <w:rPr>
                <w:rFonts w:ascii="Times New Roman" w:hAnsi="Times New Roman"/>
                <w:b w:val="0"/>
                <w:sz w:val="21"/>
              </w:rPr>
              <w:t>42</w:t>
            </w:r>
          </w:p>
        </w:tc>
      </w:tr>
      <w:tr>
        <w:tc>
          <w:tcPr>
            <w:tcW w:type="dxa" w:w="4334"/>
          </w:tcPr>
          <w:p>
            <w:r>
              <w:rPr>
                <w:rFonts w:ascii="Times New Roman" w:hAnsi="Times New Roman"/>
                <w:b w:val="0"/>
                <w:sz w:val="21"/>
              </w:rPr>
              <w:t xml:space="preserve">    4.6 Team Organization and Governance Architecture</w:t>
            </w:r>
          </w:p>
        </w:tc>
        <w:tc>
          <w:tcPr>
            <w:tcW w:type="dxa" w:w="4334"/>
          </w:tcPr>
          <w:p>
            <w:pPr>
              <w:jc w:val="right"/>
            </w:pPr>
            <w:r>
              <w:rPr>
                <w:rFonts w:ascii="Times New Roman" w:hAnsi="Times New Roman"/>
                <w:b w:val="0"/>
                <w:sz w:val="21"/>
              </w:rPr>
              <w:t>44</w:t>
            </w:r>
          </w:p>
        </w:tc>
      </w:tr>
      <w:tr>
        <w:tc>
          <w:tcPr>
            <w:tcW w:type="dxa" w:w="4334"/>
          </w:tcPr>
          <w:p>
            <w:r>
              <w:rPr>
                <w:rFonts w:ascii="Times New Roman" w:hAnsi="Times New Roman"/>
                <w:b/>
                <w:sz w:val="21"/>
              </w:rPr>
              <w:t>CHAPTER 5: SYSTEM DESIGN AND ARCHITECTURE</w:t>
            </w:r>
          </w:p>
        </w:tc>
        <w:tc>
          <w:tcPr>
            <w:tcW w:type="dxa" w:w="4334"/>
          </w:tcPr>
          <w:p>
            <w:pPr>
              <w:jc w:val="right"/>
            </w:pPr>
            <w:r>
              <w:rPr>
                <w:rFonts w:ascii="Times New Roman" w:hAnsi="Times New Roman"/>
                <w:b/>
                <w:sz w:val="21"/>
              </w:rPr>
              <w:t>46</w:t>
            </w:r>
          </w:p>
        </w:tc>
      </w:tr>
      <w:tr>
        <w:tc>
          <w:tcPr>
            <w:tcW w:type="dxa" w:w="4334"/>
          </w:tcPr>
          <w:p>
            <w:r>
              <w:rPr>
                <w:rFonts w:ascii="Times New Roman" w:hAnsi="Times New Roman"/>
                <w:b w:val="0"/>
                <w:sz w:val="21"/>
              </w:rPr>
              <w:t xml:space="preserve">    5.1 High-Level Architectural Topology (5-Tier Pattern)</w:t>
            </w:r>
          </w:p>
        </w:tc>
        <w:tc>
          <w:tcPr>
            <w:tcW w:type="dxa" w:w="4334"/>
          </w:tcPr>
          <w:p>
            <w:pPr>
              <w:jc w:val="right"/>
            </w:pPr>
            <w:r>
              <w:rPr>
                <w:rFonts w:ascii="Times New Roman" w:hAnsi="Times New Roman"/>
                <w:b w:val="0"/>
                <w:sz w:val="21"/>
              </w:rPr>
              <w:t>46</w:t>
            </w:r>
          </w:p>
        </w:tc>
      </w:tr>
      <w:tr>
        <w:tc>
          <w:tcPr>
            <w:tcW w:type="dxa" w:w="4334"/>
          </w:tcPr>
          <w:p>
            <w:r>
              <w:rPr>
                <w:rFonts w:ascii="Times New Roman" w:hAnsi="Times New Roman"/>
                <w:b w:val="0"/>
                <w:sz w:val="21"/>
              </w:rPr>
              <w:t xml:space="preserve">    5.2 MergedNet Multi-Backbone Feature Concatenation Architecture</w:t>
            </w:r>
          </w:p>
        </w:tc>
        <w:tc>
          <w:tcPr>
            <w:tcW w:type="dxa" w:w="4334"/>
          </w:tcPr>
          <w:p>
            <w:pPr>
              <w:jc w:val="right"/>
            </w:pPr>
            <w:r>
              <w:rPr>
                <w:rFonts w:ascii="Times New Roman" w:hAnsi="Times New Roman"/>
                <w:b w:val="0"/>
                <w:sz w:val="21"/>
              </w:rPr>
              <w:t>48</w:t>
            </w:r>
          </w:p>
        </w:tc>
      </w:tr>
      <w:tr>
        <w:tc>
          <w:tcPr>
            <w:tcW w:type="dxa" w:w="4334"/>
          </w:tcPr>
          <w:p>
            <w:r>
              <w:rPr>
                <w:rFonts w:ascii="Times New Roman" w:hAnsi="Times New Roman"/>
                <w:b w:val="0"/>
                <w:sz w:val="21"/>
              </w:rPr>
              <w:t xml:space="preserve">    5.3 Multimodal Cross-Attention Fusion Network</w:t>
            </w:r>
          </w:p>
        </w:tc>
        <w:tc>
          <w:tcPr>
            <w:tcW w:type="dxa" w:w="4334"/>
          </w:tcPr>
          <w:p>
            <w:pPr>
              <w:jc w:val="right"/>
            </w:pPr>
            <w:r>
              <w:rPr>
                <w:rFonts w:ascii="Times New Roman" w:hAnsi="Times New Roman"/>
                <w:b w:val="0"/>
                <w:sz w:val="21"/>
              </w:rPr>
              <w:t>50</w:t>
            </w:r>
          </w:p>
        </w:tc>
      </w:tr>
      <w:tr>
        <w:tc>
          <w:tcPr>
            <w:tcW w:type="dxa" w:w="4334"/>
          </w:tcPr>
          <w:p>
            <w:r>
              <w:rPr>
                <w:rFonts w:ascii="Times New Roman" w:hAnsi="Times New Roman"/>
                <w:b w:val="0"/>
                <w:sz w:val="21"/>
              </w:rPr>
              <w:t xml:space="preserve">    5.4 Reinhard CIELAB Optical Normalization Formulation</w:t>
            </w:r>
          </w:p>
        </w:tc>
        <w:tc>
          <w:tcPr>
            <w:tcW w:type="dxa" w:w="4334"/>
          </w:tcPr>
          <w:p>
            <w:pPr>
              <w:jc w:val="right"/>
            </w:pPr>
            <w:r>
              <w:rPr>
                <w:rFonts w:ascii="Times New Roman" w:hAnsi="Times New Roman"/>
                <w:b w:val="0"/>
                <w:sz w:val="21"/>
              </w:rPr>
              <w:t>52</w:t>
            </w:r>
          </w:p>
        </w:tc>
      </w:tr>
      <w:tr>
        <w:tc>
          <w:tcPr>
            <w:tcW w:type="dxa" w:w="4334"/>
          </w:tcPr>
          <w:p>
            <w:r>
              <w:rPr>
                <w:rFonts w:ascii="Times New Roman" w:hAnsi="Times New Roman"/>
                <w:b w:val="0"/>
                <w:sz w:val="21"/>
              </w:rPr>
              <w:t xml:space="preserve">    5.5 Database Architecture and Relational Schema Design</w:t>
            </w:r>
          </w:p>
        </w:tc>
        <w:tc>
          <w:tcPr>
            <w:tcW w:type="dxa" w:w="4334"/>
          </w:tcPr>
          <w:p>
            <w:pPr>
              <w:jc w:val="right"/>
            </w:pPr>
            <w:r>
              <w:rPr>
                <w:rFonts w:ascii="Times New Roman" w:hAnsi="Times New Roman"/>
                <w:b w:val="0"/>
                <w:sz w:val="21"/>
              </w:rPr>
              <w:t>54</w:t>
            </w:r>
          </w:p>
        </w:tc>
      </w:tr>
      <w:tr>
        <w:tc>
          <w:tcPr>
            <w:tcW w:type="dxa" w:w="4334"/>
          </w:tcPr>
          <w:p>
            <w:r>
              <w:rPr>
                <w:rFonts w:ascii="Times New Roman" w:hAnsi="Times New Roman"/>
                <w:b w:val="0"/>
                <w:sz w:val="21"/>
              </w:rPr>
              <w:t xml:space="preserve">    5.6 RESTful API Design and Contract Specifications</w:t>
            </w:r>
          </w:p>
        </w:tc>
        <w:tc>
          <w:tcPr>
            <w:tcW w:type="dxa" w:w="4334"/>
          </w:tcPr>
          <w:p>
            <w:pPr>
              <w:jc w:val="right"/>
            </w:pPr>
            <w:r>
              <w:rPr>
                <w:rFonts w:ascii="Times New Roman" w:hAnsi="Times New Roman"/>
                <w:b w:val="0"/>
                <w:sz w:val="21"/>
              </w:rPr>
              <w:t>58</w:t>
            </w:r>
          </w:p>
        </w:tc>
      </w:tr>
      <w:tr>
        <w:tc>
          <w:tcPr>
            <w:tcW w:type="dxa" w:w="4334"/>
          </w:tcPr>
          <w:p>
            <w:r>
              <w:rPr>
                <w:rFonts w:ascii="Times New Roman" w:hAnsi="Times New Roman"/>
                <w:b/>
                <w:sz w:val="21"/>
              </w:rPr>
              <w:t>CHAPTER 6: IMPLEMENTATION DETAILS</w:t>
            </w:r>
          </w:p>
        </w:tc>
        <w:tc>
          <w:tcPr>
            <w:tcW w:type="dxa" w:w="4334"/>
          </w:tcPr>
          <w:p>
            <w:pPr>
              <w:jc w:val="right"/>
            </w:pPr>
            <w:r>
              <w:rPr>
                <w:rFonts w:ascii="Times New Roman" w:hAnsi="Times New Roman"/>
                <w:b/>
                <w:sz w:val="21"/>
              </w:rPr>
              <w:t>61</w:t>
            </w:r>
          </w:p>
        </w:tc>
      </w:tr>
      <w:tr>
        <w:tc>
          <w:tcPr>
            <w:tcW w:type="dxa" w:w="4334"/>
          </w:tcPr>
          <w:p>
            <w:r>
              <w:rPr>
                <w:rFonts w:ascii="Times New Roman" w:hAnsi="Times New Roman"/>
                <w:b w:val="0"/>
                <w:sz w:val="21"/>
              </w:rPr>
              <w:t xml:space="preserve">    6.1 Deep Learning Ensemble Implementation (PyTorch)</w:t>
            </w:r>
          </w:p>
        </w:tc>
        <w:tc>
          <w:tcPr>
            <w:tcW w:type="dxa" w:w="4334"/>
          </w:tcPr>
          <w:p>
            <w:pPr>
              <w:jc w:val="right"/>
            </w:pPr>
            <w:r>
              <w:rPr>
                <w:rFonts w:ascii="Times New Roman" w:hAnsi="Times New Roman"/>
                <w:b w:val="0"/>
                <w:sz w:val="21"/>
              </w:rPr>
              <w:t>61</w:t>
            </w:r>
          </w:p>
        </w:tc>
      </w:tr>
      <w:tr>
        <w:tc>
          <w:tcPr>
            <w:tcW w:type="dxa" w:w="4334"/>
          </w:tcPr>
          <w:p>
            <w:r>
              <w:rPr>
                <w:rFonts w:ascii="Times New Roman" w:hAnsi="Times New Roman"/>
                <w:b w:val="0"/>
                <w:sz w:val="21"/>
              </w:rPr>
              <w:t xml:space="preserve">    6.2 Monte Carlo Dropout Epistemic Uncertainty Estimation</w:t>
            </w:r>
          </w:p>
        </w:tc>
        <w:tc>
          <w:tcPr>
            <w:tcW w:type="dxa" w:w="4334"/>
          </w:tcPr>
          <w:p>
            <w:pPr>
              <w:jc w:val="right"/>
            </w:pPr>
            <w:r>
              <w:rPr>
                <w:rFonts w:ascii="Times New Roman" w:hAnsi="Times New Roman"/>
                <w:b w:val="0"/>
                <w:sz w:val="21"/>
              </w:rPr>
              <w:t>63</w:t>
            </w:r>
          </w:p>
        </w:tc>
      </w:tr>
      <w:tr>
        <w:tc>
          <w:tcPr>
            <w:tcW w:type="dxa" w:w="4334"/>
          </w:tcPr>
          <w:p>
            <w:r>
              <w:rPr>
                <w:rFonts w:ascii="Times New Roman" w:hAnsi="Times New Roman"/>
                <w:b w:val="0"/>
                <w:sz w:val="21"/>
              </w:rPr>
              <w:t xml:space="preserve">    6.3 8-Pass Test-Time Augmentation (TTA) Engine</w:t>
            </w:r>
          </w:p>
        </w:tc>
        <w:tc>
          <w:tcPr>
            <w:tcW w:type="dxa" w:w="4334"/>
          </w:tcPr>
          <w:p>
            <w:pPr>
              <w:jc w:val="right"/>
            </w:pPr>
            <w:r>
              <w:rPr>
                <w:rFonts w:ascii="Times New Roman" w:hAnsi="Times New Roman"/>
                <w:b w:val="0"/>
                <w:sz w:val="21"/>
              </w:rPr>
              <w:t>65</w:t>
            </w:r>
          </w:p>
        </w:tc>
      </w:tr>
      <w:tr>
        <w:tc>
          <w:tcPr>
            <w:tcW w:type="dxa" w:w="4334"/>
          </w:tcPr>
          <w:p>
            <w:r>
              <w:rPr>
                <w:rFonts w:ascii="Times New Roman" w:hAnsi="Times New Roman"/>
                <w:b w:val="0"/>
                <w:sz w:val="21"/>
              </w:rPr>
              <w:t xml:space="preserve">    6.4 Laplacian-Variance Image Quality Gating Algorithm</w:t>
            </w:r>
          </w:p>
        </w:tc>
        <w:tc>
          <w:tcPr>
            <w:tcW w:type="dxa" w:w="4334"/>
          </w:tcPr>
          <w:p>
            <w:pPr>
              <w:jc w:val="right"/>
            </w:pPr>
            <w:r>
              <w:rPr>
                <w:rFonts w:ascii="Times New Roman" w:hAnsi="Times New Roman"/>
                <w:b w:val="0"/>
                <w:sz w:val="21"/>
              </w:rPr>
              <w:t>67</w:t>
            </w:r>
          </w:p>
        </w:tc>
      </w:tr>
      <w:tr>
        <w:tc>
          <w:tcPr>
            <w:tcW w:type="dxa" w:w="4334"/>
          </w:tcPr>
          <w:p>
            <w:r>
              <w:rPr>
                <w:rFonts w:ascii="Times New Roman" w:hAnsi="Times New Roman"/>
                <w:b w:val="0"/>
                <w:sz w:val="21"/>
              </w:rPr>
              <w:t xml:space="preserve">    6.5 Reinhard CIELAB Mucosal Normalization Algorithm</w:t>
            </w:r>
          </w:p>
        </w:tc>
        <w:tc>
          <w:tcPr>
            <w:tcW w:type="dxa" w:w="4334"/>
          </w:tcPr>
          <w:p>
            <w:pPr>
              <w:jc w:val="right"/>
            </w:pPr>
            <w:r>
              <w:rPr>
                <w:rFonts w:ascii="Times New Roman" w:hAnsi="Times New Roman"/>
                <w:b w:val="0"/>
                <w:sz w:val="21"/>
              </w:rPr>
              <w:t>68</w:t>
            </w:r>
          </w:p>
        </w:tc>
      </w:tr>
      <w:tr>
        <w:tc>
          <w:tcPr>
            <w:tcW w:type="dxa" w:w="4334"/>
          </w:tcPr>
          <w:p>
            <w:r>
              <w:rPr>
                <w:rFonts w:ascii="Times New Roman" w:hAnsi="Times New Roman"/>
                <w:b w:val="0"/>
                <w:sz w:val="21"/>
              </w:rPr>
              <w:t xml:space="preserve">    6.6 HL7 FHIR Release 4 JSON Exporter</w:t>
            </w:r>
          </w:p>
        </w:tc>
        <w:tc>
          <w:tcPr>
            <w:tcW w:type="dxa" w:w="4334"/>
          </w:tcPr>
          <w:p>
            <w:pPr>
              <w:jc w:val="right"/>
            </w:pPr>
            <w:r>
              <w:rPr>
                <w:rFonts w:ascii="Times New Roman" w:hAnsi="Times New Roman"/>
                <w:b w:val="0"/>
                <w:sz w:val="21"/>
              </w:rPr>
              <w:t>70</w:t>
            </w:r>
          </w:p>
        </w:tc>
      </w:tr>
      <w:tr>
        <w:tc>
          <w:tcPr>
            <w:tcW w:type="dxa" w:w="4334"/>
          </w:tcPr>
          <w:p>
            <w:r>
              <w:rPr>
                <w:rFonts w:ascii="Times New Roman" w:hAnsi="Times New Roman"/>
                <w:b w:val="0"/>
                <w:sz w:val="21"/>
              </w:rPr>
              <w:t xml:space="preserve">    6.7 Dynamic ONNX INT8 Quantization Engine</w:t>
            </w:r>
          </w:p>
        </w:tc>
        <w:tc>
          <w:tcPr>
            <w:tcW w:type="dxa" w:w="4334"/>
          </w:tcPr>
          <w:p>
            <w:pPr>
              <w:jc w:val="right"/>
            </w:pPr>
            <w:r>
              <w:rPr>
                <w:rFonts w:ascii="Times New Roman" w:hAnsi="Times New Roman"/>
                <w:b w:val="0"/>
                <w:sz w:val="21"/>
              </w:rPr>
              <w:t>72</w:t>
            </w:r>
          </w:p>
        </w:tc>
      </w:tr>
      <w:tr>
        <w:tc>
          <w:tcPr>
            <w:tcW w:type="dxa" w:w="4334"/>
          </w:tcPr>
          <w:p>
            <w:r>
              <w:rPr>
                <w:rFonts w:ascii="Times New Roman" w:hAnsi="Times New Roman"/>
                <w:b w:val="0"/>
                <w:sz w:val="21"/>
              </w:rPr>
              <w:t xml:space="preserve">    6.8 Security Hardening and Session Middleware</w:t>
            </w:r>
          </w:p>
        </w:tc>
        <w:tc>
          <w:tcPr>
            <w:tcW w:type="dxa" w:w="4334"/>
          </w:tcPr>
          <w:p>
            <w:pPr>
              <w:jc w:val="right"/>
            </w:pPr>
            <w:r>
              <w:rPr>
                <w:rFonts w:ascii="Times New Roman" w:hAnsi="Times New Roman"/>
                <w:b w:val="0"/>
                <w:sz w:val="21"/>
              </w:rPr>
              <w:t>74</w:t>
            </w:r>
          </w:p>
        </w:tc>
      </w:tr>
      <w:tr>
        <w:tc>
          <w:tcPr>
            <w:tcW w:type="dxa" w:w="4334"/>
          </w:tcPr>
          <w:p>
            <w:r>
              <w:rPr>
                <w:rFonts w:ascii="Times New Roman" w:hAnsi="Times New Roman"/>
                <w:b/>
                <w:sz w:val="21"/>
              </w:rPr>
              <w:t>CHAPTER 7: TESTING AND QUALITY ASSURANCE</w:t>
            </w:r>
          </w:p>
        </w:tc>
        <w:tc>
          <w:tcPr>
            <w:tcW w:type="dxa" w:w="4334"/>
          </w:tcPr>
          <w:p>
            <w:pPr>
              <w:jc w:val="right"/>
            </w:pPr>
            <w:r>
              <w:rPr>
                <w:rFonts w:ascii="Times New Roman" w:hAnsi="Times New Roman"/>
                <w:b/>
                <w:sz w:val="21"/>
              </w:rPr>
              <w:t>76</w:t>
            </w:r>
          </w:p>
        </w:tc>
      </w:tr>
      <w:tr>
        <w:tc>
          <w:tcPr>
            <w:tcW w:type="dxa" w:w="4334"/>
          </w:tcPr>
          <w:p>
            <w:r>
              <w:rPr>
                <w:rFonts w:ascii="Times New Roman" w:hAnsi="Times New Roman"/>
                <w:b w:val="0"/>
                <w:sz w:val="21"/>
              </w:rPr>
              <w:t xml:space="preserve">    7.1 Testing Philosophy and V-Model Quality Assurance Hierarchy</w:t>
            </w:r>
          </w:p>
        </w:tc>
        <w:tc>
          <w:tcPr>
            <w:tcW w:type="dxa" w:w="4334"/>
          </w:tcPr>
          <w:p>
            <w:pPr>
              <w:jc w:val="right"/>
            </w:pPr>
            <w:r>
              <w:rPr>
                <w:rFonts w:ascii="Times New Roman" w:hAnsi="Times New Roman"/>
                <w:b w:val="0"/>
                <w:sz w:val="21"/>
              </w:rPr>
              <w:t>76</w:t>
            </w:r>
          </w:p>
        </w:tc>
      </w:tr>
      <w:tr>
        <w:tc>
          <w:tcPr>
            <w:tcW w:type="dxa" w:w="4334"/>
          </w:tcPr>
          <w:p>
            <w:r>
              <w:rPr>
                <w:rFonts w:ascii="Times New Roman" w:hAnsi="Times New Roman"/>
                <w:b w:val="0"/>
                <w:sz w:val="21"/>
              </w:rPr>
              <w:t xml:space="preserve">    7.2 Unit Testing of Computational Pipelines</w:t>
            </w:r>
          </w:p>
        </w:tc>
        <w:tc>
          <w:tcPr>
            <w:tcW w:type="dxa" w:w="4334"/>
          </w:tcPr>
          <w:p>
            <w:pPr>
              <w:jc w:val="right"/>
            </w:pPr>
            <w:r>
              <w:rPr>
                <w:rFonts w:ascii="Times New Roman" w:hAnsi="Times New Roman"/>
                <w:b w:val="0"/>
                <w:sz w:val="21"/>
              </w:rPr>
              <w:t>77</w:t>
            </w:r>
          </w:p>
        </w:tc>
      </w:tr>
      <w:tr>
        <w:tc>
          <w:tcPr>
            <w:tcW w:type="dxa" w:w="4334"/>
          </w:tcPr>
          <w:p>
            <w:r>
              <w:rPr>
                <w:rFonts w:ascii="Times New Roman" w:hAnsi="Times New Roman"/>
                <w:b w:val="0"/>
                <w:sz w:val="21"/>
              </w:rPr>
              <w:t xml:space="preserve">    7.3 Concurrency and Stress Profiling with Locust</w:t>
            </w:r>
          </w:p>
        </w:tc>
        <w:tc>
          <w:tcPr>
            <w:tcW w:type="dxa" w:w="4334"/>
          </w:tcPr>
          <w:p>
            <w:pPr>
              <w:jc w:val="right"/>
            </w:pPr>
            <w:r>
              <w:rPr>
                <w:rFonts w:ascii="Times New Roman" w:hAnsi="Times New Roman"/>
                <w:b w:val="0"/>
                <w:sz w:val="21"/>
              </w:rPr>
              <w:t>78</w:t>
            </w:r>
          </w:p>
        </w:tc>
      </w:tr>
      <w:tr>
        <w:tc>
          <w:tcPr>
            <w:tcW w:type="dxa" w:w="4334"/>
          </w:tcPr>
          <w:p>
            <w:r>
              <w:rPr>
                <w:rFonts w:ascii="Times New Roman" w:hAnsi="Times New Roman"/>
                <w:b w:val="0"/>
                <w:sz w:val="21"/>
              </w:rPr>
              <w:t xml:space="preserve">    7.4 Adversarial Perturbation and Optical Domain-Shift Stress Testing</w:t>
            </w:r>
          </w:p>
        </w:tc>
        <w:tc>
          <w:tcPr>
            <w:tcW w:type="dxa" w:w="4334"/>
          </w:tcPr>
          <w:p>
            <w:pPr>
              <w:jc w:val="right"/>
            </w:pPr>
            <w:r>
              <w:rPr>
                <w:rFonts w:ascii="Times New Roman" w:hAnsi="Times New Roman"/>
                <w:b w:val="0"/>
                <w:sz w:val="21"/>
              </w:rPr>
              <w:t>80</w:t>
            </w:r>
          </w:p>
        </w:tc>
      </w:tr>
      <w:tr>
        <w:tc>
          <w:tcPr>
            <w:tcW w:type="dxa" w:w="4334"/>
          </w:tcPr>
          <w:p>
            <w:r>
              <w:rPr>
                <w:rFonts w:ascii="Times New Roman" w:hAnsi="Times New Roman"/>
                <w:b w:val="0"/>
                <w:sz w:val="21"/>
              </w:rPr>
              <w:t xml:space="preserve">    7.5 Security Vulnerability Penetration Audit</w:t>
            </w:r>
          </w:p>
        </w:tc>
        <w:tc>
          <w:tcPr>
            <w:tcW w:type="dxa" w:w="4334"/>
          </w:tcPr>
          <w:p>
            <w:pPr>
              <w:jc w:val="right"/>
            </w:pPr>
            <w:r>
              <w:rPr>
                <w:rFonts w:ascii="Times New Roman" w:hAnsi="Times New Roman"/>
                <w:b w:val="0"/>
                <w:sz w:val="21"/>
              </w:rPr>
              <w:t>82</w:t>
            </w:r>
          </w:p>
        </w:tc>
      </w:tr>
      <w:tr>
        <w:tc>
          <w:tcPr>
            <w:tcW w:type="dxa" w:w="4334"/>
          </w:tcPr>
          <w:p>
            <w:r>
              <w:rPr>
                <w:rFonts w:ascii="Times New Roman" w:hAnsi="Times New Roman"/>
                <w:b w:val="0"/>
                <w:sz w:val="21"/>
              </w:rPr>
              <w:t xml:space="preserve">    7.6 Master Test Execution Matrix (20 Formal Test Cases)</w:t>
            </w:r>
          </w:p>
        </w:tc>
        <w:tc>
          <w:tcPr>
            <w:tcW w:type="dxa" w:w="4334"/>
          </w:tcPr>
          <w:p>
            <w:pPr>
              <w:jc w:val="right"/>
            </w:pPr>
            <w:r>
              <w:rPr>
                <w:rFonts w:ascii="Times New Roman" w:hAnsi="Times New Roman"/>
                <w:b w:val="0"/>
                <w:sz w:val="21"/>
              </w:rPr>
              <w:t>83</w:t>
            </w:r>
          </w:p>
        </w:tc>
      </w:tr>
      <w:tr>
        <w:tc>
          <w:tcPr>
            <w:tcW w:type="dxa" w:w="4334"/>
          </w:tcPr>
          <w:p>
            <w:r>
              <w:rPr>
                <w:rFonts w:ascii="Times New Roman" w:hAnsi="Times New Roman"/>
                <w:b/>
                <w:sz w:val="21"/>
              </w:rPr>
              <w:t>CHAPTER 8: RESULTS DISCUSSION AND PERFORMANCE ANALYSIS</w:t>
            </w:r>
          </w:p>
        </w:tc>
        <w:tc>
          <w:tcPr>
            <w:tcW w:type="dxa" w:w="4334"/>
          </w:tcPr>
          <w:p>
            <w:pPr>
              <w:jc w:val="right"/>
            </w:pPr>
            <w:r>
              <w:rPr>
                <w:rFonts w:ascii="Times New Roman" w:hAnsi="Times New Roman"/>
                <w:b/>
                <w:sz w:val="21"/>
              </w:rPr>
              <w:t>86</w:t>
            </w:r>
          </w:p>
        </w:tc>
      </w:tr>
      <w:tr>
        <w:tc>
          <w:tcPr>
            <w:tcW w:type="dxa" w:w="4334"/>
          </w:tcPr>
          <w:p>
            <w:r>
              <w:rPr>
                <w:rFonts w:ascii="Times New Roman" w:hAnsi="Times New Roman"/>
                <w:b w:val="0"/>
                <w:sz w:val="21"/>
              </w:rPr>
              <w:t xml:space="preserve">    8.1 Comprehensive Diagnostic Performance Metrics</w:t>
            </w:r>
          </w:p>
        </w:tc>
        <w:tc>
          <w:tcPr>
            <w:tcW w:type="dxa" w:w="4334"/>
          </w:tcPr>
          <w:p>
            <w:pPr>
              <w:jc w:val="right"/>
            </w:pPr>
            <w:r>
              <w:rPr>
                <w:rFonts w:ascii="Times New Roman" w:hAnsi="Times New Roman"/>
                <w:b w:val="0"/>
                <w:sz w:val="21"/>
              </w:rPr>
              <w:t>86</w:t>
            </w:r>
          </w:p>
        </w:tc>
      </w:tr>
      <w:tr>
        <w:tc>
          <w:tcPr>
            <w:tcW w:type="dxa" w:w="4334"/>
          </w:tcPr>
          <w:p>
            <w:r>
              <w:rPr>
                <w:rFonts w:ascii="Times New Roman" w:hAnsi="Times New Roman"/>
                <w:b w:val="0"/>
                <w:sz w:val="21"/>
              </w:rPr>
              <w:t xml:space="preserve">    8.2 ROC, Precision-Recall, and Decision Curve Analysis (DCA)</w:t>
            </w:r>
          </w:p>
        </w:tc>
        <w:tc>
          <w:tcPr>
            <w:tcW w:type="dxa" w:w="4334"/>
          </w:tcPr>
          <w:p>
            <w:pPr>
              <w:jc w:val="right"/>
            </w:pPr>
            <w:r>
              <w:rPr>
                <w:rFonts w:ascii="Times New Roman" w:hAnsi="Times New Roman"/>
                <w:b w:val="0"/>
                <w:sz w:val="21"/>
              </w:rPr>
              <w:t>88</w:t>
            </w:r>
          </w:p>
        </w:tc>
      </w:tr>
      <w:tr>
        <w:tc>
          <w:tcPr>
            <w:tcW w:type="dxa" w:w="4334"/>
          </w:tcPr>
          <w:p>
            <w:r>
              <w:rPr>
                <w:rFonts w:ascii="Times New Roman" w:hAnsi="Times New Roman"/>
                <w:b w:val="0"/>
                <w:sz w:val="21"/>
              </w:rPr>
              <w:t xml:space="preserve">    8.3 Confusion Matrix and Forensic Error Breakdown</w:t>
            </w:r>
          </w:p>
        </w:tc>
        <w:tc>
          <w:tcPr>
            <w:tcW w:type="dxa" w:w="4334"/>
          </w:tcPr>
          <w:p>
            <w:pPr>
              <w:jc w:val="right"/>
            </w:pPr>
            <w:r>
              <w:rPr>
                <w:rFonts w:ascii="Times New Roman" w:hAnsi="Times New Roman"/>
                <w:b w:val="0"/>
                <w:sz w:val="21"/>
              </w:rPr>
              <w:t>90</w:t>
            </w:r>
          </w:p>
        </w:tc>
      </w:tr>
      <w:tr>
        <w:tc>
          <w:tcPr>
            <w:tcW w:type="dxa" w:w="4334"/>
          </w:tcPr>
          <w:p>
            <w:r>
              <w:rPr>
                <w:rFonts w:ascii="Times New Roman" w:hAnsi="Times New Roman"/>
                <w:b w:val="0"/>
                <w:sz w:val="21"/>
              </w:rPr>
              <w:t xml:space="preserve">    8.4 Comparative Benchmark Against Baselines and Literature</w:t>
            </w:r>
          </w:p>
        </w:tc>
        <w:tc>
          <w:tcPr>
            <w:tcW w:type="dxa" w:w="4334"/>
          </w:tcPr>
          <w:p>
            <w:pPr>
              <w:jc w:val="right"/>
            </w:pPr>
            <w:r>
              <w:rPr>
                <w:rFonts w:ascii="Times New Roman" w:hAnsi="Times New Roman"/>
                <w:b w:val="0"/>
                <w:sz w:val="21"/>
              </w:rPr>
              <w:t>91</w:t>
            </w:r>
          </w:p>
        </w:tc>
      </w:tr>
      <w:tr>
        <w:tc>
          <w:tcPr>
            <w:tcW w:type="dxa" w:w="4334"/>
          </w:tcPr>
          <w:p>
            <w:r>
              <w:rPr>
                <w:rFonts w:ascii="Times New Roman" w:hAnsi="Times New Roman"/>
                <w:b w:val="0"/>
                <w:sz w:val="21"/>
              </w:rPr>
              <w:t xml:space="preserve">    8.5 Systematic Six-Stage Ablation Study</w:t>
            </w:r>
          </w:p>
        </w:tc>
        <w:tc>
          <w:tcPr>
            <w:tcW w:type="dxa" w:w="4334"/>
          </w:tcPr>
          <w:p>
            <w:pPr>
              <w:jc w:val="right"/>
            </w:pPr>
            <w:r>
              <w:rPr>
                <w:rFonts w:ascii="Times New Roman" w:hAnsi="Times New Roman"/>
                <w:b w:val="0"/>
                <w:sz w:val="21"/>
              </w:rPr>
              <w:t>93</w:t>
            </w:r>
          </w:p>
        </w:tc>
      </w:tr>
      <w:tr>
        <w:tc>
          <w:tcPr>
            <w:tcW w:type="dxa" w:w="4334"/>
          </w:tcPr>
          <w:p>
            <w:r>
              <w:rPr>
                <w:rFonts w:ascii="Times New Roman" w:hAnsi="Times New Roman"/>
                <w:b w:val="0"/>
                <w:sz w:val="21"/>
              </w:rPr>
              <w:t xml:space="preserve">    8.6 Epistemic Uncertainty Distribution and Calibration Reliability</w:t>
            </w:r>
          </w:p>
        </w:tc>
        <w:tc>
          <w:tcPr>
            <w:tcW w:type="dxa" w:w="4334"/>
          </w:tcPr>
          <w:p>
            <w:pPr>
              <w:jc w:val="right"/>
            </w:pPr>
            <w:r>
              <w:rPr>
                <w:rFonts w:ascii="Times New Roman" w:hAnsi="Times New Roman"/>
                <w:b w:val="0"/>
                <w:sz w:val="21"/>
              </w:rPr>
              <w:t>95</w:t>
            </w:r>
          </w:p>
        </w:tc>
      </w:tr>
      <w:tr>
        <w:tc>
          <w:tcPr>
            <w:tcW w:type="dxa" w:w="4334"/>
          </w:tcPr>
          <w:p>
            <w:r>
              <w:rPr>
                <w:rFonts w:ascii="Times New Roman" w:hAnsi="Times New Roman"/>
                <w:b w:val="0"/>
                <w:sz w:val="21"/>
              </w:rPr>
              <w:t xml:space="preserve">    8.7 Computational Latency and Hardware Profiling (ONNX INT8)</w:t>
            </w:r>
          </w:p>
        </w:tc>
        <w:tc>
          <w:tcPr>
            <w:tcW w:type="dxa" w:w="4334"/>
          </w:tcPr>
          <w:p>
            <w:pPr>
              <w:jc w:val="right"/>
            </w:pPr>
            <w:r>
              <w:rPr>
                <w:rFonts w:ascii="Times New Roman" w:hAnsi="Times New Roman"/>
                <w:b w:val="0"/>
                <w:sz w:val="21"/>
              </w:rPr>
              <w:t>97</w:t>
            </w:r>
          </w:p>
        </w:tc>
      </w:tr>
      <w:tr>
        <w:tc>
          <w:tcPr>
            <w:tcW w:type="dxa" w:w="4334"/>
          </w:tcPr>
          <w:p>
            <w:r>
              <w:rPr>
                <w:rFonts w:ascii="Times New Roman" w:hAnsi="Times New Roman"/>
                <w:b w:val="0"/>
                <w:sz w:val="21"/>
              </w:rPr>
              <w:t xml:space="preserve">    8.8 Explainable AI Grad-CAM++ Pathological Concordance</w:t>
            </w:r>
          </w:p>
        </w:tc>
        <w:tc>
          <w:tcPr>
            <w:tcW w:type="dxa" w:w="4334"/>
          </w:tcPr>
          <w:p>
            <w:pPr>
              <w:jc w:val="right"/>
            </w:pPr>
            <w:r>
              <w:rPr>
                <w:rFonts w:ascii="Times New Roman" w:hAnsi="Times New Roman"/>
                <w:b w:val="0"/>
                <w:sz w:val="21"/>
              </w:rPr>
              <w:t>99</w:t>
            </w:r>
          </w:p>
        </w:tc>
      </w:tr>
      <w:tr>
        <w:tc>
          <w:tcPr>
            <w:tcW w:type="dxa" w:w="4334"/>
          </w:tcPr>
          <w:p>
            <w:r>
              <w:rPr>
                <w:rFonts w:ascii="Times New Roman" w:hAnsi="Times New Roman"/>
                <w:b w:val="0"/>
                <w:sz w:val="21"/>
              </w:rPr>
              <w:t xml:space="preserve">    8.9 Algorithmic Fairness and Subgroup Demographic Parity Audit</w:t>
            </w:r>
          </w:p>
        </w:tc>
        <w:tc>
          <w:tcPr>
            <w:tcW w:type="dxa" w:w="4334"/>
          </w:tcPr>
          <w:p>
            <w:pPr>
              <w:jc w:val="right"/>
            </w:pPr>
            <w:r>
              <w:rPr>
                <w:rFonts w:ascii="Times New Roman" w:hAnsi="Times New Roman"/>
                <w:b w:val="0"/>
                <w:sz w:val="21"/>
              </w:rPr>
              <w:t>101</w:t>
            </w:r>
          </w:p>
        </w:tc>
      </w:tr>
      <w:tr>
        <w:tc>
          <w:tcPr>
            <w:tcW w:type="dxa" w:w="4334"/>
          </w:tcPr>
          <w:p>
            <w:r>
              <w:rPr>
                <w:rFonts w:ascii="Times New Roman" w:hAnsi="Times New Roman"/>
                <w:b w:val="0"/>
                <w:sz w:val="21"/>
              </w:rPr>
              <w:t xml:space="preserve">    8.10 User Interface and Complete System Walkthrough</w:t>
            </w:r>
          </w:p>
        </w:tc>
        <w:tc>
          <w:tcPr>
            <w:tcW w:type="dxa" w:w="4334"/>
          </w:tcPr>
          <w:p>
            <w:pPr>
              <w:jc w:val="right"/>
            </w:pPr>
            <w:r>
              <w:rPr>
                <w:rFonts w:ascii="Times New Roman" w:hAnsi="Times New Roman"/>
                <w:b w:val="0"/>
                <w:sz w:val="21"/>
              </w:rPr>
              <w:t>103</w:t>
            </w:r>
          </w:p>
        </w:tc>
      </w:tr>
      <w:tr>
        <w:tc>
          <w:tcPr>
            <w:tcW w:type="dxa" w:w="4334"/>
          </w:tcPr>
          <w:p>
            <w:r>
              <w:rPr>
                <w:rFonts w:ascii="Times New Roman" w:hAnsi="Times New Roman"/>
                <w:b/>
                <w:sz w:val="21"/>
              </w:rPr>
              <w:t>CHAPTER 9: CONCLUSION, APPLICATION AND FUTURE WORK</w:t>
            </w:r>
          </w:p>
        </w:tc>
        <w:tc>
          <w:tcPr>
            <w:tcW w:type="dxa" w:w="4334"/>
          </w:tcPr>
          <w:p>
            <w:pPr>
              <w:jc w:val="right"/>
            </w:pPr>
            <w:r>
              <w:rPr>
                <w:rFonts w:ascii="Times New Roman" w:hAnsi="Times New Roman"/>
                <w:b/>
                <w:sz w:val="21"/>
              </w:rPr>
              <w:t>109</w:t>
            </w:r>
          </w:p>
        </w:tc>
      </w:tr>
      <w:tr>
        <w:tc>
          <w:tcPr>
            <w:tcW w:type="dxa" w:w="4334"/>
          </w:tcPr>
          <w:p>
            <w:r>
              <w:rPr>
                <w:rFonts w:ascii="Times New Roman" w:hAnsi="Times New Roman"/>
                <w:b w:val="0"/>
                <w:sz w:val="21"/>
              </w:rPr>
              <w:t xml:space="preserve">    9.1 Public Health and Practical Clinical Applications</w:t>
            </w:r>
          </w:p>
        </w:tc>
        <w:tc>
          <w:tcPr>
            <w:tcW w:type="dxa" w:w="4334"/>
          </w:tcPr>
          <w:p>
            <w:pPr>
              <w:jc w:val="right"/>
            </w:pPr>
            <w:r>
              <w:rPr>
                <w:rFonts w:ascii="Times New Roman" w:hAnsi="Times New Roman"/>
                <w:b w:val="0"/>
                <w:sz w:val="21"/>
              </w:rPr>
              <w:t>109</w:t>
            </w:r>
          </w:p>
        </w:tc>
      </w:tr>
      <w:tr>
        <w:tc>
          <w:tcPr>
            <w:tcW w:type="dxa" w:w="4334"/>
          </w:tcPr>
          <w:p>
            <w:r>
              <w:rPr>
                <w:rFonts w:ascii="Times New Roman" w:hAnsi="Times New Roman"/>
                <w:b w:val="0"/>
                <w:sz w:val="21"/>
              </w:rPr>
              <w:t xml:space="preserve">    9.2 Systematic Verification of Project Objectives (O1 to O8)</w:t>
            </w:r>
          </w:p>
        </w:tc>
        <w:tc>
          <w:tcPr>
            <w:tcW w:type="dxa" w:w="4334"/>
          </w:tcPr>
          <w:p>
            <w:pPr>
              <w:jc w:val="right"/>
            </w:pPr>
            <w:r>
              <w:rPr>
                <w:rFonts w:ascii="Times New Roman" w:hAnsi="Times New Roman"/>
                <w:b w:val="0"/>
                <w:sz w:val="21"/>
              </w:rPr>
              <w:t>110</w:t>
            </w:r>
          </w:p>
        </w:tc>
      </w:tr>
      <w:tr>
        <w:tc>
          <w:tcPr>
            <w:tcW w:type="dxa" w:w="4334"/>
          </w:tcPr>
          <w:p>
            <w:r>
              <w:rPr>
                <w:rFonts w:ascii="Times New Roman" w:hAnsi="Times New Roman"/>
                <w:b w:val="0"/>
                <w:sz w:val="21"/>
              </w:rPr>
              <w:t xml:space="preserve">    9.3 Technical Limitations and Boundary Conditions</w:t>
            </w:r>
          </w:p>
        </w:tc>
        <w:tc>
          <w:tcPr>
            <w:tcW w:type="dxa" w:w="4334"/>
          </w:tcPr>
          <w:p>
            <w:pPr>
              <w:jc w:val="right"/>
            </w:pPr>
            <w:r>
              <w:rPr>
                <w:rFonts w:ascii="Times New Roman" w:hAnsi="Times New Roman"/>
                <w:b w:val="0"/>
                <w:sz w:val="21"/>
              </w:rPr>
              <w:t>112</w:t>
            </w:r>
          </w:p>
        </w:tc>
      </w:tr>
      <w:tr>
        <w:tc>
          <w:tcPr>
            <w:tcW w:type="dxa" w:w="4334"/>
          </w:tcPr>
          <w:p>
            <w:r>
              <w:rPr>
                <w:rFonts w:ascii="Times New Roman" w:hAnsi="Times New Roman"/>
                <w:b w:val="0"/>
                <w:sz w:val="21"/>
              </w:rPr>
              <w:t xml:space="preserve">    9.4 Comprehensive Future Research Roadmap (v2.0, v3.0, v4.0)</w:t>
            </w:r>
          </w:p>
        </w:tc>
        <w:tc>
          <w:tcPr>
            <w:tcW w:type="dxa" w:w="4334"/>
          </w:tcPr>
          <w:p>
            <w:pPr>
              <w:jc w:val="right"/>
            </w:pPr>
            <w:r>
              <w:rPr>
                <w:rFonts w:ascii="Times New Roman" w:hAnsi="Times New Roman"/>
                <w:b w:val="0"/>
                <w:sz w:val="21"/>
              </w:rPr>
              <w:t>113</w:t>
            </w:r>
          </w:p>
        </w:tc>
      </w:tr>
      <w:tr>
        <w:tc>
          <w:tcPr>
            <w:tcW w:type="dxa" w:w="4334"/>
          </w:tcPr>
          <w:p>
            <w:r>
              <w:rPr>
                <w:rFonts w:ascii="Times New Roman" w:hAnsi="Times New Roman"/>
                <w:b/>
                <w:sz w:val="21"/>
              </w:rPr>
              <w:t>REFERENCES (45 IEEE References)</w:t>
            </w:r>
          </w:p>
        </w:tc>
        <w:tc>
          <w:tcPr>
            <w:tcW w:type="dxa" w:w="4334"/>
          </w:tcPr>
          <w:p>
            <w:pPr>
              <w:jc w:val="right"/>
            </w:pPr>
            <w:r>
              <w:rPr>
                <w:rFonts w:ascii="Times New Roman" w:hAnsi="Times New Roman"/>
                <w:b/>
                <w:sz w:val="21"/>
              </w:rPr>
              <w:t>116</w:t>
            </w:r>
          </w:p>
        </w:tc>
      </w:tr>
      <w:tr>
        <w:tc>
          <w:tcPr>
            <w:tcW w:type="dxa" w:w="4334"/>
          </w:tcPr>
          <w:p>
            <w:r>
              <w:rPr>
                <w:rFonts w:ascii="Times New Roman" w:hAnsi="Times New Roman"/>
                <w:b/>
                <w:sz w:val="21"/>
              </w:rPr>
              <w:t>ANNEXURE A: BIOMEDICAL &amp; AI GLOSSARY</w:t>
            </w:r>
          </w:p>
        </w:tc>
        <w:tc>
          <w:tcPr>
            <w:tcW w:type="dxa" w:w="4334"/>
          </w:tcPr>
          <w:p>
            <w:pPr>
              <w:jc w:val="right"/>
            </w:pPr>
            <w:r>
              <w:rPr>
                <w:rFonts w:ascii="Times New Roman" w:hAnsi="Times New Roman"/>
                <w:b/>
                <w:sz w:val="21"/>
              </w:rPr>
              <w:t>121</w:t>
            </w:r>
          </w:p>
        </w:tc>
      </w:tr>
      <w:tr>
        <w:tc>
          <w:tcPr>
            <w:tcW w:type="dxa" w:w="4334"/>
          </w:tcPr>
          <w:p>
            <w:r>
              <w:rPr>
                <w:rFonts w:ascii="Times New Roman" w:hAnsi="Times New Roman"/>
                <w:b/>
                <w:sz w:val="21"/>
              </w:rPr>
              <w:t>ANNEXURE B: RESEARCH PAPER PUBLICATION</w:t>
            </w:r>
          </w:p>
        </w:tc>
        <w:tc>
          <w:tcPr>
            <w:tcW w:type="dxa" w:w="4334"/>
          </w:tcPr>
          <w:p>
            <w:pPr>
              <w:jc w:val="right"/>
            </w:pPr>
            <w:r>
              <w:rPr>
                <w:rFonts w:ascii="Times New Roman" w:hAnsi="Times New Roman"/>
                <w:b/>
                <w:sz w:val="21"/>
              </w:rPr>
              <w:t>125</w:t>
            </w:r>
          </w:p>
        </w:tc>
      </w:tr>
      <w:tr>
        <w:tc>
          <w:tcPr>
            <w:tcW w:type="dxa" w:w="4334"/>
          </w:tcPr>
          <w:p>
            <w:r>
              <w:rPr>
                <w:rFonts w:ascii="Times New Roman" w:hAnsi="Times New Roman"/>
                <w:b/>
                <w:sz w:val="21"/>
              </w:rPr>
              <w:t>ANNEXURE C: HARDWARE &amp; DEPLOYMENT SPECIFICATIONS</w:t>
            </w:r>
          </w:p>
        </w:tc>
        <w:tc>
          <w:tcPr>
            <w:tcW w:type="dxa" w:w="4334"/>
          </w:tcPr>
          <w:p>
            <w:pPr>
              <w:jc w:val="right"/>
            </w:pPr>
            <w:r>
              <w:rPr>
                <w:rFonts w:ascii="Times New Roman" w:hAnsi="Times New Roman"/>
                <w:b/>
                <w:sz w:val="21"/>
              </w:rPr>
              <w:t>127</w:t>
            </w:r>
          </w:p>
        </w:tc>
      </w:tr>
    </w:tbl>
    <w:p>
      <w:r>
        <w:br w:type="page"/>
      </w:r>
    </w:p>
    <w:p>
      <w:r>
        <w:br w:type="page"/>
      </w:r>
    </w:p>
    <w:p>
      <w:pPr>
        <w:spacing w:before="0" w:after="280" w:line="360" w:lineRule="auto"/>
        <w:jc w:val="center"/>
      </w:pPr>
      <w:r>
        <w:rPr>
          <w:rFonts w:ascii="Times New Roman" w:hAnsi="Times New Roman"/>
          <w:b/>
          <w:i w:val="0"/>
          <w:color w:val="0A2D5A"/>
          <w:sz w:val="32"/>
        </w:rPr>
        <w:t>LIST OF FIGURES</w:t>
      </w:r>
    </w:p>
    <w:tbl>
      <w:tblPr>
        <w:tblW w:type="auto" w:w="0"/>
        <w:jc w:val="center"/>
        <w:tblLook w:firstColumn="1" w:firstRow="1" w:lastColumn="0" w:lastRow="0" w:noHBand="0" w:noVBand="1" w:val="04A0"/>
      </w:tblPr>
      <w:tblGrid>
        <w:gridCol w:w="2890"/>
        <w:gridCol w:w="2890"/>
        <w:gridCol w:w="2890"/>
      </w:tblGrid>
      <w:tr>
        <w:tc>
          <w:tcPr>
            <w:tcW w:type="dxa" w:w="2890"/>
            <w:shd w:fill="EBF0F5"/>
          </w:tcPr>
          <w:p>
            <w:r>
              <w:rPr>
                <w:rFonts w:ascii="Times New Roman" w:hAnsi="Times New Roman"/>
                <w:b/>
                <w:sz w:val="22"/>
              </w:rPr>
              <w:t>Figure No.</w:t>
            </w:r>
          </w:p>
        </w:tc>
        <w:tc>
          <w:tcPr>
            <w:tcW w:type="dxa" w:w="2890"/>
            <w:shd w:fill="EBF0F5"/>
          </w:tcPr>
          <w:p>
            <w:r>
              <w:rPr>
                <w:rFonts w:ascii="Times New Roman" w:hAnsi="Times New Roman"/>
                <w:b/>
                <w:sz w:val="22"/>
              </w:rPr>
              <w:t>Figure Title / Caption</w:t>
            </w:r>
          </w:p>
        </w:tc>
        <w:tc>
          <w:tcPr>
            <w:tcW w:type="dxa" w:w="2890"/>
            <w:shd w:fill="EBF0F5"/>
          </w:tcPr>
          <w:p>
            <w:r>
              <w:rPr>
                <w:rFonts w:ascii="Times New Roman" w:hAnsi="Times New Roman"/>
                <w:b/>
                <w:sz w:val="22"/>
              </w:rPr>
              <w:t>Page</w:t>
            </w:r>
          </w:p>
        </w:tc>
      </w:tr>
      <w:tr>
        <w:tc>
          <w:tcPr>
            <w:tcW w:type="dxa" w:w="2890"/>
          </w:tcPr>
          <w:p>
            <w:r>
              <w:rPr>
                <w:rFonts w:ascii="Times New Roman" w:hAnsi="Times New Roman"/>
                <w:sz w:val="20"/>
              </w:rPr>
              <w:t>Figure 1.1</w:t>
            </w:r>
          </w:p>
        </w:tc>
        <w:tc>
          <w:tcPr>
            <w:tcW w:type="dxa" w:w="2890"/>
          </w:tcPr>
          <w:p>
            <w:r>
              <w:rPr>
                <w:rFonts w:ascii="Times New Roman" w:hAnsi="Times New Roman"/>
                <w:sz w:val="20"/>
              </w:rPr>
              <w:t>Clinical Progression Continuum of Oral Squamous Cell Carcinoma (OSCC)</w:t>
            </w:r>
          </w:p>
        </w:tc>
        <w:tc>
          <w:tcPr>
            <w:tcW w:type="dxa" w:w="2890"/>
          </w:tcPr>
          <w:p>
            <w:pPr>
              <w:jc w:val="right"/>
            </w:pPr>
            <w:r>
              <w:rPr>
                <w:rFonts w:ascii="Times New Roman" w:hAnsi="Times New Roman"/>
                <w:sz w:val="20"/>
              </w:rPr>
              <w:t>3</w:t>
            </w:r>
          </w:p>
        </w:tc>
      </w:tr>
      <w:tr>
        <w:tc>
          <w:tcPr>
            <w:tcW w:type="dxa" w:w="2890"/>
          </w:tcPr>
          <w:p>
            <w:r>
              <w:rPr>
                <w:rFonts w:ascii="Times New Roman" w:hAnsi="Times New Roman"/>
                <w:sz w:val="20"/>
              </w:rPr>
              <w:t>Figure 2.1</w:t>
            </w:r>
          </w:p>
        </w:tc>
        <w:tc>
          <w:tcPr>
            <w:tcW w:type="dxa" w:w="2890"/>
          </w:tcPr>
          <w:p>
            <w:r>
              <w:rPr>
                <w:rFonts w:ascii="Times New Roman" w:hAnsi="Times New Roman"/>
                <w:sz w:val="20"/>
              </w:rPr>
              <w:t>Reinhard CIELAB Mucosal Color Space Normalization Pipeline</w:t>
            </w:r>
          </w:p>
        </w:tc>
        <w:tc>
          <w:tcPr>
            <w:tcW w:type="dxa" w:w="2890"/>
          </w:tcPr>
          <w:p>
            <w:pPr>
              <w:jc w:val="right"/>
            </w:pPr>
            <w:r>
              <w:rPr>
                <w:rFonts w:ascii="Times New Roman" w:hAnsi="Times New Roman"/>
                <w:sz w:val="20"/>
              </w:rPr>
              <w:t>17</w:t>
            </w:r>
          </w:p>
        </w:tc>
      </w:tr>
      <w:tr>
        <w:tc>
          <w:tcPr>
            <w:tcW w:type="dxa" w:w="2890"/>
          </w:tcPr>
          <w:p>
            <w:r>
              <w:rPr>
                <w:rFonts w:ascii="Times New Roman" w:hAnsi="Times New Roman"/>
                <w:sz w:val="20"/>
              </w:rPr>
              <w:t>Figure 3.1</w:t>
            </w:r>
          </w:p>
        </w:tc>
        <w:tc>
          <w:tcPr>
            <w:tcW w:type="dxa" w:w="2890"/>
          </w:tcPr>
          <w:p>
            <w:r>
              <w:rPr>
                <w:rFonts w:ascii="Times New Roman" w:hAnsi="Times New Roman"/>
                <w:sz w:val="20"/>
              </w:rPr>
              <w:t>UML Use Case Diagram Depicting Actor Roles and Boundary Interactions</w:t>
            </w:r>
          </w:p>
        </w:tc>
        <w:tc>
          <w:tcPr>
            <w:tcW w:type="dxa" w:w="2890"/>
          </w:tcPr>
          <w:p>
            <w:pPr>
              <w:jc w:val="right"/>
            </w:pPr>
            <w:r>
              <w:rPr>
                <w:rFonts w:ascii="Times New Roman" w:hAnsi="Times New Roman"/>
                <w:sz w:val="20"/>
              </w:rPr>
              <w:t>32</w:t>
            </w:r>
          </w:p>
        </w:tc>
      </w:tr>
      <w:tr>
        <w:tc>
          <w:tcPr>
            <w:tcW w:type="dxa" w:w="2890"/>
          </w:tcPr>
          <w:p>
            <w:r>
              <w:rPr>
                <w:rFonts w:ascii="Times New Roman" w:hAnsi="Times New Roman"/>
                <w:sz w:val="20"/>
              </w:rPr>
              <w:t>Figure 3.2</w:t>
            </w:r>
          </w:p>
        </w:tc>
        <w:tc>
          <w:tcPr>
            <w:tcW w:type="dxa" w:w="2890"/>
          </w:tcPr>
          <w:p>
            <w:r>
              <w:rPr>
                <w:rFonts w:ascii="Times New Roman" w:hAnsi="Times New Roman"/>
                <w:sz w:val="20"/>
              </w:rPr>
              <w:t>UML Activity Diagram Illustrating Quality Gating and Decision Logic</w:t>
            </w:r>
          </w:p>
        </w:tc>
        <w:tc>
          <w:tcPr>
            <w:tcW w:type="dxa" w:w="2890"/>
          </w:tcPr>
          <w:p>
            <w:pPr>
              <w:jc w:val="right"/>
            </w:pPr>
            <w:r>
              <w:rPr>
                <w:rFonts w:ascii="Times New Roman" w:hAnsi="Times New Roman"/>
                <w:sz w:val="20"/>
              </w:rPr>
              <w:t>35</w:t>
            </w:r>
          </w:p>
        </w:tc>
      </w:tr>
      <w:tr>
        <w:tc>
          <w:tcPr>
            <w:tcW w:type="dxa" w:w="2890"/>
          </w:tcPr>
          <w:p>
            <w:r>
              <w:rPr>
                <w:rFonts w:ascii="Times New Roman" w:hAnsi="Times New Roman"/>
                <w:sz w:val="20"/>
              </w:rPr>
              <w:t>Figure 4.1</w:t>
            </w:r>
          </w:p>
        </w:tc>
        <w:tc>
          <w:tcPr>
            <w:tcW w:type="dxa" w:w="2890"/>
          </w:tcPr>
          <w:p>
            <w:r>
              <w:rPr>
                <w:rFonts w:ascii="Times New Roman" w:hAnsi="Times New Roman"/>
                <w:sz w:val="20"/>
              </w:rPr>
              <w:t>Project Milestone Schedule and Critical Path Gantt Chart</w:t>
            </w:r>
          </w:p>
        </w:tc>
        <w:tc>
          <w:tcPr>
            <w:tcW w:type="dxa" w:w="2890"/>
          </w:tcPr>
          <w:p>
            <w:pPr>
              <w:jc w:val="right"/>
            </w:pPr>
            <w:r>
              <w:rPr>
                <w:rFonts w:ascii="Times New Roman" w:hAnsi="Times New Roman"/>
                <w:sz w:val="20"/>
              </w:rPr>
              <w:t>41</w:t>
            </w:r>
          </w:p>
        </w:tc>
      </w:tr>
      <w:tr>
        <w:tc>
          <w:tcPr>
            <w:tcW w:type="dxa" w:w="2890"/>
          </w:tcPr>
          <w:p>
            <w:r>
              <w:rPr>
                <w:rFonts w:ascii="Times New Roman" w:hAnsi="Times New Roman"/>
                <w:sz w:val="20"/>
              </w:rPr>
              <w:t>Figure 4.2</w:t>
            </w:r>
          </w:p>
        </w:tc>
        <w:tc>
          <w:tcPr>
            <w:tcW w:type="dxa" w:w="2890"/>
          </w:tcPr>
          <w:p>
            <w:r>
              <w:rPr>
                <w:rFonts w:ascii="Times New Roman" w:hAnsi="Times New Roman"/>
                <w:sz w:val="20"/>
              </w:rPr>
              <w:t>5×5 Project Risk Assessment and Mitigation Heatmap</w:t>
            </w:r>
          </w:p>
        </w:tc>
        <w:tc>
          <w:tcPr>
            <w:tcW w:type="dxa" w:w="2890"/>
          </w:tcPr>
          <w:p>
            <w:pPr>
              <w:jc w:val="right"/>
            </w:pPr>
            <w:r>
              <w:rPr>
                <w:rFonts w:ascii="Times New Roman" w:hAnsi="Times New Roman"/>
                <w:sz w:val="20"/>
              </w:rPr>
              <w:t>43</w:t>
            </w:r>
          </w:p>
        </w:tc>
      </w:tr>
      <w:tr>
        <w:tc>
          <w:tcPr>
            <w:tcW w:type="dxa" w:w="2890"/>
          </w:tcPr>
          <w:p>
            <w:r>
              <w:rPr>
                <w:rFonts w:ascii="Times New Roman" w:hAnsi="Times New Roman"/>
                <w:sz w:val="20"/>
              </w:rPr>
              <w:t>Figure 5.1</w:t>
            </w:r>
          </w:p>
        </w:tc>
        <w:tc>
          <w:tcPr>
            <w:tcW w:type="dxa" w:w="2890"/>
          </w:tcPr>
          <w:p>
            <w:r>
              <w:rPr>
                <w:rFonts w:ascii="Times New Roman" w:hAnsi="Times New Roman"/>
                <w:sz w:val="20"/>
              </w:rPr>
              <w:t>End-to-End System Architectural Topology Depicting Multi-Tier Ingestion</w:t>
            </w:r>
          </w:p>
        </w:tc>
        <w:tc>
          <w:tcPr>
            <w:tcW w:type="dxa" w:w="2890"/>
          </w:tcPr>
          <w:p>
            <w:pPr>
              <w:jc w:val="right"/>
            </w:pPr>
            <w:r>
              <w:rPr>
                <w:rFonts w:ascii="Times New Roman" w:hAnsi="Times New Roman"/>
                <w:sz w:val="20"/>
              </w:rPr>
              <w:t>47</w:t>
            </w:r>
          </w:p>
        </w:tc>
      </w:tr>
      <w:tr>
        <w:tc>
          <w:tcPr>
            <w:tcW w:type="dxa" w:w="2890"/>
          </w:tcPr>
          <w:p>
            <w:r>
              <w:rPr>
                <w:rFonts w:ascii="Times New Roman" w:hAnsi="Times New Roman"/>
                <w:sz w:val="20"/>
              </w:rPr>
              <w:t>Figure 5.2</w:t>
            </w:r>
          </w:p>
        </w:tc>
        <w:tc>
          <w:tcPr>
            <w:tcW w:type="dxa" w:w="2890"/>
          </w:tcPr>
          <w:p>
            <w:r>
              <w:rPr>
                <w:rFonts w:ascii="Times New Roman" w:hAnsi="Times New Roman"/>
                <w:sz w:val="20"/>
              </w:rPr>
              <w:t>Multimodal Cross-Attention Network Architecture Fusing Visual and Clinical Priors</w:t>
            </w:r>
          </w:p>
        </w:tc>
        <w:tc>
          <w:tcPr>
            <w:tcW w:type="dxa" w:w="2890"/>
          </w:tcPr>
          <w:p>
            <w:pPr>
              <w:jc w:val="right"/>
            </w:pPr>
            <w:r>
              <w:rPr>
                <w:rFonts w:ascii="Times New Roman" w:hAnsi="Times New Roman"/>
                <w:sz w:val="20"/>
              </w:rPr>
              <w:t>51</w:t>
            </w:r>
          </w:p>
        </w:tc>
      </w:tr>
      <w:tr>
        <w:tc>
          <w:tcPr>
            <w:tcW w:type="dxa" w:w="2890"/>
          </w:tcPr>
          <w:p>
            <w:r>
              <w:rPr>
                <w:rFonts w:ascii="Times New Roman" w:hAnsi="Times New Roman"/>
                <w:sz w:val="20"/>
              </w:rPr>
              <w:t>Figure 5.3</w:t>
            </w:r>
          </w:p>
        </w:tc>
        <w:tc>
          <w:tcPr>
            <w:tcW w:type="dxa" w:w="2890"/>
          </w:tcPr>
          <w:p>
            <w:r>
              <w:rPr>
                <w:rFonts w:ascii="Times New Roman" w:hAnsi="Times New Roman"/>
                <w:sz w:val="20"/>
              </w:rPr>
              <w:t>Entity-Relationship Diagram (ERD) of Relational Database Schema</w:t>
            </w:r>
          </w:p>
        </w:tc>
        <w:tc>
          <w:tcPr>
            <w:tcW w:type="dxa" w:w="2890"/>
          </w:tcPr>
          <w:p>
            <w:pPr>
              <w:jc w:val="right"/>
            </w:pPr>
            <w:r>
              <w:rPr>
                <w:rFonts w:ascii="Times New Roman" w:hAnsi="Times New Roman"/>
                <w:sz w:val="20"/>
              </w:rPr>
              <w:t>55</w:t>
            </w:r>
          </w:p>
        </w:tc>
      </w:tr>
      <w:tr>
        <w:tc>
          <w:tcPr>
            <w:tcW w:type="dxa" w:w="2890"/>
          </w:tcPr>
          <w:p>
            <w:r>
              <w:rPr>
                <w:rFonts w:ascii="Times New Roman" w:hAnsi="Times New Roman"/>
                <w:sz w:val="20"/>
              </w:rPr>
              <w:t>Figure 8.1</w:t>
            </w:r>
          </w:p>
        </w:tc>
        <w:tc>
          <w:tcPr>
            <w:tcW w:type="dxa" w:w="2890"/>
          </w:tcPr>
          <w:p>
            <w:r>
              <w:rPr>
                <w:rFonts w:ascii="Times New Roman" w:hAnsi="Times New Roman"/>
                <w:sz w:val="20"/>
              </w:rPr>
              <w:t>Receiver Operating Characteristic (ROC) Curve (AUROC = 1.0000)</w:t>
            </w:r>
          </w:p>
        </w:tc>
        <w:tc>
          <w:tcPr>
            <w:tcW w:type="dxa" w:w="2890"/>
          </w:tcPr>
          <w:p>
            <w:pPr>
              <w:jc w:val="right"/>
            </w:pPr>
            <w:r>
              <w:rPr>
                <w:rFonts w:ascii="Times New Roman" w:hAnsi="Times New Roman"/>
                <w:sz w:val="20"/>
              </w:rPr>
              <w:t>89</w:t>
            </w:r>
          </w:p>
        </w:tc>
      </w:tr>
      <w:tr>
        <w:tc>
          <w:tcPr>
            <w:tcW w:type="dxa" w:w="2890"/>
          </w:tcPr>
          <w:p>
            <w:r>
              <w:rPr>
                <w:rFonts w:ascii="Times New Roman" w:hAnsi="Times New Roman"/>
                <w:sz w:val="20"/>
              </w:rPr>
              <w:t>Figure 8.2</w:t>
            </w:r>
          </w:p>
        </w:tc>
        <w:tc>
          <w:tcPr>
            <w:tcW w:type="dxa" w:w="2890"/>
          </w:tcPr>
          <w:p>
            <w:r>
              <w:rPr>
                <w:rFonts w:ascii="Times New Roman" w:hAnsi="Times New Roman"/>
                <w:sz w:val="20"/>
              </w:rPr>
              <w:t>Precision-Recall Curve and Decision Curve Analysis (DCA Net Clinical Utility)</w:t>
            </w:r>
          </w:p>
        </w:tc>
        <w:tc>
          <w:tcPr>
            <w:tcW w:type="dxa" w:w="2890"/>
          </w:tcPr>
          <w:p>
            <w:pPr>
              <w:jc w:val="right"/>
            </w:pPr>
            <w:r>
              <w:rPr>
                <w:rFonts w:ascii="Times New Roman" w:hAnsi="Times New Roman"/>
                <w:sz w:val="20"/>
              </w:rPr>
              <w:t>90</w:t>
            </w:r>
          </w:p>
        </w:tc>
      </w:tr>
      <w:tr>
        <w:tc>
          <w:tcPr>
            <w:tcW w:type="dxa" w:w="2890"/>
          </w:tcPr>
          <w:p>
            <w:r>
              <w:rPr>
                <w:rFonts w:ascii="Times New Roman" w:hAnsi="Times New Roman"/>
                <w:sz w:val="20"/>
              </w:rPr>
              <w:t>Figure 8.3</w:t>
            </w:r>
          </w:p>
        </w:tc>
        <w:tc>
          <w:tcPr>
            <w:tcW w:type="dxa" w:w="2890"/>
          </w:tcPr>
          <w:p>
            <w:r>
              <w:rPr>
                <w:rFonts w:ascii="Times New Roman" w:hAnsi="Times New Roman"/>
                <w:sz w:val="20"/>
              </w:rPr>
              <w:t>Final Evaluation Confusion Matrix with Deferred Borderline Resolution</w:t>
            </w:r>
          </w:p>
        </w:tc>
        <w:tc>
          <w:tcPr>
            <w:tcW w:type="dxa" w:w="2890"/>
          </w:tcPr>
          <w:p>
            <w:pPr>
              <w:jc w:val="right"/>
            </w:pPr>
            <w:r>
              <w:rPr>
                <w:rFonts w:ascii="Times New Roman" w:hAnsi="Times New Roman"/>
                <w:sz w:val="20"/>
              </w:rPr>
              <w:t>91</w:t>
            </w:r>
          </w:p>
        </w:tc>
      </w:tr>
      <w:tr>
        <w:tc>
          <w:tcPr>
            <w:tcW w:type="dxa" w:w="2890"/>
          </w:tcPr>
          <w:p>
            <w:r>
              <w:rPr>
                <w:rFonts w:ascii="Times New Roman" w:hAnsi="Times New Roman"/>
                <w:sz w:val="20"/>
              </w:rPr>
              <w:t>Figure 8.4</w:t>
            </w:r>
          </w:p>
        </w:tc>
        <w:tc>
          <w:tcPr>
            <w:tcW w:type="dxa" w:w="2890"/>
          </w:tcPr>
          <w:p>
            <w:r>
              <w:rPr>
                <w:rFonts w:ascii="Times New Roman" w:hAnsi="Times New Roman"/>
                <w:sz w:val="20"/>
              </w:rPr>
              <w:t>Systematic Six-Stage Ablation Study Tracking Performance Gains</w:t>
            </w:r>
          </w:p>
        </w:tc>
        <w:tc>
          <w:tcPr>
            <w:tcW w:type="dxa" w:w="2890"/>
          </w:tcPr>
          <w:p>
            <w:pPr>
              <w:jc w:val="right"/>
            </w:pPr>
            <w:r>
              <w:rPr>
                <w:rFonts w:ascii="Times New Roman" w:hAnsi="Times New Roman"/>
                <w:sz w:val="20"/>
              </w:rPr>
              <w:t>94</w:t>
            </w:r>
          </w:p>
        </w:tc>
      </w:tr>
      <w:tr>
        <w:tc>
          <w:tcPr>
            <w:tcW w:type="dxa" w:w="2890"/>
          </w:tcPr>
          <w:p>
            <w:r>
              <w:rPr>
                <w:rFonts w:ascii="Times New Roman" w:hAnsi="Times New Roman"/>
                <w:sz w:val="20"/>
              </w:rPr>
              <w:t>Figure 8.5</w:t>
            </w:r>
          </w:p>
        </w:tc>
        <w:tc>
          <w:tcPr>
            <w:tcW w:type="dxa" w:w="2890"/>
          </w:tcPr>
          <w:p>
            <w:r>
              <w:rPr>
                <w:rFonts w:ascii="Times New Roman" w:hAnsi="Times New Roman"/>
                <w:sz w:val="20"/>
              </w:rPr>
              <w:t>Empirical Distribution of Epistemic Variances for Benign vs. Malignant Cases</w:t>
            </w:r>
          </w:p>
        </w:tc>
        <w:tc>
          <w:tcPr>
            <w:tcW w:type="dxa" w:w="2890"/>
          </w:tcPr>
          <w:p>
            <w:pPr>
              <w:jc w:val="right"/>
            </w:pPr>
            <w:r>
              <w:rPr>
                <w:rFonts w:ascii="Times New Roman" w:hAnsi="Times New Roman"/>
                <w:sz w:val="20"/>
              </w:rPr>
              <w:t>96</w:t>
            </w:r>
          </w:p>
        </w:tc>
      </w:tr>
      <w:tr>
        <w:tc>
          <w:tcPr>
            <w:tcW w:type="dxa" w:w="2890"/>
          </w:tcPr>
          <w:p>
            <w:r>
              <w:rPr>
                <w:rFonts w:ascii="Times New Roman" w:hAnsi="Times New Roman"/>
                <w:sz w:val="20"/>
              </w:rPr>
              <w:t>Figure 8.6</w:t>
            </w:r>
          </w:p>
        </w:tc>
        <w:tc>
          <w:tcPr>
            <w:tcW w:type="dxa" w:w="2890"/>
          </w:tcPr>
          <w:p>
            <w:r>
              <w:rPr>
                <w:rFonts w:ascii="Times New Roman" w:hAnsi="Times New Roman"/>
                <w:sz w:val="20"/>
              </w:rPr>
              <w:t>Reliability Diagram (ECE = 0.82%) and Confidence Score Histogram</w:t>
            </w:r>
          </w:p>
        </w:tc>
        <w:tc>
          <w:tcPr>
            <w:tcW w:type="dxa" w:w="2890"/>
          </w:tcPr>
          <w:p>
            <w:pPr>
              <w:jc w:val="right"/>
            </w:pPr>
            <w:r>
              <w:rPr>
                <w:rFonts w:ascii="Times New Roman" w:hAnsi="Times New Roman"/>
                <w:sz w:val="20"/>
              </w:rPr>
              <w:t>97</w:t>
            </w:r>
          </w:p>
        </w:tc>
      </w:tr>
      <w:tr>
        <w:tc>
          <w:tcPr>
            <w:tcW w:type="dxa" w:w="2890"/>
          </w:tcPr>
          <w:p>
            <w:r>
              <w:rPr>
                <w:rFonts w:ascii="Times New Roman" w:hAnsi="Times New Roman"/>
                <w:sz w:val="20"/>
              </w:rPr>
              <w:t>Figure 8.7</w:t>
            </w:r>
          </w:p>
        </w:tc>
        <w:tc>
          <w:tcPr>
            <w:tcW w:type="dxa" w:w="2890"/>
          </w:tcPr>
          <w:p>
            <w:r>
              <w:rPr>
                <w:rFonts w:ascii="Times New Roman" w:hAnsi="Times New Roman"/>
                <w:sz w:val="20"/>
              </w:rPr>
              <w:t>End-to-End Pipeline Latency Breakdown Across Computational Stages</w:t>
            </w:r>
          </w:p>
        </w:tc>
        <w:tc>
          <w:tcPr>
            <w:tcW w:type="dxa" w:w="2890"/>
          </w:tcPr>
          <w:p>
            <w:pPr>
              <w:jc w:val="right"/>
            </w:pPr>
            <w:r>
              <w:rPr>
                <w:rFonts w:ascii="Times New Roman" w:hAnsi="Times New Roman"/>
                <w:sz w:val="20"/>
              </w:rPr>
              <w:t>98</w:t>
            </w:r>
          </w:p>
        </w:tc>
      </w:tr>
      <w:tr>
        <w:tc>
          <w:tcPr>
            <w:tcW w:type="dxa" w:w="2890"/>
          </w:tcPr>
          <w:p>
            <w:r>
              <w:rPr>
                <w:rFonts w:ascii="Times New Roman" w:hAnsi="Times New Roman"/>
                <w:sz w:val="20"/>
              </w:rPr>
              <w:t>Figure 8.8</w:t>
            </w:r>
          </w:p>
        </w:tc>
        <w:tc>
          <w:tcPr>
            <w:tcW w:type="dxa" w:w="2890"/>
          </w:tcPr>
          <w:p>
            <w:r>
              <w:rPr>
                <w:rFonts w:ascii="Times New Roman" w:hAnsi="Times New Roman"/>
                <w:sz w:val="20"/>
              </w:rPr>
              <w:t>Explainable AI Grad-CAM++ Heatmap Concordance Overlays</w:t>
            </w:r>
          </w:p>
        </w:tc>
        <w:tc>
          <w:tcPr>
            <w:tcW w:type="dxa" w:w="2890"/>
          </w:tcPr>
          <w:p>
            <w:pPr>
              <w:jc w:val="right"/>
            </w:pPr>
            <w:r>
              <w:rPr>
                <w:rFonts w:ascii="Times New Roman" w:hAnsi="Times New Roman"/>
                <w:sz w:val="20"/>
              </w:rPr>
              <w:t>100</w:t>
            </w:r>
          </w:p>
        </w:tc>
      </w:tr>
      <w:tr>
        <w:tc>
          <w:tcPr>
            <w:tcW w:type="dxa" w:w="2890"/>
          </w:tcPr>
          <w:p>
            <w:r>
              <w:rPr>
                <w:rFonts w:ascii="Times New Roman" w:hAnsi="Times New Roman"/>
                <w:sz w:val="20"/>
              </w:rPr>
              <w:t>Figure 8.9</w:t>
            </w:r>
          </w:p>
        </w:tc>
        <w:tc>
          <w:tcPr>
            <w:tcW w:type="dxa" w:w="2890"/>
          </w:tcPr>
          <w:p>
            <w:r>
              <w:rPr>
                <w:rFonts w:ascii="Times New Roman" w:hAnsi="Times New Roman"/>
                <w:sz w:val="20"/>
              </w:rPr>
              <w:t>Subgroup Demographic Fairness and Diagnostic Parity Audit</w:t>
            </w:r>
          </w:p>
        </w:tc>
        <w:tc>
          <w:tcPr>
            <w:tcW w:type="dxa" w:w="2890"/>
          </w:tcPr>
          <w:p>
            <w:pPr>
              <w:jc w:val="right"/>
            </w:pPr>
            <w:r>
              <w:rPr>
                <w:rFonts w:ascii="Times New Roman" w:hAnsi="Times New Roman"/>
                <w:sz w:val="20"/>
              </w:rPr>
              <w:t>102</w:t>
            </w:r>
          </w:p>
        </w:tc>
      </w:tr>
      <w:tr>
        <w:tc>
          <w:tcPr>
            <w:tcW w:type="dxa" w:w="2890"/>
          </w:tcPr>
          <w:p>
            <w:r>
              <w:rPr>
                <w:rFonts w:ascii="Times New Roman" w:hAnsi="Times New Roman"/>
                <w:sz w:val="20"/>
              </w:rPr>
              <w:t>Figure 8.10</w:t>
            </w:r>
          </w:p>
        </w:tc>
        <w:tc>
          <w:tcPr>
            <w:tcW w:type="dxa" w:w="2890"/>
          </w:tcPr>
          <w:p>
            <w:r>
              <w:rPr>
                <w:rFonts w:ascii="Times New Roman" w:hAnsi="Times New Roman"/>
                <w:sz w:val="20"/>
              </w:rPr>
              <w:t>Visionary Diagnostics Landing Page and Clinical Overview</w:t>
            </w:r>
          </w:p>
        </w:tc>
        <w:tc>
          <w:tcPr>
            <w:tcW w:type="dxa" w:w="2890"/>
          </w:tcPr>
          <w:p>
            <w:pPr>
              <w:jc w:val="right"/>
            </w:pPr>
            <w:r>
              <w:rPr>
                <w:rFonts w:ascii="Times New Roman" w:hAnsi="Times New Roman"/>
                <w:sz w:val="20"/>
              </w:rPr>
              <w:t>104</w:t>
            </w:r>
          </w:p>
        </w:tc>
      </w:tr>
      <w:tr>
        <w:tc>
          <w:tcPr>
            <w:tcW w:type="dxa" w:w="2890"/>
          </w:tcPr>
          <w:p>
            <w:r>
              <w:rPr>
                <w:rFonts w:ascii="Times New Roman" w:hAnsi="Times New Roman"/>
                <w:sz w:val="20"/>
              </w:rPr>
              <w:t>Figure 8.11</w:t>
            </w:r>
          </w:p>
        </w:tc>
        <w:tc>
          <w:tcPr>
            <w:tcW w:type="dxa" w:w="2890"/>
          </w:tcPr>
          <w:p>
            <w:r>
              <w:rPr>
                <w:rFonts w:ascii="Times New Roman" w:hAnsi="Times New Roman"/>
                <w:sz w:val="20"/>
              </w:rPr>
              <w:t>Secure Healthcare Provider Authentication Portal with NIST PBKDF2 Hashing</w:t>
            </w:r>
          </w:p>
        </w:tc>
        <w:tc>
          <w:tcPr>
            <w:tcW w:type="dxa" w:w="2890"/>
          </w:tcPr>
          <w:p>
            <w:pPr>
              <w:jc w:val="right"/>
            </w:pPr>
            <w:r>
              <w:rPr>
                <w:rFonts w:ascii="Times New Roman" w:hAnsi="Times New Roman"/>
                <w:sz w:val="20"/>
              </w:rPr>
              <w:t>105</w:t>
            </w:r>
          </w:p>
        </w:tc>
      </w:tr>
      <w:tr>
        <w:tc>
          <w:tcPr>
            <w:tcW w:type="dxa" w:w="2890"/>
          </w:tcPr>
          <w:p>
            <w:r>
              <w:rPr>
                <w:rFonts w:ascii="Times New Roman" w:hAnsi="Times New Roman"/>
                <w:sz w:val="20"/>
              </w:rPr>
              <w:t>Figure 8.12</w:t>
            </w:r>
          </w:p>
        </w:tc>
        <w:tc>
          <w:tcPr>
            <w:tcW w:type="dxa" w:w="2890"/>
          </w:tcPr>
          <w:p>
            <w:r>
              <w:rPr>
                <w:rFonts w:ascii="Times New Roman" w:hAnsi="Times New Roman"/>
                <w:sz w:val="20"/>
              </w:rPr>
              <w:t>Interactive Patient Photographic Upload and Risk Factor Form</w:t>
            </w:r>
          </w:p>
        </w:tc>
        <w:tc>
          <w:tcPr>
            <w:tcW w:type="dxa" w:w="2890"/>
          </w:tcPr>
          <w:p>
            <w:pPr>
              <w:jc w:val="right"/>
            </w:pPr>
            <w:r>
              <w:rPr>
                <w:rFonts w:ascii="Times New Roman" w:hAnsi="Times New Roman"/>
                <w:sz w:val="20"/>
              </w:rPr>
              <w:t>106</w:t>
            </w:r>
          </w:p>
        </w:tc>
      </w:tr>
      <w:tr>
        <w:tc>
          <w:tcPr>
            <w:tcW w:type="dxa" w:w="2890"/>
          </w:tcPr>
          <w:p>
            <w:r>
              <w:rPr>
                <w:rFonts w:ascii="Times New Roman" w:hAnsi="Times New Roman"/>
                <w:sz w:val="20"/>
              </w:rPr>
              <w:t>Figure 8.13</w:t>
            </w:r>
          </w:p>
        </w:tc>
        <w:tc>
          <w:tcPr>
            <w:tcW w:type="dxa" w:w="2890"/>
          </w:tcPr>
          <w:p>
            <w:r>
              <w:rPr>
                <w:rFonts w:ascii="Times New Roman" w:hAnsi="Times New Roman"/>
                <w:sz w:val="20"/>
              </w:rPr>
              <w:t>Step-by-Step Clinical Triage and Decision Support Workflow Guide</w:t>
            </w:r>
          </w:p>
        </w:tc>
        <w:tc>
          <w:tcPr>
            <w:tcW w:type="dxa" w:w="2890"/>
          </w:tcPr>
          <w:p>
            <w:pPr>
              <w:jc w:val="right"/>
            </w:pPr>
            <w:r>
              <w:rPr>
                <w:rFonts w:ascii="Times New Roman" w:hAnsi="Times New Roman"/>
                <w:sz w:val="20"/>
              </w:rPr>
              <w:t>106</w:t>
            </w:r>
          </w:p>
        </w:tc>
      </w:tr>
      <w:tr>
        <w:tc>
          <w:tcPr>
            <w:tcW w:type="dxa" w:w="2890"/>
          </w:tcPr>
          <w:p>
            <w:r>
              <w:rPr>
                <w:rFonts w:ascii="Times New Roman" w:hAnsi="Times New Roman"/>
                <w:sz w:val="20"/>
              </w:rPr>
              <w:t>Figure 8.14</w:t>
            </w:r>
          </w:p>
        </w:tc>
        <w:tc>
          <w:tcPr>
            <w:tcW w:type="dxa" w:w="2890"/>
          </w:tcPr>
          <w:p>
            <w:r>
              <w:rPr>
                <w:rFonts w:ascii="Times New Roman" w:hAnsi="Times New Roman"/>
                <w:sz w:val="20"/>
              </w:rPr>
              <w:t>Surgical Dark Mode Diagnostic Dashboard with Calibrated Risk Badges</w:t>
            </w:r>
          </w:p>
        </w:tc>
        <w:tc>
          <w:tcPr>
            <w:tcW w:type="dxa" w:w="2890"/>
          </w:tcPr>
          <w:p>
            <w:pPr>
              <w:jc w:val="right"/>
            </w:pPr>
            <w:r>
              <w:rPr>
                <w:rFonts w:ascii="Times New Roman" w:hAnsi="Times New Roman"/>
                <w:sz w:val="20"/>
              </w:rPr>
              <w:t>107</w:t>
            </w:r>
          </w:p>
        </w:tc>
      </w:tr>
      <w:tr>
        <w:tc>
          <w:tcPr>
            <w:tcW w:type="dxa" w:w="2890"/>
          </w:tcPr>
          <w:p>
            <w:r>
              <w:rPr>
                <w:rFonts w:ascii="Times New Roman" w:hAnsi="Times New Roman"/>
                <w:sz w:val="20"/>
              </w:rPr>
              <w:t>Figure 8.15</w:t>
            </w:r>
          </w:p>
        </w:tc>
        <w:tc>
          <w:tcPr>
            <w:tcW w:type="dxa" w:w="2890"/>
          </w:tcPr>
          <w:p>
            <w:r>
              <w:rPr>
                <w:rFonts w:ascii="Times New Roman" w:hAnsi="Times New Roman"/>
                <w:sz w:val="20"/>
              </w:rPr>
              <w:t>Platform Feature Matrix and Tele-Oncology Summary</w:t>
            </w:r>
          </w:p>
        </w:tc>
        <w:tc>
          <w:tcPr>
            <w:tcW w:type="dxa" w:w="2890"/>
          </w:tcPr>
          <w:p>
            <w:pPr>
              <w:jc w:val="right"/>
            </w:pPr>
            <w:r>
              <w:rPr>
                <w:rFonts w:ascii="Times New Roman" w:hAnsi="Times New Roman"/>
                <w:sz w:val="20"/>
              </w:rPr>
              <w:t>108</w:t>
            </w:r>
          </w:p>
        </w:tc>
      </w:tr>
      <w:tr>
        <w:tc>
          <w:tcPr>
            <w:tcW w:type="dxa" w:w="2890"/>
          </w:tcPr>
          <w:p>
            <w:r>
              <w:rPr>
                <w:rFonts w:ascii="Times New Roman" w:hAnsi="Times New Roman"/>
                <w:sz w:val="20"/>
              </w:rPr>
              <w:t>Figure 8.16</w:t>
            </w:r>
          </w:p>
        </w:tc>
        <w:tc>
          <w:tcPr>
            <w:tcW w:type="dxa" w:w="2890"/>
          </w:tcPr>
          <w:p>
            <w:r>
              <w:rPr>
                <w:rFonts w:ascii="Times New Roman" w:hAnsi="Times New Roman"/>
                <w:sz w:val="20"/>
              </w:rPr>
              <w:t>Academic Investigator Profile and Institutional Credits</w:t>
            </w:r>
          </w:p>
        </w:tc>
        <w:tc>
          <w:tcPr>
            <w:tcW w:type="dxa" w:w="2890"/>
          </w:tcPr>
          <w:p>
            <w:pPr>
              <w:jc w:val="right"/>
            </w:pPr>
            <w:r>
              <w:rPr>
                <w:rFonts w:ascii="Times New Roman" w:hAnsi="Times New Roman"/>
                <w:sz w:val="20"/>
              </w:rPr>
              <w:t>108</w:t>
            </w:r>
          </w:p>
        </w:tc>
      </w:tr>
    </w:tbl>
    <w:p>
      <w:r>
        <w:br w:type="page"/>
      </w:r>
    </w:p>
    <w:p>
      <w:pPr>
        <w:spacing w:before="0" w:after="280" w:line="360" w:lineRule="auto"/>
        <w:jc w:val="center"/>
      </w:pPr>
      <w:r>
        <w:rPr>
          <w:rFonts w:ascii="Times New Roman" w:hAnsi="Times New Roman"/>
          <w:b/>
          <w:i w:val="0"/>
          <w:color w:val="0A2D5A"/>
          <w:sz w:val="32"/>
        </w:rPr>
        <w:t>LIST OF TABLES</w:t>
      </w:r>
    </w:p>
    <w:tbl>
      <w:tblPr>
        <w:tblW w:type="auto" w:w="0"/>
        <w:jc w:val="center"/>
        <w:tblLook w:firstColumn="1" w:firstRow="1" w:lastColumn="0" w:lastRow="0" w:noHBand="0" w:noVBand="1" w:val="04A0"/>
      </w:tblPr>
      <w:tblGrid>
        <w:gridCol w:w="2890"/>
        <w:gridCol w:w="2890"/>
        <w:gridCol w:w="2890"/>
      </w:tblGrid>
      <w:tr>
        <w:tc>
          <w:tcPr>
            <w:tcW w:type="dxa" w:w="2890"/>
            <w:shd w:fill="EBF0F5"/>
          </w:tcPr>
          <w:p>
            <w:r>
              <w:rPr>
                <w:rFonts w:ascii="Times New Roman" w:hAnsi="Times New Roman"/>
                <w:b/>
                <w:sz w:val="22"/>
              </w:rPr>
              <w:t>Table No.</w:t>
            </w:r>
          </w:p>
        </w:tc>
        <w:tc>
          <w:tcPr>
            <w:tcW w:type="dxa" w:w="2890"/>
            <w:shd w:fill="EBF0F5"/>
          </w:tcPr>
          <w:p>
            <w:r>
              <w:rPr>
                <w:rFonts w:ascii="Times New Roman" w:hAnsi="Times New Roman"/>
                <w:b/>
                <w:sz w:val="22"/>
              </w:rPr>
              <w:t>Table Title</w:t>
            </w:r>
          </w:p>
        </w:tc>
        <w:tc>
          <w:tcPr>
            <w:tcW w:type="dxa" w:w="2890"/>
            <w:shd w:fill="EBF0F5"/>
          </w:tcPr>
          <w:p>
            <w:r>
              <w:rPr>
                <w:rFonts w:ascii="Times New Roman" w:hAnsi="Times New Roman"/>
                <w:b/>
                <w:sz w:val="22"/>
              </w:rPr>
              <w:t>Page</w:t>
            </w:r>
          </w:p>
        </w:tc>
      </w:tr>
      <w:tr>
        <w:tc>
          <w:tcPr>
            <w:tcW w:type="dxa" w:w="2890"/>
          </w:tcPr>
          <w:p>
            <w:r>
              <w:rPr>
                <w:rFonts w:ascii="Times New Roman" w:hAnsi="Times New Roman"/>
                <w:sz w:val="20"/>
              </w:rPr>
              <w:t>Table 2.1</w:t>
            </w:r>
          </w:p>
        </w:tc>
        <w:tc>
          <w:tcPr>
            <w:tcW w:type="dxa" w:w="2890"/>
          </w:tcPr>
          <w:p>
            <w:r>
              <w:rPr>
                <w:rFonts w:ascii="Times New Roman" w:hAnsi="Times New Roman"/>
                <w:sz w:val="20"/>
              </w:rPr>
              <w:t>Comparative Literature Survey Matrix of Landmark Works (2014-2026)</w:t>
            </w:r>
          </w:p>
        </w:tc>
        <w:tc>
          <w:tcPr>
            <w:tcW w:type="dxa" w:w="2890"/>
          </w:tcPr>
          <w:p>
            <w:pPr>
              <w:jc w:val="right"/>
            </w:pPr>
            <w:r>
              <w:rPr>
                <w:rFonts w:ascii="Times New Roman" w:hAnsi="Times New Roman"/>
                <w:sz w:val="20"/>
              </w:rPr>
              <w:t>19</w:t>
            </w:r>
          </w:p>
        </w:tc>
      </w:tr>
      <w:tr>
        <w:tc>
          <w:tcPr>
            <w:tcW w:type="dxa" w:w="2890"/>
          </w:tcPr>
          <w:p>
            <w:r>
              <w:rPr>
                <w:rFonts w:ascii="Times New Roman" w:hAnsi="Times New Roman"/>
                <w:sz w:val="20"/>
              </w:rPr>
              <w:t>Table 4.1</w:t>
            </w:r>
          </w:p>
        </w:tc>
        <w:tc>
          <w:tcPr>
            <w:tcW w:type="dxa" w:w="2890"/>
          </w:tcPr>
          <w:p>
            <w:r>
              <w:rPr>
                <w:rFonts w:ascii="Times New Roman" w:hAnsi="Times New Roman"/>
                <w:sz w:val="20"/>
              </w:rPr>
              <w:t>COCOMO II Project Effort, Duration, and Staffing Projections</w:t>
            </w:r>
          </w:p>
        </w:tc>
        <w:tc>
          <w:tcPr>
            <w:tcW w:type="dxa" w:w="2890"/>
          </w:tcPr>
          <w:p>
            <w:pPr>
              <w:jc w:val="right"/>
            </w:pPr>
            <w:r>
              <w:rPr>
                <w:rFonts w:ascii="Times New Roman" w:hAnsi="Times New Roman"/>
                <w:sz w:val="20"/>
              </w:rPr>
              <w:t>40</w:t>
            </w:r>
          </w:p>
        </w:tc>
      </w:tr>
      <w:tr>
        <w:tc>
          <w:tcPr>
            <w:tcW w:type="dxa" w:w="2890"/>
          </w:tcPr>
          <w:p>
            <w:r>
              <w:rPr>
                <w:rFonts w:ascii="Times New Roman" w:hAnsi="Times New Roman"/>
                <w:sz w:val="20"/>
              </w:rPr>
              <w:t>Table 5.1</w:t>
            </w:r>
          </w:p>
        </w:tc>
        <w:tc>
          <w:tcPr>
            <w:tcW w:type="dxa" w:w="2890"/>
          </w:tcPr>
          <w:p>
            <w:r>
              <w:rPr>
                <w:rFonts w:ascii="Times New Roman" w:hAnsi="Times New Roman"/>
                <w:sz w:val="20"/>
              </w:rPr>
              <w:t>Core RESTful API Endpoint Contract Specifications</w:t>
            </w:r>
          </w:p>
        </w:tc>
        <w:tc>
          <w:tcPr>
            <w:tcW w:type="dxa" w:w="2890"/>
          </w:tcPr>
          <w:p>
            <w:pPr>
              <w:jc w:val="right"/>
            </w:pPr>
            <w:r>
              <w:rPr>
                <w:rFonts w:ascii="Times New Roman" w:hAnsi="Times New Roman"/>
                <w:sz w:val="20"/>
              </w:rPr>
              <w:t>58</w:t>
            </w:r>
          </w:p>
        </w:tc>
      </w:tr>
      <w:tr>
        <w:tc>
          <w:tcPr>
            <w:tcW w:type="dxa" w:w="2890"/>
          </w:tcPr>
          <w:p>
            <w:r>
              <w:rPr>
                <w:rFonts w:ascii="Times New Roman" w:hAnsi="Times New Roman"/>
                <w:sz w:val="20"/>
              </w:rPr>
              <w:t>Table 6.1</w:t>
            </w:r>
          </w:p>
        </w:tc>
        <w:tc>
          <w:tcPr>
            <w:tcW w:type="dxa" w:w="2890"/>
          </w:tcPr>
          <w:p>
            <w:r>
              <w:rPr>
                <w:rFonts w:ascii="Times New Roman" w:hAnsi="Times New Roman"/>
                <w:sz w:val="20"/>
              </w:rPr>
              <w:t>Architectural and Parameter Summary of MergedNet Ensemble Backbones</w:t>
            </w:r>
          </w:p>
        </w:tc>
        <w:tc>
          <w:tcPr>
            <w:tcW w:type="dxa" w:w="2890"/>
          </w:tcPr>
          <w:p>
            <w:pPr>
              <w:jc w:val="right"/>
            </w:pPr>
            <w:r>
              <w:rPr>
                <w:rFonts w:ascii="Times New Roman" w:hAnsi="Times New Roman"/>
                <w:sz w:val="20"/>
              </w:rPr>
              <w:t>62</w:t>
            </w:r>
          </w:p>
        </w:tc>
      </w:tr>
      <w:tr>
        <w:tc>
          <w:tcPr>
            <w:tcW w:type="dxa" w:w="2890"/>
          </w:tcPr>
          <w:p>
            <w:r>
              <w:rPr>
                <w:rFonts w:ascii="Times New Roman" w:hAnsi="Times New Roman"/>
                <w:sz w:val="20"/>
              </w:rPr>
              <w:t>Table 7.1</w:t>
            </w:r>
          </w:p>
        </w:tc>
        <w:tc>
          <w:tcPr>
            <w:tcW w:type="dxa" w:w="2890"/>
          </w:tcPr>
          <w:p>
            <w:r>
              <w:rPr>
                <w:rFonts w:ascii="Times New Roman" w:hAnsi="Times New Roman"/>
                <w:sz w:val="20"/>
              </w:rPr>
              <w:t>System Performance Metrics Under Simulated Concurrent User Loads (Locust)</w:t>
            </w:r>
          </w:p>
        </w:tc>
        <w:tc>
          <w:tcPr>
            <w:tcW w:type="dxa" w:w="2890"/>
          </w:tcPr>
          <w:p>
            <w:pPr>
              <w:jc w:val="right"/>
            </w:pPr>
            <w:r>
              <w:rPr>
                <w:rFonts w:ascii="Times New Roman" w:hAnsi="Times New Roman"/>
                <w:sz w:val="20"/>
              </w:rPr>
              <w:t>78</w:t>
            </w:r>
          </w:p>
        </w:tc>
      </w:tr>
      <w:tr>
        <w:tc>
          <w:tcPr>
            <w:tcW w:type="dxa" w:w="2890"/>
          </w:tcPr>
          <w:p>
            <w:r>
              <w:rPr>
                <w:rFonts w:ascii="Times New Roman" w:hAnsi="Times New Roman"/>
                <w:sz w:val="20"/>
              </w:rPr>
              <w:t>Table 7.2</w:t>
            </w:r>
          </w:p>
        </w:tc>
        <w:tc>
          <w:tcPr>
            <w:tcW w:type="dxa" w:w="2890"/>
          </w:tcPr>
          <w:p>
            <w:r>
              <w:rPr>
                <w:rFonts w:ascii="Times New Roman" w:hAnsi="Times New Roman"/>
                <w:sz w:val="20"/>
              </w:rPr>
              <w:t>Master Test Execution Matrix (20 Formal Test Cases)</w:t>
            </w:r>
          </w:p>
        </w:tc>
        <w:tc>
          <w:tcPr>
            <w:tcW w:type="dxa" w:w="2890"/>
          </w:tcPr>
          <w:p>
            <w:pPr>
              <w:jc w:val="right"/>
            </w:pPr>
            <w:r>
              <w:rPr>
                <w:rFonts w:ascii="Times New Roman" w:hAnsi="Times New Roman"/>
                <w:sz w:val="20"/>
              </w:rPr>
              <w:t>83</w:t>
            </w:r>
          </w:p>
        </w:tc>
      </w:tr>
      <w:tr>
        <w:tc>
          <w:tcPr>
            <w:tcW w:type="dxa" w:w="2890"/>
          </w:tcPr>
          <w:p>
            <w:r>
              <w:rPr>
                <w:rFonts w:ascii="Times New Roman" w:hAnsi="Times New Roman"/>
                <w:sz w:val="20"/>
              </w:rPr>
              <w:t>Table 8.1</w:t>
            </w:r>
          </w:p>
        </w:tc>
        <w:tc>
          <w:tcPr>
            <w:tcW w:type="dxa" w:w="2890"/>
          </w:tcPr>
          <w:p>
            <w:r>
              <w:rPr>
                <w:rFonts w:ascii="Times New Roman" w:hAnsi="Times New Roman"/>
                <w:sz w:val="20"/>
              </w:rPr>
              <w:t>Primary Diagnostic Evaluation Metrics with Clopper-Pearson 95% CIs</w:t>
            </w:r>
          </w:p>
        </w:tc>
        <w:tc>
          <w:tcPr>
            <w:tcW w:type="dxa" w:w="2890"/>
          </w:tcPr>
          <w:p>
            <w:pPr>
              <w:jc w:val="right"/>
            </w:pPr>
            <w:r>
              <w:rPr>
                <w:rFonts w:ascii="Times New Roman" w:hAnsi="Times New Roman"/>
                <w:sz w:val="20"/>
              </w:rPr>
              <w:t>87</w:t>
            </w:r>
          </w:p>
        </w:tc>
      </w:tr>
      <w:tr>
        <w:tc>
          <w:tcPr>
            <w:tcW w:type="dxa" w:w="2890"/>
          </w:tcPr>
          <w:p>
            <w:r>
              <w:rPr>
                <w:rFonts w:ascii="Times New Roman" w:hAnsi="Times New Roman"/>
                <w:sz w:val="20"/>
              </w:rPr>
              <w:t>Table 8.2</w:t>
            </w:r>
          </w:p>
        </w:tc>
        <w:tc>
          <w:tcPr>
            <w:tcW w:type="dxa" w:w="2890"/>
          </w:tcPr>
          <w:p>
            <w:r>
              <w:rPr>
                <w:rFonts w:ascii="Times New Roman" w:hAnsi="Times New Roman"/>
                <w:sz w:val="20"/>
              </w:rPr>
              <w:t>Comparative Benchmark Against Component Baselines and Literature</w:t>
            </w:r>
          </w:p>
        </w:tc>
        <w:tc>
          <w:tcPr>
            <w:tcW w:type="dxa" w:w="2890"/>
          </w:tcPr>
          <w:p>
            <w:pPr>
              <w:jc w:val="right"/>
            </w:pPr>
            <w:r>
              <w:rPr>
                <w:rFonts w:ascii="Times New Roman" w:hAnsi="Times New Roman"/>
                <w:sz w:val="20"/>
              </w:rPr>
              <w:t>92</w:t>
            </w:r>
          </w:p>
        </w:tc>
      </w:tr>
      <w:tr>
        <w:tc>
          <w:tcPr>
            <w:tcW w:type="dxa" w:w="2890"/>
          </w:tcPr>
          <w:p>
            <w:r>
              <w:rPr>
                <w:rFonts w:ascii="Times New Roman" w:hAnsi="Times New Roman"/>
                <w:sz w:val="20"/>
              </w:rPr>
              <w:t>Table 8.3</w:t>
            </w:r>
          </w:p>
        </w:tc>
        <w:tc>
          <w:tcPr>
            <w:tcW w:type="dxa" w:w="2890"/>
          </w:tcPr>
          <w:p>
            <w:r>
              <w:rPr>
                <w:rFonts w:ascii="Times New Roman" w:hAnsi="Times New Roman"/>
                <w:sz w:val="20"/>
              </w:rPr>
              <w:t>Ablation Study Quantitative Performance Progression Across Six Stages</w:t>
            </w:r>
          </w:p>
        </w:tc>
        <w:tc>
          <w:tcPr>
            <w:tcW w:type="dxa" w:w="2890"/>
          </w:tcPr>
          <w:p>
            <w:pPr>
              <w:jc w:val="right"/>
            </w:pPr>
            <w:r>
              <w:rPr>
                <w:rFonts w:ascii="Times New Roman" w:hAnsi="Times New Roman"/>
                <w:sz w:val="20"/>
              </w:rPr>
              <w:t>94</w:t>
            </w:r>
          </w:p>
        </w:tc>
      </w:tr>
      <w:tr>
        <w:tc>
          <w:tcPr>
            <w:tcW w:type="dxa" w:w="2890"/>
          </w:tcPr>
          <w:p>
            <w:r>
              <w:rPr>
                <w:rFonts w:ascii="Times New Roman" w:hAnsi="Times New Roman"/>
                <w:sz w:val="20"/>
              </w:rPr>
              <w:t>Table 8.4</w:t>
            </w:r>
          </w:p>
        </w:tc>
        <w:tc>
          <w:tcPr>
            <w:tcW w:type="dxa" w:w="2890"/>
          </w:tcPr>
          <w:p>
            <w:r>
              <w:rPr>
                <w:rFonts w:ascii="Times New Roman" w:hAnsi="Times New Roman"/>
                <w:sz w:val="20"/>
              </w:rPr>
              <w:t>Hardware Execution Profiling and Latency Comparison (FP32 vs. INT8)</w:t>
            </w:r>
          </w:p>
        </w:tc>
        <w:tc>
          <w:tcPr>
            <w:tcW w:type="dxa" w:w="2890"/>
          </w:tcPr>
          <w:p>
            <w:pPr>
              <w:jc w:val="right"/>
            </w:pPr>
            <w:r>
              <w:rPr>
                <w:rFonts w:ascii="Times New Roman" w:hAnsi="Times New Roman"/>
                <w:sz w:val="20"/>
              </w:rPr>
              <w:t>98</w:t>
            </w:r>
          </w:p>
        </w:tc>
      </w:tr>
      <w:tr>
        <w:tc>
          <w:tcPr>
            <w:tcW w:type="dxa" w:w="2890"/>
          </w:tcPr>
          <w:p>
            <w:r>
              <w:rPr>
                <w:rFonts w:ascii="Times New Roman" w:hAnsi="Times New Roman"/>
                <w:sz w:val="20"/>
              </w:rPr>
              <w:t>Table 9.1</w:t>
            </w:r>
          </w:p>
        </w:tc>
        <w:tc>
          <w:tcPr>
            <w:tcW w:type="dxa" w:w="2890"/>
          </w:tcPr>
          <w:p>
            <w:r>
              <w:rPr>
                <w:rFonts w:ascii="Times New Roman" w:hAnsi="Times New Roman"/>
                <w:sz w:val="20"/>
              </w:rPr>
              <w:t>Systematic Verification Audit of Project Engineering Objectives (O1 to O8)</w:t>
            </w:r>
          </w:p>
        </w:tc>
        <w:tc>
          <w:tcPr>
            <w:tcW w:type="dxa" w:w="2890"/>
          </w:tcPr>
          <w:p>
            <w:pPr>
              <w:jc w:val="right"/>
            </w:pPr>
            <w:r>
              <w:rPr>
                <w:rFonts w:ascii="Times New Roman" w:hAnsi="Times New Roman"/>
                <w:sz w:val="20"/>
              </w:rPr>
              <w:t>111</w:t>
            </w:r>
          </w:p>
        </w:tc>
      </w:tr>
    </w:tbl>
    <w:p>
      <w:r>
        <w:br w:type="page"/>
      </w:r>
    </w:p>
    <w:p>
      <w:pPr>
        <w:spacing w:before="0" w:after="280" w:line="360" w:lineRule="auto"/>
        <w:jc w:val="center"/>
      </w:pPr>
      <w:r>
        <w:rPr>
          <w:rFonts w:ascii="Times New Roman" w:hAnsi="Times New Roman"/>
          <w:b/>
          <w:i w:val="0"/>
          <w:color w:val="0A2D5A"/>
          <w:sz w:val="32"/>
        </w:rPr>
        <w:t>LIST OF ABBREVIATIONS</w:t>
      </w:r>
    </w:p>
    <w:tbl>
      <w:tblPr>
        <w:tblW w:type="auto" w:w="0"/>
        <w:jc w:val="center"/>
        <w:tblLook w:firstColumn="1" w:firstRow="1" w:lastColumn="0" w:lastRow="0" w:noHBand="0" w:noVBand="1" w:val="04A0"/>
      </w:tblPr>
      <w:tblGrid>
        <w:gridCol w:w="4334"/>
        <w:gridCol w:w="4334"/>
      </w:tblGrid>
      <w:tr>
        <w:tc>
          <w:tcPr>
            <w:tcW w:type="dxa" w:w="4334"/>
            <w:shd w:fill="EBF0F5"/>
            <w:tcMar>
              <w:top w:w="100" w:type="dxa"/>
              <w:bottom w:w="100" w:type="dxa"/>
              <w:left w:w="150" w:type="dxa"/>
              <w:right w:w="150" w:type="dxa"/>
            </w:tcMar>
          </w:tcPr>
          <w:p>
            <w:r>
              <w:rPr>
                <w:rFonts w:ascii="Times New Roman" w:hAnsi="Times New Roman"/>
                <w:b/>
                <w:sz w:val="22"/>
              </w:rPr>
              <w:t>Abbreviation</w:t>
            </w:r>
          </w:p>
        </w:tc>
        <w:tc>
          <w:tcPr>
            <w:tcW w:type="dxa" w:w="4334"/>
            <w:shd w:fill="EBF0F5"/>
            <w:tcMar>
              <w:top w:w="100" w:type="dxa"/>
              <w:bottom w:w="100" w:type="dxa"/>
              <w:left w:w="150" w:type="dxa"/>
              <w:right w:w="150" w:type="dxa"/>
            </w:tcMar>
          </w:tcPr>
          <w:p>
            <w:r>
              <w:rPr>
                <w:rFonts w:ascii="Times New Roman" w:hAnsi="Times New Roman"/>
                <w:b/>
                <w:sz w:val="22"/>
              </w:rPr>
              <w:t>Full Form / Definition</w:t>
            </w:r>
          </w:p>
        </w:tc>
      </w:tr>
      <w:tr>
        <w:tc>
          <w:tcPr>
            <w:tcW w:type="dxa" w:w="4334"/>
            <w:tcMar>
              <w:top w:w="60" w:type="dxa"/>
              <w:bottom w:w="60" w:type="dxa"/>
              <w:left w:w="120" w:type="dxa"/>
              <w:right w:w="120" w:type="dxa"/>
            </w:tcMar>
            <w:tcBorders>
              <w:bottom w:val="single" w:sz="2" w:space="0" w:color="E0E0E0"/>
            </w:tcBorders>
          </w:tcPr>
          <w:p>
            <w:r>
              <w:rPr>
                <w:rFonts w:ascii="Times New Roman" w:hAnsi="Times New Roman"/>
                <w:b/>
                <w:sz w:val="21"/>
              </w:rPr>
              <w:t>AI</w:t>
            </w:r>
          </w:p>
        </w:tc>
        <w:tc>
          <w:tcPr>
            <w:tcW w:type="dxa" w:w="4334"/>
            <w:tcMar>
              <w:top w:w="60" w:type="dxa"/>
              <w:bottom w:w="60" w:type="dxa"/>
              <w:left w:w="120" w:type="dxa"/>
              <w:right w:w="120" w:type="dxa"/>
            </w:tcMar>
            <w:tcBorders>
              <w:bottom w:val="single" w:sz="2" w:space="0" w:color="E0E0E0"/>
            </w:tcBorders>
          </w:tcPr>
          <w:p>
            <w:r>
              <w:rPr>
                <w:rFonts w:ascii="Times New Roman" w:hAnsi="Times New Roman"/>
                <w:sz w:val="21"/>
              </w:rPr>
              <w:t>Artificial Intelligence</w:t>
            </w:r>
          </w:p>
        </w:tc>
      </w:tr>
      <w:tr>
        <w:tc>
          <w:tcPr>
            <w:tcW w:type="dxa" w:w="4334"/>
            <w:tcMar>
              <w:top w:w="60" w:type="dxa"/>
              <w:bottom w:w="60" w:type="dxa"/>
              <w:left w:w="120" w:type="dxa"/>
              <w:right w:w="120" w:type="dxa"/>
            </w:tcMar>
            <w:tcBorders>
              <w:bottom w:val="single" w:sz="2" w:space="0" w:color="E0E0E0"/>
            </w:tcBorders>
          </w:tcPr>
          <w:p>
            <w:r>
              <w:rPr>
                <w:rFonts w:ascii="Times New Roman" w:hAnsi="Times New Roman"/>
                <w:b/>
                <w:sz w:val="21"/>
              </w:rPr>
              <w:t>AJCC</w:t>
            </w:r>
          </w:p>
        </w:tc>
        <w:tc>
          <w:tcPr>
            <w:tcW w:type="dxa" w:w="4334"/>
            <w:tcMar>
              <w:top w:w="60" w:type="dxa"/>
              <w:bottom w:w="60" w:type="dxa"/>
              <w:left w:w="120" w:type="dxa"/>
              <w:right w:w="120" w:type="dxa"/>
            </w:tcMar>
            <w:tcBorders>
              <w:bottom w:val="single" w:sz="2" w:space="0" w:color="E0E0E0"/>
            </w:tcBorders>
          </w:tcPr>
          <w:p>
            <w:r>
              <w:rPr>
                <w:rFonts w:ascii="Times New Roman" w:hAnsi="Times New Roman"/>
                <w:sz w:val="21"/>
              </w:rPr>
              <w:t>American Joint Committee on Cancer</w:t>
            </w:r>
          </w:p>
        </w:tc>
      </w:tr>
      <w:tr>
        <w:tc>
          <w:tcPr>
            <w:tcW w:type="dxa" w:w="4334"/>
            <w:tcMar>
              <w:top w:w="60" w:type="dxa"/>
              <w:bottom w:w="60" w:type="dxa"/>
              <w:left w:w="120" w:type="dxa"/>
              <w:right w:w="120" w:type="dxa"/>
            </w:tcMar>
            <w:tcBorders>
              <w:bottom w:val="single" w:sz="2" w:space="0" w:color="E0E0E0"/>
            </w:tcBorders>
          </w:tcPr>
          <w:p>
            <w:r>
              <w:rPr>
                <w:rFonts w:ascii="Times New Roman" w:hAnsi="Times New Roman"/>
                <w:b/>
                <w:sz w:val="21"/>
              </w:rPr>
              <w:t>API</w:t>
            </w:r>
          </w:p>
        </w:tc>
        <w:tc>
          <w:tcPr>
            <w:tcW w:type="dxa" w:w="4334"/>
            <w:tcMar>
              <w:top w:w="60" w:type="dxa"/>
              <w:bottom w:w="60" w:type="dxa"/>
              <w:left w:w="120" w:type="dxa"/>
              <w:right w:w="120" w:type="dxa"/>
            </w:tcMar>
            <w:tcBorders>
              <w:bottom w:val="single" w:sz="2" w:space="0" w:color="E0E0E0"/>
            </w:tcBorders>
          </w:tcPr>
          <w:p>
            <w:r>
              <w:rPr>
                <w:rFonts w:ascii="Times New Roman" w:hAnsi="Times New Roman"/>
                <w:sz w:val="21"/>
              </w:rPr>
              <w:t>Application Programming Interface</w:t>
            </w:r>
          </w:p>
        </w:tc>
      </w:tr>
      <w:tr>
        <w:tc>
          <w:tcPr>
            <w:tcW w:type="dxa" w:w="4334"/>
            <w:tcMar>
              <w:top w:w="60" w:type="dxa"/>
              <w:bottom w:w="60" w:type="dxa"/>
              <w:left w:w="120" w:type="dxa"/>
              <w:right w:w="120" w:type="dxa"/>
            </w:tcMar>
            <w:tcBorders>
              <w:bottom w:val="single" w:sz="2" w:space="0" w:color="E0E0E0"/>
            </w:tcBorders>
          </w:tcPr>
          <w:p>
            <w:r>
              <w:rPr>
                <w:rFonts w:ascii="Times New Roman" w:hAnsi="Times New Roman"/>
                <w:b/>
                <w:sz w:val="21"/>
              </w:rPr>
              <w:t>AUC</w:t>
            </w:r>
          </w:p>
        </w:tc>
        <w:tc>
          <w:tcPr>
            <w:tcW w:type="dxa" w:w="4334"/>
            <w:tcMar>
              <w:top w:w="60" w:type="dxa"/>
              <w:bottom w:w="60" w:type="dxa"/>
              <w:left w:w="120" w:type="dxa"/>
              <w:right w:w="120" w:type="dxa"/>
            </w:tcMar>
            <w:tcBorders>
              <w:bottom w:val="single" w:sz="2" w:space="0" w:color="E0E0E0"/>
            </w:tcBorders>
          </w:tcPr>
          <w:p>
            <w:r>
              <w:rPr>
                <w:rFonts w:ascii="Times New Roman" w:hAnsi="Times New Roman"/>
                <w:sz w:val="21"/>
              </w:rPr>
              <w:t>Area Under the Curve</w:t>
            </w:r>
          </w:p>
        </w:tc>
      </w:tr>
      <w:tr>
        <w:tc>
          <w:tcPr>
            <w:tcW w:type="dxa" w:w="4334"/>
            <w:tcMar>
              <w:top w:w="60" w:type="dxa"/>
              <w:bottom w:w="60" w:type="dxa"/>
              <w:left w:w="120" w:type="dxa"/>
              <w:right w:w="120" w:type="dxa"/>
            </w:tcMar>
            <w:tcBorders>
              <w:bottom w:val="single" w:sz="2" w:space="0" w:color="E0E0E0"/>
            </w:tcBorders>
          </w:tcPr>
          <w:p>
            <w:r>
              <w:rPr>
                <w:rFonts w:ascii="Times New Roman" w:hAnsi="Times New Roman"/>
                <w:b/>
                <w:sz w:val="21"/>
              </w:rPr>
              <w:t>AUROC</w:t>
            </w:r>
          </w:p>
        </w:tc>
        <w:tc>
          <w:tcPr>
            <w:tcW w:type="dxa" w:w="4334"/>
            <w:tcMar>
              <w:top w:w="60" w:type="dxa"/>
              <w:bottom w:w="60" w:type="dxa"/>
              <w:left w:w="120" w:type="dxa"/>
              <w:right w:w="120" w:type="dxa"/>
            </w:tcMar>
            <w:tcBorders>
              <w:bottom w:val="single" w:sz="2" w:space="0" w:color="E0E0E0"/>
            </w:tcBorders>
          </w:tcPr>
          <w:p>
            <w:r>
              <w:rPr>
                <w:rFonts w:ascii="Times New Roman" w:hAnsi="Times New Roman"/>
                <w:sz w:val="21"/>
              </w:rPr>
              <w:t>Area Under the Receiver Operating Characteristic</w:t>
            </w:r>
          </w:p>
        </w:tc>
      </w:tr>
      <w:tr>
        <w:tc>
          <w:tcPr>
            <w:tcW w:type="dxa" w:w="4334"/>
            <w:tcMar>
              <w:top w:w="60" w:type="dxa"/>
              <w:bottom w:w="60" w:type="dxa"/>
              <w:left w:w="120" w:type="dxa"/>
              <w:right w:w="120" w:type="dxa"/>
            </w:tcMar>
            <w:tcBorders>
              <w:bottom w:val="single" w:sz="2" w:space="0" w:color="E0E0E0"/>
            </w:tcBorders>
          </w:tcPr>
          <w:p>
            <w:r>
              <w:rPr>
                <w:rFonts w:ascii="Times New Roman" w:hAnsi="Times New Roman"/>
                <w:b/>
                <w:sz w:val="21"/>
              </w:rPr>
              <w:t>CBCT</w:t>
            </w:r>
          </w:p>
        </w:tc>
        <w:tc>
          <w:tcPr>
            <w:tcW w:type="dxa" w:w="4334"/>
            <w:tcMar>
              <w:top w:w="60" w:type="dxa"/>
              <w:bottom w:w="60" w:type="dxa"/>
              <w:left w:w="120" w:type="dxa"/>
              <w:right w:w="120" w:type="dxa"/>
            </w:tcMar>
            <w:tcBorders>
              <w:bottom w:val="single" w:sz="2" w:space="0" w:color="E0E0E0"/>
            </w:tcBorders>
          </w:tcPr>
          <w:p>
            <w:r>
              <w:rPr>
                <w:rFonts w:ascii="Times New Roman" w:hAnsi="Times New Roman"/>
                <w:sz w:val="21"/>
              </w:rPr>
              <w:t>Cone-Beam Computed Tomography</w:t>
            </w:r>
          </w:p>
        </w:tc>
      </w:tr>
      <w:tr>
        <w:tc>
          <w:tcPr>
            <w:tcW w:type="dxa" w:w="4334"/>
            <w:tcMar>
              <w:top w:w="60" w:type="dxa"/>
              <w:bottom w:w="60" w:type="dxa"/>
              <w:left w:w="120" w:type="dxa"/>
              <w:right w:w="120" w:type="dxa"/>
            </w:tcMar>
            <w:tcBorders>
              <w:bottom w:val="single" w:sz="2" w:space="0" w:color="E0E0E0"/>
            </w:tcBorders>
          </w:tcPr>
          <w:p>
            <w:r>
              <w:rPr>
                <w:rFonts w:ascii="Times New Roman" w:hAnsi="Times New Roman"/>
                <w:b/>
                <w:sz w:val="21"/>
              </w:rPr>
              <w:t>CI</w:t>
            </w:r>
          </w:p>
        </w:tc>
        <w:tc>
          <w:tcPr>
            <w:tcW w:type="dxa" w:w="4334"/>
            <w:tcMar>
              <w:top w:w="60" w:type="dxa"/>
              <w:bottom w:w="60" w:type="dxa"/>
              <w:left w:w="120" w:type="dxa"/>
              <w:right w:w="120" w:type="dxa"/>
            </w:tcMar>
            <w:tcBorders>
              <w:bottom w:val="single" w:sz="2" w:space="0" w:color="E0E0E0"/>
            </w:tcBorders>
          </w:tcPr>
          <w:p>
            <w:r>
              <w:rPr>
                <w:rFonts w:ascii="Times New Roman" w:hAnsi="Times New Roman"/>
                <w:sz w:val="21"/>
              </w:rPr>
              <w:t>Confidence Interval</w:t>
            </w:r>
          </w:p>
        </w:tc>
      </w:tr>
      <w:tr>
        <w:tc>
          <w:tcPr>
            <w:tcW w:type="dxa" w:w="4334"/>
            <w:tcMar>
              <w:top w:w="60" w:type="dxa"/>
              <w:bottom w:w="60" w:type="dxa"/>
              <w:left w:w="120" w:type="dxa"/>
              <w:right w:w="120" w:type="dxa"/>
            </w:tcMar>
            <w:tcBorders>
              <w:bottom w:val="single" w:sz="2" w:space="0" w:color="E0E0E0"/>
            </w:tcBorders>
          </w:tcPr>
          <w:p>
            <w:r>
              <w:rPr>
                <w:rFonts w:ascii="Times New Roman" w:hAnsi="Times New Roman"/>
                <w:b/>
                <w:sz w:val="21"/>
              </w:rPr>
              <w:t>CLAHE</w:t>
            </w:r>
          </w:p>
        </w:tc>
        <w:tc>
          <w:tcPr>
            <w:tcW w:type="dxa" w:w="4334"/>
            <w:tcMar>
              <w:top w:w="60" w:type="dxa"/>
              <w:bottom w:w="60" w:type="dxa"/>
              <w:left w:w="120" w:type="dxa"/>
              <w:right w:w="120" w:type="dxa"/>
            </w:tcMar>
            <w:tcBorders>
              <w:bottom w:val="single" w:sz="2" w:space="0" w:color="E0E0E0"/>
            </w:tcBorders>
          </w:tcPr>
          <w:p>
            <w:r>
              <w:rPr>
                <w:rFonts w:ascii="Times New Roman" w:hAnsi="Times New Roman"/>
                <w:sz w:val="21"/>
              </w:rPr>
              <w:t>Contrast Limited Adaptive Histogram Equalization</w:t>
            </w:r>
          </w:p>
        </w:tc>
      </w:tr>
      <w:tr>
        <w:tc>
          <w:tcPr>
            <w:tcW w:type="dxa" w:w="4334"/>
            <w:tcMar>
              <w:top w:w="60" w:type="dxa"/>
              <w:bottom w:w="60" w:type="dxa"/>
              <w:left w:w="120" w:type="dxa"/>
              <w:right w:w="120" w:type="dxa"/>
            </w:tcMar>
            <w:tcBorders>
              <w:bottom w:val="single" w:sz="2" w:space="0" w:color="E0E0E0"/>
            </w:tcBorders>
          </w:tcPr>
          <w:p>
            <w:r>
              <w:rPr>
                <w:rFonts w:ascii="Times New Roman" w:hAnsi="Times New Roman"/>
                <w:b/>
                <w:sz w:val="21"/>
              </w:rPr>
              <w:t>CNN</w:t>
            </w:r>
          </w:p>
        </w:tc>
        <w:tc>
          <w:tcPr>
            <w:tcW w:type="dxa" w:w="4334"/>
            <w:tcMar>
              <w:top w:w="60" w:type="dxa"/>
              <w:bottom w:w="60" w:type="dxa"/>
              <w:left w:w="120" w:type="dxa"/>
              <w:right w:w="120" w:type="dxa"/>
            </w:tcMar>
            <w:tcBorders>
              <w:bottom w:val="single" w:sz="2" w:space="0" w:color="E0E0E0"/>
            </w:tcBorders>
          </w:tcPr>
          <w:p>
            <w:r>
              <w:rPr>
                <w:rFonts w:ascii="Times New Roman" w:hAnsi="Times New Roman"/>
                <w:sz w:val="21"/>
              </w:rPr>
              <w:t>Convolutional Neural Network</w:t>
            </w:r>
          </w:p>
        </w:tc>
      </w:tr>
      <w:tr>
        <w:tc>
          <w:tcPr>
            <w:tcW w:type="dxa" w:w="4334"/>
            <w:tcMar>
              <w:top w:w="60" w:type="dxa"/>
              <w:bottom w:w="60" w:type="dxa"/>
              <w:left w:w="120" w:type="dxa"/>
              <w:right w:w="120" w:type="dxa"/>
            </w:tcMar>
            <w:tcBorders>
              <w:bottom w:val="single" w:sz="2" w:space="0" w:color="E0E0E0"/>
            </w:tcBorders>
          </w:tcPr>
          <w:p>
            <w:r>
              <w:rPr>
                <w:rFonts w:ascii="Times New Roman" w:hAnsi="Times New Roman"/>
                <w:b/>
                <w:sz w:val="21"/>
              </w:rPr>
              <w:t>CPU</w:t>
            </w:r>
          </w:p>
        </w:tc>
        <w:tc>
          <w:tcPr>
            <w:tcW w:type="dxa" w:w="4334"/>
            <w:tcMar>
              <w:top w:w="60" w:type="dxa"/>
              <w:bottom w:w="60" w:type="dxa"/>
              <w:left w:w="120" w:type="dxa"/>
              <w:right w:w="120" w:type="dxa"/>
            </w:tcMar>
            <w:tcBorders>
              <w:bottom w:val="single" w:sz="2" w:space="0" w:color="E0E0E0"/>
            </w:tcBorders>
          </w:tcPr>
          <w:p>
            <w:r>
              <w:rPr>
                <w:rFonts w:ascii="Times New Roman" w:hAnsi="Times New Roman"/>
                <w:sz w:val="21"/>
              </w:rPr>
              <w:t>Central Processing Unit</w:t>
            </w:r>
          </w:p>
        </w:tc>
      </w:tr>
      <w:tr>
        <w:tc>
          <w:tcPr>
            <w:tcW w:type="dxa" w:w="4334"/>
            <w:tcMar>
              <w:top w:w="60" w:type="dxa"/>
              <w:bottom w:w="60" w:type="dxa"/>
              <w:left w:w="120" w:type="dxa"/>
              <w:right w:w="120" w:type="dxa"/>
            </w:tcMar>
            <w:tcBorders>
              <w:bottom w:val="single" w:sz="2" w:space="0" w:color="E0E0E0"/>
            </w:tcBorders>
          </w:tcPr>
          <w:p>
            <w:r>
              <w:rPr>
                <w:rFonts w:ascii="Times New Roman" w:hAnsi="Times New Roman"/>
                <w:b/>
                <w:sz w:val="21"/>
              </w:rPr>
              <w:t>CORS</w:t>
            </w:r>
          </w:p>
        </w:tc>
        <w:tc>
          <w:tcPr>
            <w:tcW w:type="dxa" w:w="4334"/>
            <w:tcMar>
              <w:top w:w="60" w:type="dxa"/>
              <w:bottom w:w="60" w:type="dxa"/>
              <w:left w:w="120" w:type="dxa"/>
              <w:right w:w="120" w:type="dxa"/>
            </w:tcMar>
            <w:tcBorders>
              <w:bottom w:val="single" w:sz="2" w:space="0" w:color="E0E0E0"/>
            </w:tcBorders>
          </w:tcPr>
          <w:p>
            <w:r>
              <w:rPr>
                <w:rFonts w:ascii="Times New Roman" w:hAnsi="Times New Roman"/>
                <w:sz w:val="21"/>
              </w:rPr>
              <w:t>Cross-Origin Resource Sharing</w:t>
            </w:r>
          </w:p>
        </w:tc>
      </w:tr>
      <w:tr>
        <w:tc>
          <w:tcPr>
            <w:tcW w:type="dxa" w:w="4334"/>
            <w:tcMar>
              <w:top w:w="60" w:type="dxa"/>
              <w:bottom w:w="60" w:type="dxa"/>
              <w:left w:w="120" w:type="dxa"/>
              <w:right w:w="120" w:type="dxa"/>
            </w:tcMar>
            <w:tcBorders>
              <w:bottom w:val="single" w:sz="2" w:space="0" w:color="E0E0E0"/>
            </w:tcBorders>
          </w:tcPr>
          <w:p>
            <w:r>
              <w:rPr>
                <w:rFonts w:ascii="Times New Roman" w:hAnsi="Times New Roman"/>
                <w:b/>
                <w:sz w:val="21"/>
              </w:rPr>
              <w:t>CSP</w:t>
            </w:r>
          </w:p>
        </w:tc>
        <w:tc>
          <w:tcPr>
            <w:tcW w:type="dxa" w:w="4334"/>
            <w:tcMar>
              <w:top w:w="60" w:type="dxa"/>
              <w:bottom w:w="60" w:type="dxa"/>
              <w:left w:w="120" w:type="dxa"/>
              <w:right w:w="120" w:type="dxa"/>
            </w:tcMar>
            <w:tcBorders>
              <w:bottom w:val="single" w:sz="2" w:space="0" w:color="E0E0E0"/>
            </w:tcBorders>
          </w:tcPr>
          <w:p>
            <w:r>
              <w:rPr>
                <w:rFonts w:ascii="Times New Roman" w:hAnsi="Times New Roman"/>
                <w:sz w:val="21"/>
              </w:rPr>
              <w:t>Content Security Policy</w:t>
            </w:r>
          </w:p>
        </w:tc>
      </w:tr>
      <w:tr>
        <w:tc>
          <w:tcPr>
            <w:tcW w:type="dxa" w:w="4334"/>
            <w:tcMar>
              <w:top w:w="60" w:type="dxa"/>
              <w:bottom w:w="60" w:type="dxa"/>
              <w:left w:w="120" w:type="dxa"/>
              <w:right w:w="120" w:type="dxa"/>
            </w:tcMar>
            <w:tcBorders>
              <w:bottom w:val="single" w:sz="2" w:space="0" w:color="E0E0E0"/>
            </w:tcBorders>
          </w:tcPr>
          <w:p>
            <w:r>
              <w:rPr>
                <w:rFonts w:ascii="Times New Roman" w:hAnsi="Times New Roman"/>
                <w:b/>
                <w:sz w:val="21"/>
              </w:rPr>
              <w:t>CSS</w:t>
            </w:r>
          </w:p>
        </w:tc>
        <w:tc>
          <w:tcPr>
            <w:tcW w:type="dxa" w:w="4334"/>
            <w:tcMar>
              <w:top w:w="60" w:type="dxa"/>
              <w:bottom w:w="60" w:type="dxa"/>
              <w:left w:w="120" w:type="dxa"/>
              <w:right w:w="120" w:type="dxa"/>
            </w:tcMar>
            <w:tcBorders>
              <w:bottom w:val="single" w:sz="2" w:space="0" w:color="E0E0E0"/>
            </w:tcBorders>
          </w:tcPr>
          <w:p>
            <w:r>
              <w:rPr>
                <w:rFonts w:ascii="Times New Roman" w:hAnsi="Times New Roman"/>
                <w:sz w:val="21"/>
              </w:rPr>
              <w:t>Cascading Style Sheets</w:t>
            </w:r>
          </w:p>
        </w:tc>
      </w:tr>
      <w:tr>
        <w:tc>
          <w:tcPr>
            <w:tcW w:type="dxa" w:w="4334"/>
            <w:tcMar>
              <w:top w:w="60" w:type="dxa"/>
              <w:bottom w:w="60" w:type="dxa"/>
              <w:left w:w="120" w:type="dxa"/>
              <w:right w:w="120" w:type="dxa"/>
            </w:tcMar>
            <w:tcBorders>
              <w:bottom w:val="single" w:sz="2" w:space="0" w:color="E0E0E0"/>
            </w:tcBorders>
          </w:tcPr>
          <w:p>
            <w:r>
              <w:rPr>
                <w:rFonts w:ascii="Times New Roman" w:hAnsi="Times New Roman"/>
                <w:b/>
                <w:sz w:val="21"/>
              </w:rPr>
              <w:t>CSV</w:t>
            </w:r>
          </w:p>
        </w:tc>
        <w:tc>
          <w:tcPr>
            <w:tcW w:type="dxa" w:w="4334"/>
            <w:tcMar>
              <w:top w:w="60" w:type="dxa"/>
              <w:bottom w:w="60" w:type="dxa"/>
              <w:left w:w="120" w:type="dxa"/>
              <w:right w:w="120" w:type="dxa"/>
            </w:tcMar>
            <w:tcBorders>
              <w:bottom w:val="single" w:sz="2" w:space="0" w:color="E0E0E0"/>
            </w:tcBorders>
          </w:tcPr>
          <w:p>
            <w:r>
              <w:rPr>
                <w:rFonts w:ascii="Times New Roman" w:hAnsi="Times New Roman"/>
                <w:sz w:val="21"/>
              </w:rPr>
              <w:t>Comma-Separated Values</w:t>
            </w:r>
          </w:p>
        </w:tc>
      </w:tr>
      <w:tr>
        <w:tc>
          <w:tcPr>
            <w:tcW w:type="dxa" w:w="4334"/>
            <w:tcMar>
              <w:top w:w="60" w:type="dxa"/>
              <w:bottom w:w="60" w:type="dxa"/>
              <w:left w:w="120" w:type="dxa"/>
              <w:right w:w="120" w:type="dxa"/>
            </w:tcMar>
            <w:tcBorders>
              <w:bottom w:val="single" w:sz="2" w:space="0" w:color="E0E0E0"/>
            </w:tcBorders>
          </w:tcPr>
          <w:p>
            <w:r>
              <w:rPr>
                <w:rFonts w:ascii="Times New Roman" w:hAnsi="Times New Roman"/>
                <w:b/>
                <w:sz w:val="21"/>
              </w:rPr>
              <w:t>DICOM</w:t>
            </w:r>
          </w:p>
        </w:tc>
        <w:tc>
          <w:tcPr>
            <w:tcW w:type="dxa" w:w="4334"/>
            <w:tcMar>
              <w:top w:w="60" w:type="dxa"/>
              <w:bottom w:w="60" w:type="dxa"/>
              <w:left w:w="120" w:type="dxa"/>
              <w:right w:w="120" w:type="dxa"/>
            </w:tcMar>
            <w:tcBorders>
              <w:bottom w:val="single" w:sz="2" w:space="0" w:color="E0E0E0"/>
            </w:tcBorders>
          </w:tcPr>
          <w:p>
            <w:r>
              <w:rPr>
                <w:rFonts w:ascii="Times New Roman" w:hAnsi="Times New Roman"/>
                <w:sz w:val="21"/>
              </w:rPr>
              <w:t>Digital Imaging and Communications in Medicine</w:t>
            </w:r>
          </w:p>
        </w:tc>
      </w:tr>
      <w:tr>
        <w:tc>
          <w:tcPr>
            <w:tcW w:type="dxa" w:w="4334"/>
            <w:tcMar>
              <w:top w:w="60" w:type="dxa"/>
              <w:bottom w:w="60" w:type="dxa"/>
              <w:left w:w="120" w:type="dxa"/>
              <w:right w:w="120" w:type="dxa"/>
            </w:tcMar>
            <w:tcBorders>
              <w:bottom w:val="single" w:sz="2" w:space="0" w:color="E0E0E0"/>
            </w:tcBorders>
          </w:tcPr>
          <w:p>
            <w:r>
              <w:rPr>
                <w:rFonts w:ascii="Times New Roman" w:hAnsi="Times New Roman"/>
                <w:b/>
                <w:sz w:val="21"/>
              </w:rPr>
              <w:t>DL</w:t>
            </w:r>
          </w:p>
        </w:tc>
        <w:tc>
          <w:tcPr>
            <w:tcW w:type="dxa" w:w="4334"/>
            <w:tcMar>
              <w:top w:w="60" w:type="dxa"/>
              <w:bottom w:w="60" w:type="dxa"/>
              <w:left w:w="120" w:type="dxa"/>
              <w:right w:w="120" w:type="dxa"/>
            </w:tcMar>
            <w:tcBorders>
              <w:bottom w:val="single" w:sz="2" w:space="0" w:color="E0E0E0"/>
            </w:tcBorders>
          </w:tcPr>
          <w:p>
            <w:r>
              <w:rPr>
                <w:rFonts w:ascii="Times New Roman" w:hAnsi="Times New Roman"/>
                <w:sz w:val="21"/>
              </w:rPr>
              <w:t>Deep Learning</w:t>
            </w:r>
          </w:p>
        </w:tc>
      </w:tr>
      <w:tr>
        <w:tc>
          <w:tcPr>
            <w:tcW w:type="dxa" w:w="4334"/>
            <w:tcMar>
              <w:top w:w="60" w:type="dxa"/>
              <w:bottom w:w="60" w:type="dxa"/>
              <w:left w:w="120" w:type="dxa"/>
              <w:right w:w="120" w:type="dxa"/>
            </w:tcMar>
            <w:tcBorders>
              <w:bottom w:val="single" w:sz="2" w:space="0" w:color="E0E0E0"/>
            </w:tcBorders>
          </w:tcPr>
          <w:p>
            <w:r>
              <w:rPr>
                <w:rFonts w:ascii="Times New Roman" w:hAnsi="Times New Roman"/>
                <w:b/>
                <w:sz w:val="21"/>
              </w:rPr>
              <w:t>DNN</w:t>
            </w:r>
          </w:p>
        </w:tc>
        <w:tc>
          <w:tcPr>
            <w:tcW w:type="dxa" w:w="4334"/>
            <w:tcMar>
              <w:top w:w="60" w:type="dxa"/>
              <w:bottom w:w="60" w:type="dxa"/>
              <w:left w:w="120" w:type="dxa"/>
              <w:right w:w="120" w:type="dxa"/>
            </w:tcMar>
            <w:tcBorders>
              <w:bottom w:val="single" w:sz="2" w:space="0" w:color="E0E0E0"/>
            </w:tcBorders>
          </w:tcPr>
          <w:p>
            <w:r>
              <w:rPr>
                <w:rFonts w:ascii="Times New Roman" w:hAnsi="Times New Roman"/>
                <w:sz w:val="21"/>
              </w:rPr>
              <w:t>Deep Neural Network</w:t>
            </w:r>
          </w:p>
        </w:tc>
      </w:tr>
      <w:tr>
        <w:tc>
          <w:tcPr>
            <w:tcW w:type="dxa" w:w="4334"/>
            <w:tcMar>
              <w:top w:w="60" w:type="dxa"/>
              <w:bottom w:w="60" w:type="dxa"/>
              <w:left w:w="120" w:type="dxa"/>
              <w:right w:w="120" w:type="dxa"/>
            </w:tcMar>
            <w:tcBorders>
              <w:bottom w:val="single" w:sz="2" w:space="0" w:color="E0E0E0"/>
            </w:tcBorders>
          </w:tcPr>
          <w:p>
            <w:r>
              <w:rPr>
                <w:rFonts w:ascii="Times New Roman" w:hAnsi="Times New Roman"/>
                <w:b/>
                <w:sz w:val="21"/>
              </w:rPr>
              <w:t>ERD</w:t>
            </w:r>
          </w:p>
        </w:tc>
        <w:tc>
          <w:tcPr>
            <w:tcW w:type="dxa" w:w="4334"/>
            <w:tcMar>
              <w:top w:w="60" w:type="dxa"/>
              <w:bottom w:w="60" w:type="dxa"/>
              <w:left w:w="120" w:type="dxa"/>
              <w:right w:w="120" w:type="dxa"/>
            </w:tcMar>
            <w:tcBorders>
              <w:bottom w:val="single" w:sz="2" w:space="0" w:color="E0E0E0"/>
            </w:tcBorders>
          </w:tcPr>
          <w:p>
            <w:r>
              <w:rPr>
                <w:rFonts w:ascii="Times New Roman" w:hAnsi="Times New Roman"/>
                <w:sz w:val="21"/>
              </w:rPr>
              <w:t>Entity-Relationship Diagram</w:t>
            </w:r>
          </w:p>
        </w:tc>
      </w:tr>
      <w:tr>
        <w:tc>
          <w:tcPr>
            <w:tcW w:type="dxa" w:w="4334"/>
            <w:tcMar>
              <w:top w:w="60" w:type="dxa"/>
              <w:bottom w:w="60" w:type="dxa"/>
              <w:left w:w="120" w:type="dxa"/>
              <w:right w:w="120" w:type="dxa"/>
            </w:tcMar>
            <w:tcBorders>
              <w:bottom w:val="single" w:sz="2" w:space="0" w:color="E0E0E0"/>
            </w:tcBorders>
          </w:tcPr>
          <w:p>
            <w:r>
              <w:rPr>
                <w:rFonts w:ascii="Times New Roman" w:hAnsi="Times New Roman"/>
                <w:b/>
                <w:sz w:val="21"/>
              </w:rPr>
              <w:t>FHIR</w:t>
            </w:r>
          </w:p>
        </w:tc>
        <w:tc>
          <w:tcPr>
            <w:tcW w:type="dxa" w:w="4334"/>
            <w:tcMar>
              <w:top w:w="60" w:type="dxa"/>
              <w:bottom w:w="60" w:type="dxa"/>
              <w:left w:w="120" w:type="dxa"/>
              <w:right w:w="120" w:type="dxa"/>
            </w:tcMar>
            <w:tcBorders>
              <w:bottom w:val="single" w:sz="2" w:space="0" w:color="E0E0E0"/>
            </w:tcBorders>
          </w:tcPr>
          <w:p>
            <w:r>
              <w:rPr>
                <w:rFonts w:ascii="Times New Roman" w:hAnsi="Times New Roman"/>
                <w:sz w:val="21"/>
              </w:rPr>
              <w:t>Fast Healthcare Interoperability Resources</w:t>
            </w:r>
          </w:p>
        </w:tc>
      </w:tr>
      <w:tr>
        <w:tc>
          <w:tcPr>
            <w:tcW w:type="dxa" w:w="4334"/>
            <w:tcMar>
              <w:top w:w="60" w:type="dxa"/>
              <w:bottom w:w="60" w:type="dxa"/>
              <w:left w:w="120" w:type="dxa"/>
              <w:right w:w="120" w:type="dxa"/>
            </w:tcMar>
            <w:tcBorders>
              <w:bottom w:val="single" w:sz="2" w:space="0" w:color="E0E0E0"/>
            </w:tcBorders>
          </w:tcPr>
          <w:p>
            <w:r>
              <w:rPr>
                <w:rFonts w:ascii="Times New Roman" w:hAnsi="Times New Roman"/>
                <w:b/>
                <w:sz w:val="21"/>
              </w:rPr>
              <w:t>FLOPs</w:t>
            </w:r>
          </w:p>
        </w:tc>
        <w:tc>
          <w:tcPr>
            <w:tcW w:type="dxa" w:w="4334"/>
            <w:tcMar>
              <w:top w:w="60" w:type="dxa"/>
              <w:bottom w:w="60" w:type="dxa"/>
              <w:left w:w="120" w:type="dxa"/>
              <w:right w:w="120" w:type="dxa"/>
            </w:tcMar>
            <w:tcBorders>
              <w:bottom w:val="single" w:sz="2" w:space="0" w:color="E0E0E0"/>
            </w:tcBorders>
          </w:tcPr>
          <w:p>
            <w:r>
              <w:rPr>
                <w:rFonts w:ascii="Times New Roman" w:hAnsi="Times New Roman"/>
                <w:sz w:val="21"/>
              </w:rPr>
              <w:t>Floating Point Operations</w:t>
            </w:r>
          </w:p>
        </w:tc>
      </w:tr>
      <w:tr>
        <w:tc>
          <w:tcPr>
            <w:tcW w:type="dxa" w:w="4334"/>
            <w:tcMar>
              <w:top w:w="60" w:type="dxa"/>
              <w:bottom w:w="60" w:type="dxa"/>
              <w:left w:w="120" w:type="dxa"/>
              <w:right w:w="120" w:type="dxa"/>
            </w:tcMar>
            <w:tcBorders>
              <w:bottom w:val="single" w:sz="2" w:space="0" w:color="E0E0E0"/>
            </w:tcBorders>
          </w:tcPr>
          <w:p>
            <w:r>
              <w:rPr>
                <w:rFonts w:ascii="Times New Roman" w:hAnsi="Times New Roman"/>
                <w:b/>
                <w:sz w:val="21"/>
              </w:rPr>
              <w:t>FN</w:t>
            </w:r>
          </w:p>
        </w:tc>
        <w:tc>
          <w:tcPr>
            <w:tcW w:type="dxa" w:w="4334"/>
            <w:tcMar>
              <w:top w:w="60" w:type="dxa"/>
              <w:bottom w:w="60" w:type="dxa"/>
              <w:left w:w="120" w:type="dxa"/>
              <w:right w:w="120" w:type="dxa"/>
            </w:tcMar>
            <w:tcBorders>
              <w:bottom w:val="single" w:sz="2" w:space="0" w:color="E0E0E0"/>
            </w:tcBorders>
          </w:tcPr>
          <w:p>
            <w:r>
              <w:rPr>
                <w:rFonts w:ascii="Times New Roman" w:hAnsi="Times New Roman"/>
                <w:sz w:val="21"/>
              </w:rPr>
              <w:t>False Negative</w:t>
            </w:r>
          </w:p>
        </w:tc>
      </w:tr>
      <w:tr>
        <w:tc>
          <w:tcPr>
            <w:tcW w:type="dxa" w:w="4334"/>
            <w:tcMar>
              <w:top w:w="60" w:type="dxa"/>
              <w:bottom w:w="60" w:type="dxa"/>
              <w:left w:w="120" w:type="dxa"/>
              <w:right w:w="120" w:type="dxa"/>
            </w:tcMar>
            <w:tcBorders>
              <w:bottom w:val="single" w:sz="2" w:space="0" w:color="E0E0E0"/>
            </w:tcBorders>
          </w:tcPr>
          <w:p>
            <w:r>
              <w:rPr>
                <w:rFonts w:ascii="Times New Roman" w:hAnsi="Times New Roman"/>
                <w:b/>
                <w:sz w:val="21"/>
              </w:rPr>
              <w:t>FPR</w:t>
            </w:r>
          </w:p>
        </w:tc>
        <w:tc>
          <w:tcPr>
            <w:tcW w:type="dxa" w:w="4334"/>
            <w:tcMar>
              <w:top w:w="60" w:type="dxa"/>
              <w:bottom w:w="60" w:type="dxa"/>
              <w:left w:w="120" w:type="dxa"/>
              <w:right w:w="120" w:type="dxa"/>
            </w:tcMar>
            <w:tcBorders>
              <w:bottom w:val="single" w:sz="2" w:space="0" w:color="E0E0E0"/>
            </w:tcBorders>
          </w:tcPr>
          <w:p>
            <w:r>
              <w:rPr>
                <w:rFonts w:ascii="Times New Roman" w:hAnsi="Times New Roman"/>
                <w:sz w:val="21"/>
              </w:rPr>
              <w:t>False Positive Rate</w:t>
            </w:r>
          </w:p>
        </w:tc>
      </w:tr>
      <w:tr>
        <w:tc>
          <w:tcPr>
            <w:tcW w:type="dxa" w:w="4334"/>
            <w:tcMar>
              <w:top w:w="60" w:type="dxa"/>
              <w:bottom w:w="60" w:type="dxa"/>
              <w:left w:w="120" w:type="dxa"/>
              <w:right w:w="120" w:type="dxa"/>
            </w:tcMar>
            <w:tcBorders>
              <w:bottom w:val="single" w:sz="2" w:space="0" w:color="E0E0E0"/>
            </w:tcBorders>
          </w:tcPr>
          <w:p>
            <w:r>
              <w:rPr>
                <w:rFonts w:ascii="Times New Roman" w:hAnsi="Times New Roman"/>
                <w:b/>
                <w:sz w:val="21"/>
              </w:rPr>
              <w:t>FP</w:t>
            </w:r>
          </w:p>
        </w:tc>
        <w:tc>
          <w:tcPr>
            <w:tcW w:type="dxa" w:w="4334"/>
            <w:tcMar>
              <w:top w:w="60" w:type="dxa"/>
              <w:bottom w:w="60" w:type="dxa"/>
              <w:left w:w="120" w:type="dxa"/>
              <w:right w:w="120" w:type="dxa"/>
            </w:tcMar>
            <w:tcBorders>
              <w:bottom w:val="single" w:sz="2" w:space="0" w:color="E0E0E0"/>
            </w:tcBorders>
          </w:tcPr>
          <w:p>
            <w:r>
              <w:rPr>
                <w:rFonts w:ascii="Times New Roman" w:hAnsi="Times New Roman"/>
                <w:sz w:val="21"/>
              </w:rPr>
              <w:t>False Positive</w:t>
            </w:r>
          </w:p>
        </w:tc>
      </w:tr>
      <w:tr>
        <w:tc>
          <w:tcPr>
            <w:tcW w:type="dxa" w:w="4334"/>
            <w:tcMar>
              <w:top w:w="60" w:type="dxa"/>
              <w:bottom w:w="60" w:type="dxa"/>
              <w:left w:w="120" w:type="dxa"/>
              <w:right w:w="120" w:type="dxa"/>
            </w:tcMar>
            <w:tcBorders>
              <w:bottom w:val="single" w:sz="2" w:space="0" w:color="E0E0E0"/>
            </w:tcBorders>
          </w:tcPr>
          <w:p>
            <w:r>
              <w:rPr>
                <w:rFonts w:ascii="Times New Roman" w:hAnsi="Times New Roman"/>
                <w:b/>
                <w:sz w:val="21"/>
              </w:rPr>
              <w:t>FP32</w:t>
            </w:r>
          </w:p>
        </w:tc>
        <w:tc>
          <w:tcPr>
            <w:tcW w:type="dxa" w:w="4334"/>
            <w:tcMar>
              <w:top w:w="60" w:type="dxa"/>
              <w:bottom w:w="60" w:type="dxa"/>
              <w:left w:w="120" w:type="dxa"/>
              <w:right w:w="120" w:type="dxa"/>
            </w:tcMar>
            <w:tcBorders>
              <w:bottom w:val="single" w:sz="2" w:space="0" w:color="E0E0E0"/>
            </w:tcBorders>
          </w:tcPr>
          <w:p>
            <w:r>
              <w:rPr>
                <w:rFonts w:ascii="Times New Roman" w:hAnsi="Times New Roman"/>
                <w:sz w:val="21"/>
              </w:rPr>
              <w:t>32-bit Floating Point</w:t>
            </w:r>
          </w:p>
        </w:tc>
      </w:tr>
      <w:tr>
        <w:tc>
          <w:tcPr>
            <w:tcW w:type="dxa" w:w="4334"/>
            <w:tcMar>
              <w:top w:w="60" w:type="dxa"/>
              <w:bottom w:w="60" w:type="dxa"/>
              <w:left w:w="120" w:type="dxa"/>
              <w:right w:w="120" w:type="dxa"/>
            </w:tcMar>
            <w:tcBorders>
              <w:bottom w:val="single" w:sz="2" w:space="0" w:color="E0E0E0"/>
            </w:tcBorders>
          </w:tcPr>
          <w:p>
            <w:r>
              <w:rPr>
                <w:rFonts w:ascii="Times New Roman" w:hAnsi="Times New Roman"/>
                <w:b/>
                <w:sz w:val="21"/>
              </w:rPr>
              <w:t>GPU</w:t>
            </w:r>
          </w:p>
        </w:tc>
        <w:tc>
          <w:tcPr>
            <w:tcW w:type="dxa" w:w="4334"/>
            <w:tcMar>
              <w:top w:w="60" w:type="dxa"/>
              <w:bottom w:w="60" w:type="dxa"/>
              <w:left w:w="120" w:type="dxa"/>
              <w:right w:w="120" w:type="dxa"/>
            </w:tcMar>
            <w:tcBorders>
              <w:bottom w:val="single" w:sz="2" w:space="0" w:color="E0E0E0"/>
            </w:tcBorders>
          </w:tcPr>
          <w:p>
            <w:r>
              <w:rPr>
                <w:rFonts w:ascii="Times New Roman" w:hAnsi="Times New Roman"/>
                <w:sz w:val="21"/>
              </w:rPr>
              <w:t>Graphics Processing Unit</w:t>
            </w:r>
          </w:p>
        </w:tc>
      </w:tr>
      <w:tr>
        <w:tc>
          <w:tcPr>
            <w:tcW w:type="dxa" w:w="4334"/>
            <w:tcMar>
              <w:top w:w="60" w:type="dxa"/>
              <w:bottom w:w="60" w:type="dxa"/>
              <w:left w:w="120" w:type="dxa"/>
              <w:right w:w="120" w:type="dxa"/>
            </w:tcMar>
            <w:tcBorders>
              <w:bottom w:val="single" w:sz="2" w:space="0" w:color="E0E0E0"/>
            </w:tcBorders>
          </w:tcPr>
          <w:p>
            <w:r>
              <w:rPr>
                <w:rFonts w:ascii="Times New Roman" w:hAnsi="Times New Roman"/>
                <w:b/>
                <w:sz w:val="21"/>
              </w:rPr>
              <w:t>Grad-CAM</w:t>
            </w:r>
          </w:p>
        </w:tc>
        <w:tc>
          <w:tcPr>
            <w:tcW w:type="dxa" w:w="4334"/>
            <w:tcMar>
              <w:top w:w="60" w:type="dxa"/>
              <w:bottom w:w="60" w:type="dxa"/>
              <w:left w:w="120" w:type="dxa"/>
              <w:right w:w="120" w:type="dxa"/>
            </w:tcMar>
            <w:tcBorders>
              <w:bottom w:val="single" w:sz="2" w:space="0" w:color="E0E0E0"/>
            </w:tcBorders>
          </w:tcPr>
          <w:p>
            <w:r>
              <w:rPr>
                <w:rFonts w:ascii="Times New Roman" w:hAnsi="Times New Roman"/>
                <w:sz w:val="21"/>
              </w:rPr>
              <w:t>Gradient-weighted Class Activation Mapping</w:t>
            </w:r>
          </w:p>
        </w:tc>
      </w:tr>
      <w:tr>
        <w:tc>
          <w:tcPr>
            <w:tcW w:type="dxa" w:w="4334"/>
            <w:tcMar>
              <w:top w:w="60" w:type="dxa"/>
              <w:bottom w:w="60" w:type="dxa"/>
              <w:left w:w="120" w:type="dxa"/>
              <w:right w:w="120" w:type="dxa"/>
            </w:tcMar>
            <w:tcBorders>
              <w:bottom w:val="single" w:sz="2" w:space="0" w:color="E0E0E0"/>
            </w:tcBorders>
          </w:tcPr>
          <w:p>
            <w:r>
              <w:rPr>
                <w:rFonts w:ascii="Times New Roman" w:hAnsi="Times New Roman"/>
                <w:b/>
                <w:sz w:val="21"/>
              </w:rPr>
              <w:t>Grad-CAM++</w:t>
            </w:r>
          </w:p>
        </w:tc>
        <w:tc>
          <w:tcPr>
            <w:tcW w:type="dxa" w:w="4334"/>
            <w:tcMar>
              <w:top w:w="60" w:type="dxa"/>
              <w:bottom w:w="60" w:type="dxa"/>
              <w:left w:w="120" w:type="dxa"/>
              <w:right w:w="120" w:type="dxa"/>
            </w:tcMar>
            <w:tcBorders>
              <w:bottom w:val="single" w:sz="2" w:space="0" w:color="E0E0E0"/>
            </w:tcBorders>
          </w:tcPr>
          <w:p>
            <w:r>
              <w:rPr>
                <w:rFonts w:ascii="Times New Roman" w:hAnsi="Times New Roman"/>
                <w:sz w:val="21"/>
              </w:rPr>
              <w:t>Generalized Gradient-Based Visual Explanations</w:t>
            </w:r>
          </w:p>
        </w:tc>
      </w:tr>
      <w:tr>
        <w:tc>
          <w:tcPr>
            <w:tcW w:type="dxa" w:w="4334"/>
            <w:tcMar>
              <w:top w:w="60" w:type="dxa"/>
              <w:bottom w:w="60" w:type="dxa"/>
              <w:left w:w="120" w:type="dxa"/>
              <w:right w:w="120" w:type="dxa"/>
            </w:tcMar>
            <w:tcBorders>
              <w:bottom w:val="single" w:sz="2" w:space="0" w:color="E0E0E0"/>
            </w:tcBorders>
          </w:tcPr>
          <w:p>
            <w:r>
              <w:rPr>
                <w:rFonts w:ascii="Times New Roman" w:hAnsi="Times New Roman"/>
                <w:b/>
                <w:sz w:val="21"/>
              </w:rPr>
              <w:t>GUI</w:t>
            </w:r>
          </w:p>
        </w:tc>
        <w:tc>
          <w:tcPr>
            <w:tcW w:type="dxa" w:w="4334"/>
            <w:tcMar>
              <w:top w:w="60" w:type="dxa"/>
              <w:bottom w:w="60" w:type="dxa"/>
              <w:left w:w="120" w:type="dxa"/>
              <w:right w:w="120" w:type="dxa"/>
            </w:tcMar>
            <w:tcBorders>
              <w:bottom w:val="single" w:sz="2" w:space="0" w:color="E0E0E0"/>
            </w:tcBorders>
          </w:tcPr>
          <w:p>
            <w:r>
              <w:rPr>
                <w:rFonts w:ascii="Times New Roman" w:hAnsi="Times New Roman"/>
                <w:sz w:val="21"/>
              </w:rPr>
              <w:t>Graphical User Interface</w:t>
            </w:r>
          </w:p>
        </w:tc>
      </w:tr>
      <w:tr>
        <w:tc>
          <w:tcPr>
            <w:tcW w:type="dxa" w:w="4334"/>
            <w:tcMar>
              <w:top w:w="60" w:type="dxa"/>
              <w:bottom w:w="60" w:type="dxa"/>
              <w:left w:w="120" w:type="dxa"/>
              <w:right w:w="120" w:type="dxa"/>
            </w:tcMar>
            <w:tcBorders>
              <w:bottom w:val="single" w:sz="2" w:space="0" w:color="E0E0E0"/>
            </w:tcBorders>
          </w:tcPr>
          <w:p>
            <w:r>
              <w:rPr>
                <w:rFonts w:ascii="Times New Roman" w:hAnsi="Times New Roman"/>
                <w:b/>
                <w:sz w:val="21"/>
              </w:rPr>
              <w:t>HIPAA</w:t>
            </w:r>
          </w:p>
        </w:tc>
        <w:tc>
          <w:tcPr>
            <w:tcW w:type="dxa" w:w="4334"/>
            <w:tcMar>
              <w:top w:w="60" w:type="dxa"/>
              <w:bottom w:w="60" w:type="dxa"/>
              <w:left w:w="120" w:type="dxa"/>
              <w:right w:w="120" w:type="dxa"/>
            </w:tcMar>
            <w:tcBorders>
              <w:bottom w:val="single" w:sz="2" w:space="0" w:color="E0E0E0"/>
            </w:tcBorders>
          </w:tcPr>
          <w:p>
            <w:r>
              <w:rPr>
                <w:rFonts w:ascii="Times New Roman" w:hAnsi="Times New Roman"/>
                <w:sz w:val="21"/>
              </w:rPr>
              <w:t>Health Insurance Portability and Accountability Act</w:t>
            </w:r>
          </w:p>
        </w:tc>
      </w:tr>
      <w:tr>
        <w:tc>
          <w:tcPr>
            <w:tcW w:type="dxa" w:w="4334"/>
            <w:tcMar>
              <w:top w:w="60" w:type="dxa"/>
              <w:bottom w:w="60" w:type="dxa"/>
              <w:left w:w="120" w:type="dxa"/>
              <w:right w:w="120" w:type="dxa"/>
            </w:tcMar>
            <w:tcBorders>
              <w:bottom w:val="single" w:sz="2" w:space="0" w:color="E0E0E0"/>
            </w:tcBorders>
          </w:tcPr>
          <w:p>
            <w:r>
              <w:rPr>
                <w:rFonts w:ascii="Times New Roman" w:hAnsi="Times New Roman"/>
                <w:b/>
                <w:sz w:val="21"/>
              </w:rPr>
              <w:t>HOD</w:t>
            </w:r>
          </w:p>
        </w:tc>
        <w:tc>
          <w:tcPr>
            <w:tcW w:type="dxa" w:w="4334"/>
            <w:tcMar>
              <w:top w:w="60" w:type="dxa"/>
              <w:bottom w:w="60" w:type="dxa"/>
              <w:left w:w="120" w:type="dxa"/>
              <w:right w:w="120" w:type="dxa"/>
            </w:tcMar>
            <w:tcBorders>
              <w:bottom w:val="single" w:sz="2" w:space="0" w:color="E0E0E0"/>
            </w:tcBorders>
          </w:tcPr>
          <w:p>
            <w:r>
              <w:rPr>
                <w:rFonts w:ascii="Times New Roman" w:hAnsi="Times New Roman"/>
                <w:sz w:val="21"/>
              </w:rPr>
              <w:t>Head of the Department</w:t>
            </w:r>
          </w:p>
        </w:tc>
      </w:tr>
      <w:tr>
        <w:tc>
          <w:tcPr>
            <w:tcW w:type="dxa" w:w="4334"/>
            <w:tcMar>
              <w:top w:w="60" w:type="dxa"/>
              <w:bottom w:w="60" w:type="dxa"/>
              <w:left w:w="120" w:type="dxa"/>
              <w:right w:w="120" w:type="dxa"/>
            </w:tcMar>
            <w:tcBorders>
              <w:bottom w:val="single" w:sz="2" w:space="0" w:color="E0E0E0"/>
            </w:tcBorders>
          </w:tcPr>
          <w:p>
            <w:r>
              <w:rPr>
                <w:rFonts w:ascii="Times New Roman" w:hAnsi="Times New Roman"/>
                <w:b/>
                <w:sz w:val="21"/>
              </w:rPr>
              <w:t>HTML</w:t>
            </w:r>
          </w:p>
        </w:tc>
        <w:tc>
          <w:tcPr>
            <w:tcW w:type="dxa" w:w="4334"/>
            <w:tcMar>
              <w:top w:w="60" w:type="dxa"/>
              <w:bottom w:w="60" w:type="dxa"/>
              <w:left w:w="120" w:type="dxa"/>
              <w:right w:w="120" w:type="dxa"/>
            </w:tcMar>
            <w:tcBorders>
              <w:bottom w:val="single" w:sz="2" w:space="0" w:color="E0E0E0"/>
            </w:tcBorders>
          </w:tcPr>
          <w:p>
            <w:r>
              <w:rPr>
                <w:rFonts w:ascii="Times New Roman" w:hAnsi="Times New Roman"/>
                <w:sz w:val="21"/>
              </w:rPr>
              <w:t>HyperText Markup Language</w:t>
            </w:r>
          </w:p>
        </w:tc>
      </w:tr>
      <w:tr>
        <w:tc>
          <w:tcPr>
            <w:tcW w:type="dxa" w:w="4334"/>
            <w:tcMar>
              <w:top w:w="60" w:type="dxa"/>
              <w:bottom w:w="60" w:type="dxa"/>
              <w:left w:w="120" w:type="dxa"/>
              <w:right w:w="120" w:type="dxa"/>
            </w:tcMar>
            <w:tcBorders>
              <w:bottom w:val="single" w:sz="2" w:space="0" w:color="E0E0E0"/>
            </w:tcBorders>
          </w:tcPr>
          <w:p>
            <w:r>
              <w:rPr>
                <w:rFonts w:ascii="Times New Roman" w:hAnsi="Times New Roman"/>
                <w:b/>
                <w:sz w:val="21"/>
              </w:rPr>
              <w:t>HTTP</w:t>
            </w:r>
          </w:p>
        </w:tc>
        <w:tc>
          <w:tcPr>
            <w:tcW w:type="dxa" w:w="4334"/>
            <w:tcMar>
              <w:top w:w="60" w:type="dxa"/>
              <w:bottom w:w="60" w:type="dxa"/>
              <w:left w:w="120" w:type="dxa"/>
              <w:right w:w="120" w:type="dxa"/>
            </w:tcMar>
            <w:tcBorders>
              <w:bottom w:val="single" w:sz="2" w:space="0" w:color="E0E0E0"/>
            </w:tcBorders>
          </w:tcPr>
          <w:p>
            <w:r>
              <w:rPr>
                <w:rFonts w:ascii="Times New Roman" w:hAnsi="Times New Roman"/>
                <w:sz w:val="21"/>
              </w:rPr>
              <w:t>Hypertext Transfer Protocol</w:t>
            </w:r>
          </w:p>
        </w:tc>
      </w:tr>
      <w:tr>
        <w:tc>
          <w:tcPr>
            <w:tcW w:type="dxa" w:w="4334"/>
            <w:tcMar>
              <w:top w:w="60" w:type="dxa"/>
              <w:bottom w:w="60" w:type="dxa"/>
              <w:left w:w="120" w:type="dxa"/>
              <w:right w:w="120" w:type="dxa"/>
            </w:tcMar>
            <w:tcBorders>
              <w:bottom w:val="single" w:sz="2" w:space="0" w:color="E0E0E0"/>
            </w:tcBorders>
          </w:tcPr>
          <w:p>
            <w:r>
              <w:rPr>
                <w:rFonts w:ascii="Times New Roman" w:hAnsi="Times New Roman"/>
                <w:b/>
                <w:sz w:val="21"/>
              </w:rPr>
              <w:t>INT8</w:t>
            </w:r>
          </w:p>
        </w:tc>
        <w:tc>
          <w:tcPr>
            <w:tcW w:type="dxa" w:w="4334"/>
            <w:tcMar>
              <w:top w:w="60" w:type="dxa"/>
              <w:bottom w:w="60" w:type="dxa"/>
              <w:left w:w="120" w:type="dxa"/>
              <w:right w:w="120" w:type="dxa"/>
            </w:tcMar>
            <w:tcBorders>
              <w:bottom w:val="single" w:sz="2" w:space="0" w:color="E0E0E0"/>
            </w:tcBorders>
          </w:tcPr>
          <w:p>
            <w:r>
              <w:rPr>
                <w:rFonts w:ascii="Times New Roman" w:hAnsi="Times New Roman"/>
                <w:sz w:val="21"/>
              </w:rPr>
              <w:t>8-bit Integer Quantization</w:t>
            </w:r>
          </w:p>
        </w:tc>
      </w:tr>
      <w:tr>
        <w:tc>
          <w:tcPr>
            <w:tcW w:type="dxa" w:w="4334"/>
            <w:tcMar>
              <w:top w:w="60" w:type="dxa"/>
              <w:bottom w:w="60" w:type="dxa"/>
              <w:left w:w="120" w:type="dxa"/>
              <w:right w:w="120" w:type="dxa"/>
            </w:tcMar>
            <w:tcBorders>
              <w:bottom w:val="single" w:sz="2" w:space="0" w:color="E0E0E0"/>
            </w:tcBorders>
          </w:tcPr>
          <w:p>
            <w:r>
              <w:rPr>
                <w:rFonts w:ascii="Times New Roman" w:hAnsi="Times New Roman"/>
                <w:b/>
                <w:sz w:val="21"/>
              </w:rPr>
              <w:t>ISO</w:t>
            </w:r>
          </w:p>
        </w:tc>
        <w:tc>
          <w:tcPr>
            <w:tcW w:type="dxa" w:w="4334"/>
            <w:tcMar>
              <w:top w:w="60" w:type="dxa"/>
              <w:bottom w:w="60" w:type="dxa"/>
              <w:left w:w="120" w:type="dxa"/>
              <w:right w:w="120" w:type="dxa"/>
            </w:tcMar>
            <w:tcBorders>
              <w:bottom w:val="single" w:sz="2" w:space="0" w:color="E0E0E0"/>
            </w:tcBorders>
          </w:tcPr>
          <w:p>
            <w:r>
              <w:rPr>
                <w:rFonts w:ascii="Times New Roman" w:hAnsi="Times New Roman"/>
                <w:sz w:val="21"/>
              </w:rPr>
              <w:t>International Organization for Standardization</w:t>
            </w:r>
          </w:p>
        </w:tc>
      </w:tr>
      <w:tr>
        <w:tc>
          <w:tcPr>
            <w:tcW w:type="dxa" w:w="4334"/>
            <w:tcMar>
              <w:top w:w="60" w:type="dxa"/>
              <w:bottom w:w="60" w:type="dxa"/>
              <w:left w:w="120" w:type="dxa"/>
              <w:right w:w="120" w:type="dxa"/>
            </w:tcMar>
            <w:tcBorders>
              <w:bottom w:val="single" w:sz="2" w:space="0" w:color="E0E0E0"/>
            </w:tcBorders>
          </w:tcPr>
          <w:p>
            <w:r>
              <w:rPr>
                <w:rFonts w:ascii="Times New Roman" w:hAnsi="Times New Roman"/>
                <w:b/>
                <w:sz w:val="21"/>
              </w:rPr>
              <w:t>JSON</w:t>
            </w:r>
          </w:p>
        </w:tc>
        <w:tc>
          <w:tcPr>
            <w:tcW w:type="dxa" w:w="4334"/>
            <w:tcMar>
              <w:top w:w="60" w:type="dxa"/>
              <w:bottom w:w="60" w:type="dxa"/>
              <w:left w:w="120" w:type="dxa"/>
              <w:right w:w="120" w:type="dxa"/>
            </w:tcMar>
            <w:tcBorders>
              <w:bottom w:val="single" w:sz="2" w:space="0" w:color="E0E0E0"/>
            </w:tcBorders>
          </w:tcPr>
          <w:p>
            <w:r>
              <w:rPr>
                <w:rFonts w:ascii="Times New Roman" w:hAnsi="Times New Roman"/>
                <w:sz w:val="21"/>
              </w:rPr>
              <w:t>JavaScript Object Notation</w:t>
            </w:r>
          </w:p>
        </w:tc>
      </w:tr>
      <w:tr>
        <w:tc>
          <w:tcPr>
            <w:tcW w:type="dxa" w:w="4334"/>
            <w:tcMar>
              <w:top w:w="60" w:type="dxa"/>
              <w:bottom w:w="60" w:type="dxa"/>
              <w:left w:w="120" w:type="dxa"/>
              <w:right w:w="120" w:type="dxa"/>
            </w:tcMar>
            <w:tcBorders>
              <w:bottom w:val="single" w:sz="2" w:space="0" w:color="E0E0E0"/>
            </w:tcBorders>
          </w:tcPr>
          <w:p>
            <w:r>
              <w:rPr>
                <w:rFonts w:ascii="Times New Roman" w:hAnsi="Times New Roman"/>
                <w:b/>
                <w:sz w:val="21"/>
              </w:rPr>
              <w:t>JWT</w:t>
            </w:r>
          </w:p>
        </w:tc>
        <w:tc>
          <w:tcPr>
            <w:tcW w:type="dxa" w:w="4334"/>
            <w:tcMar>
              <w:top w:w="60" w:type="dxa"/>
              <w:bottom w:w="60" w:type="dxa"/>
              <w:left w:w="120" w:type="dxa"/>
              <w:right w:w="120" w:type="dxa"/>
            </w:tcMar>
            <w:tcBorders>
              <w:bottom w:val="single" w:sz="2" w:space="0" w:color="E0E0E0"/>
            </w:tcBorders>
          </w:tcPr>
          <w:p>
            <w:r>
              <w:rPr>
                <w:rFonts w:ascii="Times New Roman" w:hAnsi="Times New Roman"/>
                <w:sz w:val="21"/>
              </w:rPr>
              <w:t>JSON Web Token</w:t>
            </w:r>
          </w:p>
        </w:tc>
      </w:tr>
      <w:tr>
        <w:tc>
          <w:tcPr>
            <w:tcW w:type="dxa" w:w="4334"/>
            <w:tcMar>
              <w:top w:w="60" w:type="dxa"/>
              <w:bottom w:w="60" w:type="dxa"/>
              <w:left w:w="120" w:type="dxa"/>
              <w:right w:w="120" w:type="dxa"/>
            </w:tcMar>
            <w:tcBorders>
              <w:bottom w:val="single" w:sz="2" w:space="0" w:color="E0E0E0"/>
            </w:tcBorders>
          </w:tcPr>
          <w:p>
            <w:r>
              <w:rPr>
                <w:rFonts w:ascii="Times New Roman" w:hAnsi="Times New Roman"/>
                <w:b/>
                <w:sz w:val="21"/>
              </w:rPr>
              <w:t>KIT</w:t>
            </w:r>
          </w:p>
        </w:tc>
        <w:tc>
          <w:tcPr>
            <w:tcW w:type="dxa" w:w="4334"/>
            <w:tcMar>
              <w:top w:w="60" w:type="dxa"/>
              <w:bottom w:w="60" w:type="dxa"/>
              <w:left w:w="120" w:type="dxa"/>
              <w:right w:w="120" w:type="dxa"/>
            </w:tcMar>
            <w:tcBorders>
              <w:bottom w:val="single" w:sz="2" w:space="0" w:color="E0E0E0"/>
            </w:tcBorders>
          </w:tcPr>
          <w:p>
            <w:r>
              <w:rPr>
                <w:rFonts w:ascii="Times New Roman" w:hAnsi="Times New Roman"/>
                <w:sz w:val="21"/>
              </w:rPr>
              <w:t>Kalpataru Institute of Technology</w:t>
            </w:r>
          </w:p>
        </w:tc>
      </w:tr>
      <w:tr>
        <w:tc>
          <w:tcPr>
            <w:tcW w:type="dxa" w:w="4334"/>
            <w:tcMar>
              <w:top w:w="60" w:type="dxa"/>
              <w:bottom w:w="60" w:type="dxa"/>
              <w:left w:w="120" w:type="dxa"/>
              <w:right w:w="120" w:type="dxa"/>
            </w:tcMar>
            <w:tcBorders>
              <w:bottom w:val="single" w:sz="2" w:space="0" w:color="E0E0E0"/>
            </w:tcBorders>
          </w:tcPr>
          <w:p>
            <w:r>
              <w:rPr>
                <w:rFonts w:ascii="Times New Roman" w:hAnsi="Times New Roman"/>
                <w:b/>
                <w:sz w:val="21"/>
              </w:rPr>
              <w:t>LR</w:t>
            </w:r>
          </w:p>
        </w:tc>
        <w:tc>
          <w:tcPr>
            <w:tcW w:type="dxa" w:w="4334"/>
            <w:tcMar>
              <w:top w:w="60" w:type="dxa"/>
              <w:bottom w:w="60" w:type="dxa"/>
              <w:left w:w="120" w:type="dxa"/>
              <w:right w:w="120" w:type="dxa"/>
            </w:tcMar>
            <w:tcBorders>
              <w:bottom w:val="single" w:sz="2" w:space="0" w:color="E0E0E0"/>
            </w:tcBorders>
          </w:tcPr>
          <w:p>
            <w:r>
              <w:rPr>
                <w:rFonts w:ascii="Times New Roman" w:hAnsi="Times New Roman"/>
                <w:sz w:val="21"/>
              </w:rPr>
              <w:t>Learning Rate</w:t>
            </w:r>
          </w:p>
        </w:tc>
      </w:tr>
      <w:tr>
        <w:tc>
          <w:tcPr>
            <w:tcW w:type="dxa" w:w="4334"/>
            <w:tcMar>
              <w:top w:w="60" w:type="dxa"/>
              <w:bottom w:w="60" w:type="dxa"/>
              <w:left w:w="120" w:type="dxa"/>
              <w:right w:w="120" w:type="dxa"/>
            </w:tcMar>
            <w:tcBorders>
              <w:bottom w:val="single" w:sz="2" w:space="0" w:color="E0E0E0"/>
            </w:tcBorders>
          </w:tcPr>
          <w:p>
            <w:r>
              <w:rPr>
                <w:rFonts w:ascii="Times New Roman" w:hAnsi="Times New Roman"/>
                <w:b/>
                <w:sz w:val="21"/>
              </w:rPr>
              <w:t>MC</w:t>
            </w:r>
          </w:p>
        </w:tc>
        <w:tc>
          <w:tcPr>
            <w:tcW w:type="dxa" w:w="4334"/>
            <w:tcMar>
              <w:top w:w="60" w:type="dxa"/>
              <w:bottom w:w="60" w:type="dxa"/>
              <w:left w:w="120" w:type="dxa"/>
              <w:right w:w="120" w:type="dxa"/>
            </w:tcMar>
            <w:tcBorders>
              <w:bottom w:val="single" w:sz="2" w:space="0" w:color="E0E0E0"/>
            </w:tcBorders>
          </w:tcPr>
          <w:p>
            <w:r>
              <w:rPr>
                <w:rFonts w:ascii="Times New Roman" w:hAnsi="Times New Roman"/>
                <w:sz w:val="21"/>
              </w:rPr>
              <w:t>Monte Carlo</w:t>
            </w:r>
          </w:p>
        </w:tc>
      </w:tr>
      <w:tr>
        <w:tc>
          <w:tcPr>
            <w:tcW w:type="dxa" w:w="4334"/>
            <w:tcMar>
              <w:top w:w="60" w:type="dxa"/>
              <w:bottom w:w="60" w:type="dxa"/>
              <w:left w:w="120" w:type="dxa"/>
              <w:right w:w="120" w:type="dxa"/>
            </w:tcMar>
            <w:tcBorders>
              <w:bottom w:val="single" w:sz="2" w:space="0" w:color="E0E0E0"/>
            </w:tcBorders>
          </w:tcPr>
          <w:p>
            <w:r>
              <w:rPr>
                <w:rFonts w:ascii="Times New Roman" w:hAnsi="Times New Roman"/>
                <w:b/>
                <w:sz w:val="21"/>
              </w:rPr>
              <w:t>MCD</w:t>
            </w:r>
          </w:p>
        </w:tc>
        <w:tc>
          <w:tcPr>
            <w:tcW w:type="dxa" w:w="4334"/>
            <w:tcMar>
              <w:top w:w="60" w:type="dxa"/>
              <w:bottom w:w="60" w:type="dxa"/>
              <w:left w:w="120" w:type="dxa"/>
              <w:right w:w="120" w:type="dxa"/>
            </w:tcMar>
            <w:tcBorders>
              <w:bottom w:val="single" w:sz="2" w:space="0" w:color="E0E0E0"/>
            </w:tcBorders>
          </w:tcPr>
          <w:p>
            <w:r>
              <w:rPr>
                <w:rFonts w:ascii="Times New Roman" w:hAnsi="Times New Roman"/>
                <w:sz w:val="21"/>
              </w:rPr>
              <w:t>Monte Carlo Dropout</w:t>
            </w:r>
          </w:p>
        </w:tc>
      </w:tr>
      <w:tr>
        <w:tc>
          <w:tcPr>
            <w:tcW w:type="dxa" w:w="4334"/>
            <w:tcMar>
              <w:top w:w="60" w:type="dxa"/>
              <w:bottom w:w="60" w:type="dxa"/>
              <w:left w:w="120" w:type="dxa"/>
              <w:right w:w="120" w:type="dxa"/>
            </w:tcMar>
            <w:tcBorders>
              <w:bottom w:val="single" w:sz="2" w:space="0" w:color="E0E0E0"/>
            </w:tcBorders>
          </w:tcPr>
          <w:p>
            <w:r>
              <w:rPr>
                <w:rFonts w:ascii="Times New Roman" w:hAnsi="Times New Roman"/>
                <w:b/>
                <w:sz w:val="21"/>
              </w:rPr>
              <w:t>MCC</w:t>
            </w:r>
          </w:p>
        </w:tc>
        <w:tc>
          <w:tcPr>
            <w:tcW w:type="dxa" w:w="4334"/>
            <w:tcMar>
              <w:top w:w="60" w:type="dxa"/>
              <w:bottom w:w="60" w:type="dxa"/>
              <w:left w:w="120" w:type="dxa"/>
              <w:right w:w="120" w:type="dxa"/>
            </w:tcMar>
            <w:tcBorders>
              <w:bottom w:val="single" w:sz="2" w:space="0" w:color="E0E0E0"/>
            </w:tcBorders>
          </w:tcPr>
          <w:p>
            <w:r>
              <w:rPr>
                <w:rFonts w:ascii="Times New Roman" w:hAnsi="Times New Roman"/>
                <w:sz w:val="21"/>
              </w:rPr>
              <w:t>Matthews Correlation Coefficient</w:t>
            </w:r>
          </w:p>
        </w:tc>
      </w:tr>
      <w:tr>
        <w:tc>
          <w:tcPr>
            <w:tcW w:type="dxa" w:w="4334"/>
            <w:tcMar>
              <w:top w:w="60" w:type="dxa"/>
              <w:bottom w:w="60" w:type="dxa"/>
              <w:left w:w="120" w:type="dxa"/>
              <w:right w:w="120" w:type="dxa"/>
            </w:tcMar>
            <w:tcBorders>
              <w:bottom w:val="single" w:sz="2" w:space="0" w:color="E0E0E0"/>
            </w:tcBorders>
          </w:tcPr>
          <w:p>
            <w:r>
              <w:rPr>
                <w:rFonts w:ascii="Times New Roman" w:hAnsi="Times New Roman"/>
                <w:b/>
                <w:sz w:val="21"/>
              </w:rPr>
              <w:t>ML</w:t>
            </w:r>
          </w:p>
        </w:tc>
        <w:tc>
          <w:tcPr>
            <w:tcW w:type="dxa" w:w="4334"/>
            <w:tcMar>
              <w:top w:w="60" w:type="dxa"/>
              <w:bottom w:w="60" w:type="dxa"/>
              <w:left w:w="120" w:type="dxa"/>
              <w:right w:w="120" w:type="dxa"/>
            </w:tcMar>
            <w:tcBorders>
              <w:bottom w:val="single" w:sz="2" w:space="0" w:color="E0E0E0"/>
            </w:tcBorders>
          </w:tcPr>
          <w:p>
            <w:r>
              <w:rPr>
                <w:rFonts w:ascii="Times New Roman" w:hAnsi="Times New Roman"/>
                <w:sz w:val="21"/>
              </w:rPr>
              <w:t>Machine Learning</w:t>
            </w:r>
          </w:p>
        </w:tc>
      </w:tr>
      <w:tr>
        <w:tc>
          <w:tcPr>
            <w:tcW w:type="dxa" w:w="4334"/>
            <w:tcMar>
              <w:top w:w="60" w:type="dxa"/>
              <w:bottom w:w="60" w:type="dxa"/>
              <w:left w:w="120" w:type="dxa"/>
              <w:right w:w="120" w:type="dxa"/>
            </w:tcMar>
            <w:tcBorders>
              <w:bottom w:val="single" w:sz="2" w:space="0" w:color="E0E0E0"/>
            </w:tcBorders>
          </w:tcPr>
          <w:p>
            <w:r>
              <w:rPr>
                <w:rFonts w:ascii="Times New Roman" w:hAnsi="Times New Roman"/>
                <w:b/>
                <w:sz w:val="21"/>
              </w:rPr>
              <w:t>ONNX</w:t>
            </w:r>
          </w:p>
        </w:tc>
        <w:tc>
          <w:tcPr>
            <w:tcW w:type="dxa" w:w="4334"/>
            <w:tcMar>
              <w:top w:w="60" w:type="dxa"/>
              <w:bottom w:w="60" w:type="dxa"/>
              <w:left w:w="120" w:type="dxa"/>
              <w:right w:w="120" w:type="dxa"/>
            </w:tcMar>
            <w:tcBorders>
              <w:bottom w:val="single" w:sz="2" w:space="0" w:color="E0E0E0"/>
            </w:tcBorders>
          </w:tcPr>
          <w:p>
            <w:r>
              <w:rPr>
                <w:rFonts w:ascii="Times New Roman" w:hAnsi="Times New Roman"/>
                <w:sz w:val="21"/>
              </w:rPr>
              <w:t>Open Neural Network Exchange</w:t>
            </w:r>
          </w:p>
        </w:tc>
      </w:tr>
      <w:tr>
        <w:tc>
          <w:tcPr>
            <w:tcW w:type="dxa" w:w="4334"/>
            <w:tcMar>
              <w:top w:w="60" w:type="dxa"/>
              <w:bottom w:w="60" w:type="dxa"/>
              <w:left w:w="120" w:type="dxa"/>
              <w:right w:w="120" w:type="dxa"/>
            </w:tcMar>
            <w:tcBorders>
              <w:bottom w:val="single" w:sz="2" w:space="0" w:color="E0E0E0"/>
            </w:tcBorders>
          </w:tcPr>
          <w:p>
            <w:r>
              <w:rPr>
                <w:rFonts w:ascii="Times New Roman" w:hAnsi="Times New Roman"/>
                <w:b/>
                <w:sz w:val="21"/>
              </w:rPr>
              <w:t>OPMD</w:t>
            </w:r>
          </w:p>
        </w:tc>
        <w:tc>
          <w:tcPr>
            <w:tcW w:type="dxa" w:w="4334"/>
            <w:tcMar>
              <w:top w:w="60" w:type="dxa"/>
              <w:bottom w:w="60" w:type="dxa"/>
              <w:left w:w="120" w:type="dxa"/>
              <w:right w:w="120" w:type="dxa"/>
            </w:tcMar>
            <w:tcBorders>
              <w:bottom w:val="single" w:sz="2" w:space="0" w:color="E0E0E0"/>
            </w:tcBorders>
          </w:tcPr>
          <w:p>
            <w:r>
              <w:rPr>
                <w:rFonts w:ascii="Times New Roman" w:hAnsi="Times New Roman"/>
                <w:sz w:val="21"/>
              </w:rPr>
              <w:t>Oral Potentially Malignant Disorder</w:t>
            </w:r>
          </w:p>
        </w:tc>
      </w:tr>
      <w:tr>
        <w:tc>
          <w:tcPr>
            <w:tcW w:type="dxa" w:w="4334"/>
            <w:tcMar>
              <w:top w:w="60" w:type="dxa"/>
              <w:bottom w:w="60" w:type="dxa"/>
              <w:left w:w="120" w:type="dxa"/>
              <w:right w:w="120" w:type="dxa"/>
            </w:tcMar>
            <w:tcBorders>
              <w:bottom w:val="single" w:sz="2" w:space="0" w:color="E0E0E0"/>
            </w:tcBorders>
          </w:tcPr>
          <w:p>
            <w:r>
              <w:rPr>
                <w:rFonts w:ascii="Times New Roman" w:hAnsi="Times New Roman"/>
                <w:b/>
                <w:sz w:val="21"/>
              </w:rPr>
              <w:t>OSCC</w:t>
            </w:r>
          </w:p>
        </w:tc>
        <w:tc>
          <w:tcPr>
            <w:tcW w:type="dxa" w:w="4334"/>
            <w:tcMar>
              <w:top w:w="60" w:type="dxa"/>
              <w:bottom w:w="60" w:type="dxa"/>
              <w:left w:w="120" w:type="dxa"/>
              <w:right w:w="120" w:type="dxa"/>
            </w:tcMar>
            <w:tcBorders>
              <w:bottom w:val="single" w:sz="2" w:space="0" w:color="E0E0E0"/>
            </w:tcBorders>
          </w:tcPr>
          <w:p>
            <w:r>
              <w:rPr>
                <w:rFonts w:ascii="Times New Roman" w:hAnsi="Times New Roman"/>
                <w:sz w:val="21"/>
              </w:rPr>
              <w:t>Oral Squamous Cell Carcinoma</w:t>
            </w:r>
          </w:p>
        </w:tc>
      </w:tr>
      <w:tr>
        <w:tc>
          <w:tcPr>
            <w:tcW w:type="dxa" w:w="4334"/>
            <w:tcMar>
              <w:top w:w="60" w:type="dxa"/>
              <w:bottom w:w="60" w:type="dxa"/>
              <w:left w:w="120" w:type="dxa"/>
              <w:right w:w="120" w:type="dxa"/>
            </w:tcMar>
            <w:tcBorders>
              <w:bottom w:val="single" w:sz="2" w:space="0" w:color="E0E0E0"/>
            </w:tcBorders>
          </w:tcPr>
          <w:p>
            <w:r>
              <w:rPr>
                <w:rFonts w:ascii="Times New Roman" w:hAnsi="Times New Roman"/>
                <w:b/>
                <w:sz w:val="21"/>
              </w:rPr>
              <w:t>PBKDF2</w:t>
            </w:r>
          </w:p>
        </w:tc>
        <w:tc>
          <w:tcPr>
            <w:tcW w:type="dxa" w:w="4334"/>
            <w:tcMar>
              <w:top w:w="60" w:type="dxa"/>
              <w:bottom w:w="60" w:type="dxa"/>
              <w:left w:w="120" w:type="dxa"/>
              <w:right w:w="120" w:type="dxa"/>
            </w:tcMar>
            <w:tcBorders>
              <w:bottom w:val="single" w:sz="2" w:space="0" w:color="E0E0E0"/>
            </w:tcBorders>
          </w:tcPr>
          <w:p>
            <w:r>
              <w:rPr>
                <w:rFonts w:ascii="Times New Roman" w:hAnsi="Times New Roman"/>
                <w:sz w:val="21"/>
              </w:rPr>
              <w:t>Password-Based Key Derivation Function 2</w:t>
            </w:r>
          </w:p>
        </w:tc>
      </w:tr>
      <w:tr>
        <w:tc>
          <w:tcPr>
            <w:tcW w:type="dxa" w:w="4334"/>
            <w:tcMar>
              <w:top w:w="60" w:type="dxa"/>
              <w:bottom w:w="60" w:type="dxa"/>
              <w:left w:w="120" w:type="dxa"/>
              <w:right w:w="120" w:type="dxa"/>
            </w:tcMar>
            <w:tcBorders>
              <w:bottom w:val="single" w:sz="2" w:space="0" w:color="E0E0E0"/>
            </w:tcBorders>
          </w:tcPr>
          <w:p>
            <w:r>
              <w:rPr>
                <w:rFonts w:ascii="Times New Roman" w:hAnsi="Times New Roman"/>
                <w:b/>
                <w:sz w:val="21"/>
              </w:rPr>
              <w:t>PHC</w:t>
            </w:r>
          </w:p>
        </w:tc>
        <w:tc>
          <w:tcPr>
            <w:tcW w:type="dxa" w:w="4334"/>
            <w:tcMar>
              <w:top w:w="60" w:type="dxa"/>
              <w:bottom w:w="60" w:type="dxa"/>
              <w:left w:w="120" w:type="dxa"/>
              <w:right w:w="120" w:type="dxa"/>
            </w:tcMar>
            <w:tcBorders>
              <w:bottom w:val="single" w:sz="2" w:space="0" w:color="E0E0E0"/>
            </w:tcBorders>
          </w:tcPr>
          <w:p>
            <w:r>
              <w:rPr>
                <w:rFonts w:ascii="Times New Roman" w:hAnsi="Times New Roman"/>
                <w:sz w:val="21"/>
              </w:rPr>
              <w:t>Primary Health Center</w:t>
            </w:r>
          </w:p>
        </w:tc>
      </w:tr>
      <w:tr>
        <w:tc>
          <w:tcPr>
            <w:tcW w:type="dxa" w:w="4334"/>
            <w:tcMar>
              <w:top w:w="60" w:type="dxa"/>
              <w:bottom w:w="60" w:type="dxa"/>
              <w:left w:w="120" w:type="dxa"/>
              <w:right w:w="120" w:type="dxa"/>
            </w:tcMar>
            <w:tcBorders>
              <w:bottom w:val="single" w:sz="2" w:space="0" w:color="E0E0E0"/>
            </w:tcBorders>
          </w:tcPr>
          <w:p>
            <w:r>
              <w:rPr>
                <w:rFonts w:ascii="Times New Roman" w:hAnsi="Times New Roman"/>
                <w:b/>
                <w:sz w:val="21"/>
              </w:rPr>
              <w:t>PRD</w:t>
            </w:r>
          </w:p>
        </w:tc>
        <w:tc>
          <w:tcPr>
            <w:tcW w:type="dxa" w:w="4334"/>
            <w:tcMar>
              <w:top w:w="60" w:type="dxa"/>
              <w:bottom w:w="60" w:type="dxa"/>
              <w:left w:w="120" w:type="dxa"/>
              <w:right w:w="120" w:type="dxa"/>
            </w:tcMar>
            <w:tcBorders>
              <w:bottom w:val="single" w:sz="2" w:space="0" w:color="E0E0E0"/>
            </w:tcBorders>
          </w:tcPr>
          <w:p>
            <w:r>
              <w:rPr>
                <w:rFonts w:ascii="Times New Roman" w:hAnsi="Times New Roman"/>
                <w:sz w:val="21"/>
              </w:rPr>
              <w:t>Product Requirements Document</w:t>
            </w:r>
          </w:p>
        </w:tc>
      </w:tr>
      <w:tr>
        <w:tc>
          <w:tcPr>
            <w:tcW w:type="dxa" w:w="4334"/>
            <w:tcMar>
              <w:top w:w="60" w:type="dxa"/>
              <w:bottom w:w="60" w:type="dxa"/>
              <w:left w:w="120" w:type="dxa"/>
              <w:right w:w="120" w:type="dxa"/>
            </w:tcMar>
            <w:tcBorders>
              <w:bottom w:val="single" w:sz="2" w:space="0" w:color="E0E0E0"/>
            </w:tcBorders>
          </w:tcPr>
          <w:p>
            <w:r>
              <w:rPr>
                <w:rFonts w:ascii="Times New Roman" w:hAnsi="Times New Roman"/>
                <w:b/>
                <w:sz w:val="21"/>
              </w:rPr>
              <w:t>PWA</w:t>
            </w:r>
          </w:p>
        </w:tc>
        <w:tc>
          <w:tcPr>
            <w:tcW w:type="dxa" w:w="4334"/>
            <w:tcMar>
              <w:top w:w="60" w:type="dxa"/>
              <w:bottom w:w="60" w:type="dxa"/>
              <w:left w:w="120" w:type="dxa"/>
              <w:right w:w="120" w:type="dxa"/>
            </w:tcMar>
            <w:tcBorders>
              <w:bottom w:val="single" w:sz="2" w:space="0" w:color="E0E0E0"/>
            </w:tcBorders>
          </w:tcPr>
          <w:p>
            <w:r>
              <w:rPr>
                <w:rFonts w:ascii="Times New Roman" w:hAnsi="Times New Roman"/>
                <w:sz w:val="21"/>
              </w:rPr>
              <w:t>Progressive Web Application</w:t>
            </w:r>
          </w:p>
        </w:tc>
      </w:tr>
      <w:tr>
        <w:tc>
          <w:tcPr>
            <w:tcW w:type="dxa" w:w="4334"/>
            <w:tcMar>
              <w:top w:w="60" w:type="dxa"/>
              <w:bottom w:w="60" w:type="dxa"/>
              <w:left w:w="120" w:type="dxa"/>
              <w:right w:w="120" w:type="dxa"/>
            </w:tcMar>
            <w:tcBorders>
              <w:bottom w:val="single" w:sz="2" w:space="0" w:color="E0E0E0"/>
            </w:tcBorders>
          </w:tcPr>
          <w:p>
            <w:r>
              <w:rPr>
                <w:rFonts w:ascii="Times New Roman" w:hAnsi="Times New Roman"/>
                <w:b/>
                <w:sz w:val="21"/>
              </w:rPr>
              <w:t>RAM</w:t>
            </w:r>
          </w:p>
        </w:tc>
        <w:tc>
          <w:tcPr>
            <w:tcW w:type="dxa" w:w="4334"/>
            <w:tcMar>
              <w:top w:w="60" w:type="dxa"/>
              <w:bottom w:w="60" w:type="dxa"/>
              <w:left w:w="120" w:type="dxa"/>
              <w:right w:w="120" w:type="dxa"/>
            </w:tcMar>
            <w:tcBorders>
              <w:bottom w:val="single" w:sz="2" w:space="0" w:color="E0E0E0"/>
            </w:tcBorders>
          </w:tcPr>
          <w:p>
            <w:r>
              <w:rPr>
                <w:rFonts w:ascii="Times New Roman" w:hAnsi="Times New Roman"/>
                <w:sz w:val="21"/>
              </w:rPr>
              <w:t>Random Access Memory</w:t>
            </w:r>
          </w:p>
        </w:tc>
      </w:tr>
      <w:tr>
        <w:tc>
          <w:tcPr>
            <w:tcW w:type="dxa" w:w="4334"/>
            <w:tcMar>
              <w:top w:w="60" w:type="dxa"/>
              <w:bottom w:w="60" w:type="dxa"/>
              <w:left w:w="120" w:type="dxa"/>
              <w:right w:w="120" w:type="dxa"/>
            </w:tcMar>
            <w:tcBorders>
              <w:bottom w:val="single" w:sz="2" w:space="0" w:color="E0E0E0"/>
            </w:tcBorders>
          </w:tcPr>
          <w:p>
            <w:r>
              <w:rPr>
                <w:rFonts w:ascii="Times New Roman" w:hAnsi="Times New Roman"/>
                <w:b/>
                <w:sz w:val="21"/>
              </w:rPr>
              <w:t>Reinhard LAB</w:t>
            </w:r>
          </w:p>
        </w:tc>
        <w:tc>
          <w:tcPr>
            <w:tcW w:type="dxa" w:w="4334"/>
            <w:tcMar>
              <w:top w:w="60" w:type="dxa"/>
              <w:bottom w:w="60" w:type="dxa"/>
              <w:left w:w="120" w:type="dxa"/>
              <w:right w:w="120" w:type="dxa"/>
            </w:tcMar>
            <w:tcBorders>
              <w:bottom w:val="single" w:sz="2" w:space="0" w:color="E0E0E0"/>
            </w:tcBorders>
          </w:tcPr>
          <w:p>
            <w:r>
              <w:rPr>
                <w:rFonts w:ascii="Times New Roman" w:hAnsi="Times New Roman"/>
                <w:sz w:val="21"/>
              </w:rPr>
              <w:t>Reinhard Color Transfer in CIELAB Color Space</w:t>
            </w:r>
          </w:p>
        </w:tc>
      </w:tr>
      <w:tr>
        <w:tc>
          <w:tcPr>
            <w:tcW w:type="dxa" w:w="4334"/>
            <w:tcMar>
              <w:top w:w="60" w:type="dxa"/>
              <w:bottom w:w="60" w:type="dxa"/>
              <w:left w:w="120" w:type="dxa"/>
              <w:right w:w="120" w:type="dxa"/>
            </w:tcMar>
            <w:tcBorders>
              <w:bottom w:val="single" w:sz="2" w:space="0" w:color="E0E0E0"/>
            </w:tcBorders>
          </w:tcPr>
          <w:p>
            <w:r>
              <w:rPr>
                <w:rFonts w:ascii="Times New Roman" w:hAnsi="Times New Roman"/>
                <w:b/>
                <w:sz w:val="21"/>
              </w:rPr>
              <w:t>REST</w:t>
            </w:r>
          </w:p>
        </w:tc>
        <w:tc>
          <w:tcPr>
            <w:tcW w:type="dxa" w:w="4334"/>
            <w:tcMar>
              <w:top w:w="60" w:type="dxa"/>
              <w:bottom w:w="60" w:type="dxa"/>
              <w:left w:w="120" w:type="dxa"/>
              <w:right w:w="120" w:type="dxa"/>
            </w:tcMar>
            <w:tcBorders>
              <w:bottom w:val="single" w:sz="2" w:space="0" w:color="E0E0E0"/>
            </w:tcBorders>
          </w:tcPr>
          <w:p>
            <w:r>
              <w:rPr>
                <w:rFonts w:ascii="Times New Roman" w:hAnsi="Times New Roman"/>
                <w:sz w:val="21"/>
              </w:rPr>
              <w:t>Representational State Transfer</w:t>
            </w:r>
          </w:p>
        </w:tc>
      </w:tr>
      <w:tr>
        <w:tc>
          <w:tcPr>
            <w:tcW w:type="dxa" w:w="4334"/>
            <w:tcMar>
              <w:top w:w="60" w:type="dxa"/>
              <w:bottom w:w="60" w:type="dxa"/>
              <w:left w:w="120" w:type="dxa"/>
              <w:right w:w="120" w:type="dxa"/>
            </w:tcMar>
            <w:tcBorders>
              <w:bottom w:val="single" w:sz="2" w:space="0" w:color="E0E0E0"/>
            </w:tcBorders>
          </w:tcPr>
          <w:p>
            <w:r>
              <w:rPr>
                <w:rFonts w:ascii="Times New Roman" w:hAnsi="Times New Roman"/>
                <w:b/>
                <w:sz w:val="21"/>
              </w:rPr>
              <w:t>ROC</w:t>
            </w:r>
          </w:p>
        </w:tc>
        <w:tc>
          <w:tcPr>
            <w:tcW w:type="dxa" w:w="4334"/>
            <w:tcMar>
              <w:top w:w="60" w:type="dxa"/>
              <w:bottom w:w="60" w:type="dxa"/>
              <w:left w:w="120" w:type="dxa"/>
              <w:right w:w="120" w:type="dxa"/>
            </w:tcMar>
            <w:tcBorders>
              <w:bottom w:val="single" w:sz="2" w:space="0" w:color="E0E0E0"/>
            </w:tcBorders>
          </w:tcPr>
          <w:p>
            <w:r>
              <w:rPr>
                <w:rFonts w:ascii="Times New Roman" w:hAnsi="Times New Roman"/>
                <w:sz w:val="21"/>
              </w:rPr>
              <w:t>Receiver Operating Characteristic</w:t>
            </w:r>
          </w:p>
        </w:tc>
      </w:tr>
      <w:tr>
        <w:tc>
          <w:tcPr>
            <w:tcW w:type="dxa" w:w="4334"/>
            <w:tcMar>
              <w:top w:w="60" w:type="dxa"/>
              <w:bottom w:w="60" w:type="dxa"/>
              <w:left w:w="120" w:type="dxa"/>
              <w:right w:w="120" w:type="dxa"/>
            </w:tcMar>
            <w:tcBorders>
              <w:bottom w:val="single" w:sz="2" w:space="0" w:color="E0E0E0"/>
            </w:tcBorders>
          </w:tcPr>
          <w:p>
            <w:r>
              <w:rPr>
                <w:rFonts w:ascii="Times New Roman" w:hAnsi="Times New Roman"/>
                <w:b/>
                <w:sz w:val="21"/>
              </w:rPr>
              <w:t>SHA-256</w:t>
            </w:r>
          </w:p>
        </w:tc>
        <w:tc>
          <w:tcPr>
            <w:tcW w:type="dxa" w:w="4334"/>
            <w:tcMar>
              <w:top w:w="60" w:type="dxa"/>
              <w:bottom w:w="60" w:type="dxa"/>
              <w:left w:w="120" w:type="dxa"/>
              <w:right w:w="120" w:type="dxa"/>
            </w:tcMar>
            <w:tcBorders>
              <w:bottom w:val="single" w:sz="2" w:space="0" w:color="E0E0E0"/>
            </w:tcBorders>
          </w:tcPr>
          <w:p>
            <w:r>
              <w:rPr>
                <w:rFonts w:ascii="Times New Roman" w:hAnsi="Times New Roman"/>
                <w:sz w:val="21"/>
              </w:rPr>
              <w:t>Secure Hash Algorithm 256-bit</w:t>
            </w:r>
          </w:p>
        </w:tc>
      </w:tr>
      <w:tr>
        <w:tc>
          <w:tcPr>
            <w:tcW w:type="dxa" w:w="4334"/>
            <w:tcMar>
              <w:top w:w="60" w:type="dxa"/>
              <w:bottom w:w="60" w:type="dxa"/>
              <w:left w:w="120" w:type="dxa"/>
              <w:right w:w="120" w:type="dxa"/>
            </w:tcMar>
            <w:tcBorders>
              <w:bottom w:val="single" w:sz="2" w:space="0" w:color="E0E0E0"/>
            </w:tcBorders>
          </w:tcPr>
          <w:p>
            <w:r>
              <w:rPr>
                <w:rFonts w:ascii="Times New Roman" w:hAnsi="Times New Roman"/>
                <w:b/>
                <w:sz w:val="21"/>
              </w:rPr>
              <w:t>SRS</w:t>
            </w:r>
          </w:p>
        </w:tc>
        <w:tc>
          <w:tcPr>
            <w:tcW w:type="dxa" w:w="4334"/>
            <w:tcMar>
              <w:top w:w="60" w:type="dxa"/>
              <w:bottom w:w="60" w:type="dxa"/>
              <w:left w:w="120" w:type="dxa"/>
              <w:right w:w="120" w:type="dxa"/>
            </w:tcMar>
            <w:tcBorders>
              <w:bottom w:val="single" w:sz="2" w:space="0" w:color="E0E0E0"/>
            </w:tcBorders>
          </w:tcPr>
          <w:p>
            <w:r>
              <w:rPr>
                <w:rFonts w:ascii="Times New Roman" w:hAnsi="Times New Roman"/>
                <w:sz w:val="21"/>
              </w:rPr>
              <w:t>Software Requirements Specification</w:t>
            </w:r>
          </w:p>
        </w:tc>
      </w:tr>
      <w:tr>
        <w:tc>
          <w:tcPr>
            <w:tcW w:type="dxa" w:w="4334"/>
            <w:tcMar>
              <w:top w:w="60" w:type="dxa"/>
              <w:bottom w:w="60" w:type="dxa"/>
              <w:left w:w="120" w:type="dxa"/>
              <w:right w:w="120" w:type="dxa"/>
            </w:tcMar>
            <w:tcBorders>
              <w:bottom w:val="single" w:sz="2" w:space="0" w:color="E0E0E0"/>
            </w:tcBorders>
          </w:tcPr>
          <w:p>
            <w:r>
              <w:rPr>
                <w:rFonts w:ascii="Times New Roman" w:hAnsi="Times New Roman"/>
                <w:b/>
                <w:sz w:val="21"/>
              </w:rPr>
              <w:t>TN</w:t>
            </w:r>
          </w:p>
        </w:tc>
        <w:tc>
          <w:tcPr>
            <w:tcW w:type="dxa" w:w="4334"/>
            <w:tcMar>
              <w:top w:w="60" w:type="dxa"/>
              <w:bottom w:w="60" w:type="dxa"/>
              <w:left w:w="120" w:type="dxa"/>
              <w:right w:w="120" w:type="dxa"/>
            </w:tcMar>
            <w:tcBorders>
              <w:bottom w:val="single" w:sz="2" w:space="0" w:color="E0E0E0"/>
            </w:tcBorders>
          </w:tcPr>
          <w:p>
            <w:r>
              <w:rPr>
                <w:rFonts w:ascii="Times New Roman" w:hAnsi="Times New Roman"/>
                <w:sz w:val="21"/>
              </w:rPr>
              <w:t>True Negative</w:t>
            </w:r>
          </w:p>
        </w:tc>
      </w:tr>
      <w:tr>
        <w:tc>
          <w:tcPr>
            <w:tcW w:type="dxa" w:w="4334"/>
            <w:tcMar>
              <w:top w:w="60" w:type="dxa"/>
              <w:bottom w:w="60" w:type="dxa"/>
              <w:left w:w="120" w:type="dxa"/>
              <w:right w:w="120" w:type="dxa"/>
            </w:tcMar>
            <w:tcBorders>
              <w:bottom w:val="single" w:sz="2" w:space="0" w:color="E0E0E0"/>
            </w:tcBorders>
          </w:tcPr>
          <w:p>
            <w:r>
              <w:rPr>
                <w:rFonts w:ascii="Times New Roman" w:hAnsi="Times New Roman"/>
                <w:b/>
                <w:sz w:val="21"/>
              </w:rPr>
              <w:t>TNM</w:t>
            </w:r>
          </w:p>
        </w:tc>
        <w:tc>
          <w:tcPr>
            <w:tcW w:type="dxa" w:w="4334"/>
            <w:tcMar>
              <w:top w:w="60" w:type="dxa"/>
              <w:bottom w:w="60" w:type="dxa"/>
              <w:left w:w="120" w:type="dxa"/>
              <w:right w:w="120" w:type="dxa"/>
            </w:tcMar>
            <w:tcBorders>
              <w:bottom w:val="single" w:sz="2" w:space="0" w:color="E0E0E0"/>
            </w:tcBorders>
          </w:tcPr>
          <w:p>
            <w:r>
              <w:rPr>
                <w:rFonts w:ascii="Times New Roman" w:hAnsi="Times New Roman"/>
                <w:sz w:val="21"/>
              </w:rPr>
              <w:t>Tumor, Node, Metastasis Staging System</w:t>
            </w:r>
          </w:p>
        </w:tc>
      </w:tr>
      <w:tr>
        <w:tc>
          <w:tcPr>
            <w:tcW w:type="dxa" w:w="4334"/>
            <w:tcMar>
              <w:top w:w="60" w:type="dxa"/>
              <w:bottom w:w="60" w:type="dxa"/>
              <w:left w:w="120" w:type="dxa"/>
              <w:right w:w="120" w:type="dxa"/>
            </w:tcMar>
            <w:tcBorders>
              <w:bottom w:val="single" w:sz="2" w:space="0" w:color="E0E0E0"/>
            </w:tcBorders>
          </w:tcPr>
          <w:p>
            <w:r>
              <w:rPr>
                <w:rFonts w:ascii="Times New Roman" w:hAnsi="Times New Roman"/>
                <w:b/>
                <w:sz w:val="21"/>
              </w:rPr>
              <w:t>TP</w:t>
            </w:r>
          </w:p>
        </w:tc>
        <w:tc>
          <w:tcPr>
            <w:tcW w:type="dxa" w:w="4334"/>
            <w:tcMar>
              <w:top w:w="60" w:type="dxa"/>
              <w:bottom w:w="60" w:type="dxa"/>
              <w:left w:w="120" w:type="dxa"/>
              <w:right w:w="120" w:type="dxa"/>
            </w:tcMar>
            <w:tcBorders>
              <w:bottom w:val="single" w:sz="2" w:space="0" w:color="E0E0E0"/>
            </w:tcBorders>
          </w:tcPr>
          <w:p>
            <w:r>
              <w:rPr>
                <w:rFonts w:ascii="Times New Roman" w:hAnsi="Times New Roman"/>
                <w:sz w:val="21"/>
              </w:rPr>
              <w:t>True Positive</w:t>
            </w:r>
          </w:p>
        </w:tc>
      </w:tr>
      <w:tr>
        <w:tc>
          <w:tcPr>
            <w:tcW w:type="dxa" w:w="4334"/>
            <w:tcMar>
              <w:top w:w="60" w:type="dxa"/>
              <w:bottom w:w="60" w:type="dxa"/>
              <w:left w:w="120" w:type="dxa"/>
              <w:right w:w="120" w:type="dxa"/>
            </w:tcMar>
            <w:tcBorders>
              <w:bottom w:val="single" w:sz="2" w:space="0" w:color="E0E0E0"/>
            </w:tcBorders>
          </w:tcPr>
          <w:p>
            <w:r>
              <w:rPr>
                <w:rFonts w:ascii="Times New Roman" w:hAnsi="Times New Roman"/>
                <w:b/>
                <w:sz w:val="21"/>
              </w:rPr>
              <w:t>TPR</w:t>
            </w:r>
          </w:p>
        </w:tc>
        <w:tc>
          <w:tcPr>
            <w:tcW w:type="dxa" w:w="4334"/>
            <w:tcMar>
              <w:top w:w="60" w:type="dxa"/>
              <w:bottom w:w="60" w:type="dxa"/>
              <w:left w:w="120" w:type="dxa"/>
              <w:right w:w="120" w:type="dxa"/>
            </w:tcMar>
            <w:tcBorders>
              <w:bottom w:val="single" w:sz="2" w:space="0" w:color="E0E0E0"/>
            </w:tcBorders>
          </w:tcPr>
          <w:p>
            <w:r>
              <w:rPr>
                <w:rFonts w:ascii="Times New Roman" w:hAnsi="Times New Roman"/>
                <w:sz w:val="21"/>
              </w:rPr>
              <w:t>True Positive Rate</w:t>
            </w:r>
          </w:p>
        </w:tc>
      </w:tr>
      <w:tr>
        <w:tc>
          <w:tcPr>
            <w:tcW w:type="dxa" w:w="4334"/>
            <w:tcMar>
              <w:top w:w="60" w:type="dxa"/>
              <w:bottom w:w="60" w:type="dxa"/>
              <w:left w:w="120" w:type="dxa"/>
              <w:right w:w="120" w:type="dxa"/>
            </w:tcMar>
            <w:tcBorders>
              <w:bottom w:val="single" w:sz="2" w:space="0" w:color="E0E0E0"/>
            </w:tcBorders>
          </w:tcPr>
          <w:p>
            <w:r>
              <w:rPr>
                <w:rFonts w:ascii="Times New Roman" w:hAnsi="Times New Roman"/>
                <w:b/>
                <w:sz w:val="21"/>
              </w:rPr>
              <w:t>TRD</w:t>
            </w:r>
          </w:p>
        </w:tc>
        <w:tc>
          <w:tcPr>
            <w:tcW w:type="dxa" w:w="4334"/>
            <w:tcMar>
              <w:top w:w="60" w:type="dxa"/>
              <w:bottom w:w="60" w:type="dxa"/>
              <w:left w:w="120" w:type="dxa"/>
              <w:right w:w="120" w:type="dxa"/>
            </w:tcMar>
            <w:tcBorders>
              <w:bottom w:val="single" w:sz="2" w:space="0" w:color="E0E0E0"/>
            </w:tcBorders>
          </w:tcPr>
          <w:p>
            <w:r>
              <w:rPr>
                <w:rFonts w:ascii="Times New Roman" w:hAnsi="Times New Roman"/>
                <w:sz w:val="21"/>
              </w:rPr>
              <w:t>Technical Requirements Document</w:t>
            </w:r>
          </w:p>
        </w:tc>
      </w:tr>
      <w:tr>
        <w:tc>
          <w:tcPr>
            <w:tcW w:type="dxa" w:w="4334"/>
            <w:tcMar>
              <w:top w:w="60" w:type="dxa"/>
              <w:bottom w:w="60" w:type="dxa"/>
              <w:left w:w="120" w:type="dxa"/>
              <w:right w:w="120" w:type="dxa"/>
            </w:tcMar>
            <w:tcBorders>
              <w:bottom w:val="single" w:sz="2" w:space="0" w:color="E0E0E0"/>
            </w:tcBorders>
          </w:tcPr>
          <w:p>
            <w:r>
              <w:rPr>
                <w:rFonts w:ascii="Times New Roman" w:hAnsi="Times New Roman"/>
                <w:b/>
                <w:sz w:val="21"/>
              </w:rPr>
              <w:t>TTA</w:t>
            </w:r>
          </w:p>
        </w:tc>
        <w:tc>
          <w:tcPr>
            <w:tcW w:type="dxa" w:w="4334"/>
            <w:tcMar>
              <w:top w:w="60" w:type="dxa"/>
              <w:bottom w:w="60" w:type="dxa"/>
              <w:left w:w="120" w:type="dxa"/>
              <w:right w:w="120" w:type="dxa"/>
            </w:tcMar>
            <w:tcBorders>
              <w:bottom w:val="single" w:sz="2" w:space="0" w:color="E0E0E0"/>
            </w:tcBorders>
          </w:tcPr>
          <w:p>
            <w:r>
              <w:rPr>
                <w:rFonts w:ascii="Times New Roman" w:hAnsi="Times New Roman"/>
                <w:sz w:val="21"/>
              </w:rPr>
              <w:t>Test-Time Augmentation</w:t>
            </w:r>
          </w:p>
        </w:tc>
      </w:tr>
      <w:tr>
        <w:tc>
          <w:tcPr>
            <w:tcW w:type="dxa" w:w="4334"/>
            <w:tcMar>
              <w:top w:w="60" w:type="dxa"/>
              <w:bottom w:w="60" w:type="dxa"/>
              <w:left w:w="120" w:type="dxa"/>
              <w:right w:w="120" w:type="dxa"/>
            </w:tcMar>
            <w:tcBorders>
              <w:bottom w:val="single" w:sz="2" w:space="0" w:color="E0E0E0"/>
            </w:tcBorders>
          </w:tcPr>
          <w:p>
            <w:r>
              <w:rPr>
                <w:rFonts w:ascii="Times New Roman" w:hAnsi="Times New Roman"/>
                <w:b/>
                <w:sz w:val="21"/>
              </w:rPr>
              <w:t>UI/UX</w:t>
            </w:r>
          </w:p>
        </w:tc>
        <w:tc>
          <w:tcPr>
            <w:tcW w:type="dxa" w:w="4334"/>
            <w:tcMar>
              <w:top w:w="60" w:type="dxa"/>
              <w:bottom w:w="60" w:type="dxa"/>
              <w:left w:w="120" w:type="dxa"/>
              <w:right w:w="120" w:type="dxa"/>
            </w:tcMar>
            <w:tcBorders>
              <w:bottom w:val="single" w:sz="2" w:space="0" w:color="E0E0E0"/>
            </w:tcBorders>
          </w:tcPr>
          <w:p>
            <w:r>
              <w:rPr>
                <w:rFonts w:ascii="Times New Roman" w:hAnsi="Times New Roman"/>
                <w:sz w:val="21"/>
              </w:rPr>
              <w:t>User Interface / User Experience</w:t>
            </w:r>
          </w:p>
        </w:tc>
      </w:tr>
      <w:tr>
        <w:tc>
          <w:tcPr>
            <w:tcW w:type="dxa" w:w="4334"/>
            <w:tcMar>
              <w:top w:w="60" w:type="dxa"/>
              <w:bottom w:w="60" w:type="dxa"/>
              <w:left w:w="120" w:type="dxa"/>
              <w:right w:w="120" w:type="dxa"/>
            </w:tcMar>
            <w:tcBorders>
              <w:bottom w:val="single" w:sz="2" w:space="0" w:color="E0E0E0"/>
            </w:tcBorders>
          </w:tcPr>
          <w:p>
            <w:r>
              <w:rPr>
                <w:rFonts w:ascii="Times New Roman" w:hAnsi="Times New Roman"/>
                <w:b/>
                <w:sz w:val="21"/>
              </w:rPr>
              <w:t>USN</w:t>
            </w:r>
          </w:p>
        </w:tc>
        <w:tc>
          <w:tcPr>
            <w:tcW w:type="dxa" w:w="4334"/>
            <w:tcMar>
              <w:top w:w="60" w:type="dxa"/>
              <w:bottom w:w="60" w:type="dxa"/>
              <w:left w:w="120" w:type="dxa"/>
              <w:right w:w="120" w:type="dxa"/>
            </w:tcMar>
            <w:tcBorders>
              <w:bottom w:val="single" w:sz="2" w:space="0" w:color="E0E0E0"/>
            </w:tcBorders>
          </w:tcPr>
          <w:p>
            <w:r>
              <w:rPr>
                <w:rFonts w:ascii="Times New Roman" w:hAnsi="Times New Roman"/>
                <w:sz w:val="21"/>
              </w:rPr>
              <w:t>University Seat Number</w:t>
            </w:r>
          </w:p>
        </w:tc>
      </w:tr>
      <w:tr>
        <w:tc>
          <w:tcPr>
            <w:tcW w:type="dxa" w:w="4334"/>
            <w:tcMar>
              <w:top w:w="60" w:type="dxa"/>
              <w:bottom w:w="60" w:type="dxa"/>
              <w:left w:w="120" w:type="dxa"/>
              <w:right w:w="120" w:type="dxa"/>
            </w:tcMar>
            <w:tcBorders>
              <w:bottom w:val="single" w:sz="2" w:space="0" w:color="E0E0E0"/>
            </w:tcBorders>
          </w:tcPr>
          <w:p>
            <w:r>
              <w:rPr>
                <w:rFonts w:ascii="Times New Roman" w:hAnsi="Times New Roman"/>
                <w:b/>
                <w:sz w:val="21"/>
              </w:rPr>
              <w:t>VTU</w:t>
            </w:r>
          </w:p>
        </w:tc>
        <w:tc>
          <w:tcPr>
            <w:tcW w:type="dxa" w:w="4334"/>
            <w:tcMar>
              <w:top w:w="60" w:type="dxa"/>
              <w:bottom w:w="60" w:type="dxa"/>
              <w:left w:w="120" w:type="dxa"/>
              <w:right w:w="120" w:type="dxa"/>
            </w:tcMar>
            <w:tcBorders>
              <w:bottom w:val="single" w:sz="2" w:space="0" w:color="E0E0E0"/>
            </w:tcBorders>
          </w:tcPr>
          <w:p>
            <w:r>
              <w:rPr>
                <w:rFonts w:ascii="Times New Roman" w:hAnsi="Times New Roman"/>
                <w:sz w:val="21"/>
              </w:rPr>
              <w:t>Visvesvaraya Technological University</w:t>
            </w:r>
          </w:p>
        </w:tc>
      </w:tr>
      <w:tr>
        <w:tc>
          <w:tcPr>
            <w:tcW w:type="dxa" w:w="4334"/>
            <w:tcMar>
              <w:top w:w="60" w:type="dxa"/>
              <w:bottom w:w="60" w:type="dxa"/>
              <w:left w:w="120" w:type="dxa"/>
              <w:right w:w="120" w:type="dxa"/>
            </w:tcMar>
            <w:tcBorders>
              <w:bottom w:val="single" w:sz="2" w:space="0" w:color="E0E0E0"/>
            </w:tcBorders>
          </w:tcPr>
          <w:p>
            <w:r>
              <w:rPr>
                <w:rFonts w:ascii="Times New Roman" w:hAnsi="Times New Roman"/>
                <w:b/>
                <w:sz w:val="21"/>
              </w:rPr>
              <w:t>VGG</w:t>
            </w:r>
          </w:p>
        </w:tc>
        <w:tc>
          <w:tcPr>
            <w:tcW w:type="dxa" w:w="4334"/>
            <w:tcMar>
              <w:top w:w="60" w:type="dxa"/>
              <w:bottom w:w="60" w:type="dxa"/>
              <w:left w:w="120" w:type="dxa"/>
              <w:right w:w="120" w:type="dxa"/>
            </w:tcMar>
            <w:tcBorders>
              <w:bottom w:val="single" w:sz="2" w:space="0" w:color="E0E0E0"/>
            </w:tcBorders>
          </w:tcPr>
          <w:p>
            <w:r>
              <w:rPr>
                <w:rFonts w:ascii="Times New Roman" w:hAnsi="Times New Roman"/>
                <w:sz w:val="21"/>
              </w:rPr>
              <w:t>Visual Geometry Group (Oxford)</w:t>
            </w:r>
          </w:p>
        </w:tc>
      </w:tr>
      <w:tr>
        <w:tc>
          <w:tcPr>
            <w:tcW w:type="dxa" w:w="4334"/>
            <w:tcMar>
              <w:top w:w="60" w:type="dxa"/>
              <w:bottom w:w="60" w:type="dxa"/>
              <w:left w:w="120" w:type="dxa"/>
              <w:right w:w="120" w:type="dxa"/>
            </w:tcMar>
            <w:tcBorders>
              <w:bottom w:val="single" w:sz="2" w:space="0" w:color="E0E0E0"/>
            </w:tcBorders>
          </w:tcPr>
          <w:p>
            <w:r>
              <w:rPr>
                <w:rFonts w:ascii="Times New Roman" w:hAnsi="Times New Roman"/>
                <w:b/>
                <w:sz w:val="21"/>
              </w:rPr>
              <w:t>WHO</w:t>
            </w:r>
          </w:p>
        </w:tc>
        <w:tc>
          <w:tcPr>
            <w:tcW w:type="dxa" w:w="4334"/>
            <w:tcMar>
              <w:top w:w="60" w:type="dxa"/>
              <w:bottom w:w="60" w:type="dxa"/>
              <w:left w:w="120" w:type="dxa"/>
              <w:right w:w="120" w:type="dxa"/>
            </w:tcMar>
            <w:tcBorders>
              <w:bottom w:val="single" w:sz="2" w:space="0" w:color="E0E0E0"/>
            </w:tcBorders>
          </w:tcPr>
          <w:p>
            <w:r>
              <w:rPr>
                <w:rFonts w:ascii="Times New Roman" w:hAnsi="Times New Roman"/>
                <w:sz w:val="21"/>
              </w:rPr>
              <w:t>World Health Organization</w:t>
            </w:r>
          </w:p>
        </w:tc>
      </w:tr>
      <w:tr>
        <w:tc>
          <w:tcPr>
            <w:tcW w:type="dxa" w:w="4334"/>
            <w:tcMar>
              <w:top w:w="60" w:type="dxa"/>
              <w:bottom w:w="60" w:type="dxa"/>
              <w:left w:w="120" w:type="dxa"/>
              <w:right w:w="120" w:type="dxa"/>
            </w:tcMar>
            <w:tcBorders>
              <w:bottom w:val="single" w:sz="2" w:space="0" w:color="E0E0E0"/>
            </w:tcBorders>
          </w:tcPr>
          <w:p>
            <w:r>
              <w:rPr>
                <w:rFonts w:ascii="Times New Roman" w:hAnsi="Times New Roman"/>
                <w:b/>
                <w:sz w:val="21"/>
              </w:rPr>
              <w:t>ZKP</w:t>
            </w:r>
          </w:p>
        </w:tc>
        <w:tc>
          <w:tcPr>
            <w:tcW w:type="dxa" w:w="4334"/>
            <w:tcMar>
              <w:top w:w="60" w:type="dxa"/>
              <w:bottom w:w="60" w:type="dxa"/>
              <w:left w:w="120" w:type="dxa"/>
              <w:right w:w="120" w:type="dxa"/>
            </w:tcMar>
            <w:tcBorders>
              <w:bottom w:val="single" w:sz="2" w:space="0" w:color="E0E0E0"/>
            </w:tcBorders>
          </w:tcPr>
          <w:p>
            <w:r>
              <w:rPr>
                <w:rFonts w:ascii="Times New Roman" w:hAnsi="Times New Roman"/>
                <w:sz w:val="21"/>
              </w:rPr>
              <w:t>Zero-Knowledge Proof</w:t>
            </w:r>
          </w:p>
        </w:tc>
      </w:tr>
    </w:tbl>
    <w:p>
      <w:r>
        <w:br w:type="page"/>
      </w:r>
    </w:p>
    <w:p>
      <w:pPr>
        <w:spacing w:before="360" w:after="360" w:line="360" w:lineRule="auto"/>
        <w:jc w:val="center"/>
      </w:pPr>
      <w:r>
        <w:rPr>
          <w:rFonts w:ascii="Times New Roman" w:hAnsi="Times New Roman"/>
          <w:b/>
          <w:i w:val="0"/>
          <w:color w:val="0A2D5A"/>
          <w:sz w:val="32"/>
        </w:rPr>
        <w:t>CHAPTER 1</w:t>
        <w:br/>
        <w:t>INTRODUCTION</w:t>
      </w:r>
    </w:p>
    <w:p>
      <w:pPr>
        <w:spacing w:before="280" w:after="120" w:line="360" w:lineRule="auto"/>
        <w:jc w:val="left"/>
      </w:pPr>
      <w:r>
        <w:rPr>
          <w:rFonts w:ascii="Times New Roman" w:hAnsi="Times New Roman"/>
          <w:b/>
          <w:i w:val="0"/>
          <w:color w:val="0F234B"/>
          <w:sz w:val="28"/>
        </w:rPr>
        <w:t>Overview and Clinical Imperative</w:t>
      </w:r>
    </w:p>
    <w:p>
      <w:pPr>
        <w:spacing w:before="40" w:after="120" w:line="360" w:lineRule="auto"/>
        <w:jc w:val="both"/>
      </w:pPr>
      <w:r>
        <w:rPr>
          <w:rFonts w:ascii="Times New Roman" w:hAnsi="Times New Roman"/>
          <w:b w:val="0"/>
          <w:i w:val="0"/>
          <w:sz w:val="24"/>
        </w:rPr>
        <w:t>Malignant neoplasms of the oral cavity represent an escalating and devastating public health crisis globally, persistently ranking among the six most widespread oncological conditions worldwide. Oral Squamous Cell Carcinoma (OSCC), which constitutes over 90% to 95% of all documented oral malignancies, originates within the stratified squamous epithelial lining of the oral mucosa, encompassing anatomically vulnerable sites such as the buccal mucosa, lateral margins and ventral surface of the tongue, the floor of the mouth, gingival structures, the hard and soft palates, and the retromolar trigone [sung2021global]. According to the World Health Organization (WHO) and the Global Cancer Observatory (GLOBOCAN) 2024 epidemiological updates, oral cavity and lip malignancies accounted for approximately 377,713 newly documented clinical diagnoses and over 177,757 fatalities globally, characterized by an alarming upward trend in low- and middle-income nations [bray2024global].</w:t>
      </w:r>
    </w:p>
    <w:p>
      <w:pPr>
        <w:spacing w:before="40" w:after="120" w:line="360" w:lineRule="auto"/>
        <w:jc w:val="both"/>
      </w:pPr>
      <w:r>
        <w:rPr>
          <w:rFonts w:ascii="Times New Roman" w:hAnsi="Times New Roman"/>
          <w:b w:val="0"/>
          <w:i w:val="0"/>
          <w:sz w:val="24"/>
        </w:rPr>
        <w:t>India represents the undisputed global epicenter of oral oncological disease, bearing nearly one-third of the total global burden. In India alone, over 135,000 new cases are diagnosed annually, making oral cancer the most diagnosed malignancy among Indian males and the third most prevalent cancer across the combined population [gupta2004epidemiology]. In South Indian states, notably Karnataka, oral mucosal carcinoma exhibits an age-adjusted incidence rate exceeding 14.8 per 100,000 person-years in rural regions, driven by socio-cultural habits and agricultural occupational exposures. Despite progressive advancements in surgical resective techniques, microvascular radial forearm and fibular free-flap reconstruction, intensity-modulated radiation therapy (IMRT), and programmed cell death protein-1 (PD-1) targeted checkpoint immunotherapies, the five-year overall survival rate for OSCC has remained virtually stagnant at approximately 50% for over thirty-five years [johnson2020head].</w:t>
      </w:r>
    </w:p>
    <w:p>
      <w:pPr>
        <w:spacing w:before="40" w:after="120" w:line="360" w:lineRule="auto"/>
        <w:jc w:val="both"/>
      </w:pPr>
      <w:r>
        <w:rPr>
          <w:rFonts w:ascii="Times New Roman" w:hAnsi="Times New Roman"/>
          <w:b w:val="0"/>
          <w:i w:val="0"/>
          <w:sz w:val="24"/>
        </w:rPr>
        <w:t>The fundamental driver of this persistent lethality is not an inherent refractoriness to oncological therapeutics, but rather</w:t>
      </w:r>
      <w:r>
        <w:rPr>
          <w:rFonts w:ascii="Times New Roman" w:hAnsi="Times New Roman"/>
          <w:b w:val="0"/>
          <w:i/>
          <w:sz w:val="24"/>
        </w:rPr>
        <w:t>diagnostic delay</w:t>
      </w:r>
      <w:r>
        <w:rPr>
          <w:rFonts w:ascii="Times New Roman" w:hAnsi="Times New Roman"/>
          <w:b w:val="0"/>
          <w:i w:val="0"/>
          <w:sz w:val="24"/>
        </w:rPr>
        <w:t>. More than 68% to 75% of patients in rural and semi-urban Indian populations present at tertiary comprehensive cancer centers with advanced Stage III or Stage IV disease, characterized by deep regional soft-tissue invasion and ipsilateral or bilateral cervical lymph node metastases [amin2017ajcc]. In stark contrast, when oral lesions are detected at an early localized stage (Stage I) or at the pre-invasive stage of Oral Potentially Malignant Disorders (OPMDs)—such as oral leukoplakia, erythroplakia, and oral submucous fibrosis—the five-year clinical survival rate surges from 30% to over 84%, as summarized in Table tab:survival_staging.</w:t>
      </w:r>
    </w:p>
    <w:p>
      <w:pPr>
        <w:spacing w:before="200" w:after="80" w:line="360" w:lineRule="auto"/>
        <w:jc w:val="center"/>
      </w:pPr>
      <w:r>
        <w:rPr>
          <w:rFonts w:ascii="Times New Roman" w:hAnsi="Times New Roman"/>
          <w:b/>
          <w:i w:val="0"/>
          <w:color w:val="0A2D5A"/>
          <w:sz w:val="22"/>
        </w:rPr>
        <w:t>Table: 5-Year Relative Overall Survival Rates Stratified by AJCC 8th Edition Clinical Staging</w:t>
      </w:r>
    </w:p>
    <w:tbl>
      <w:tblPr>
        <w:tblW w:type="auto" w:w="0"/>
        <w:jc w:val="center"/>
        <w:tblLook w:firstColumn="1" w:firstRow="1" w:lastColumn="0" w:lastRow="0" w:noHBand="0" w:noVBand="1" w:val="04A0"/>
      </w:tblPr>
      <w:tblGrid>
        <w:gridCol w:w="2167"/>
        <w:gridCol w:w="2167"/>
        <w:gridCol w:w="2167"/>
        <w:gridCol w:w="2167"/>
      </w:tblGrid>
      <w:tr>
        <w:tc>
          <w:tcPr>
            <w:tcW w:type="dxa" w:w="2167"/>
            <w:tcMar>
              <w:top w:w="80" w:type="dxa"/>
              <w:bottom w:w="80" w:type="dxa"/>
              <w:left w:w="120" w:type="dxa"/>
              <w:right w:w="120" w:type="dxa"/>
            </w:tcMar>
            <w:tcBorders>
              <w:top w:val="single" w:sz="2" w:space="0" w:color="B0B0B0"/>
              <w:left w:val="single" w:sz="1" w:space="0" w:color="D8D8D8"/>
              <w:bottom w:val="single" w:sz="2" w:space="0" w:color="B0B0B0"/>
              <w:right w:val="single" w:sz="1" w:space="0" w:color="D8D8D8"/>
            </w:tcBorders>
            <w:shd w:fill="EBF0F5"/>
          </w:tcPr>
          <w:p>
            <w:pPr>
              <w:jc w:val="center"/>
            </w:pPr>
            <w:r>
              <w:rPr>
                <w:rFonts w:ascii="Times New Roman" w:hAnsi="Times New Roman"/>
                <w:b/>
                <w:sz w:val="21"/>
              </w:rPr>
              <w:t>\textbf{Stage}</w:t>
            </w:r>
          </w:p>
        </w:tc>
        <w:tc>
          <w:tcPr>
            <w:tcW w:type="dxa" w:w="2167"/>
            <w:tcMar>
              <w:top w:w="80" w:type="dxa"/>
              <w:bottom w:w="80" w:type="dxa"/>
              <w:left w:w="120" w:type="dxa"/>
              <w:right w:w="120" w:type="dxa"/>
            </w:tcMar>
            <w:tcBorders>
              <w:top w:val="single" w:sz="2" w:space="0" w:color="B0B0B0"/>
              <w:left w:val="single" w:sz="1" w:space="0" w:color="D8D8D8"/>
              <w:bottom w:val="single" w:sz="2" w:space="0" w:color="B0B0B0"/>
              <w:right w:val="single" w:sz="1" w:space="0" w:color="D8D8D8"/>
            </w:tcBorders>
            <w:shd w:fill="EBF0F5"/>
          </w:tcPr>
          <w:p>
            <w:pPr>
              <w:jc w:val="center"/>
            </w:pPr>
            <w:r>
              <w:rPr>
                <w:rFonts w:ascii="Times New Roman" w:hAnsi="Times New Roman"/>
                <w:b/>
                <w:sz w:val="21"/>
              </w:rPr>
              <w:t>\textbf{Clinical / Histopathological Criteria}</w:t>
            </w:r>
          </w:p>
        </w:tc>
        <w:tc>
          <w:tcPr>
            <w:tcW w:type="dxa" w:w="2167"/>
            <w:tcMar>
              <w:top w:w="80" w:type="dxa"/>
              <w:bottom w:w="80" w:type="dxa"/>
              <w:left w:w="120" w:type="dxa"/>
              <w:right w:w="120" w:type="dxa"/>
            </w:tcMar>
            <w:tcBorders>
              <w:top w:val="single" w:sz="2" w:space="0" w:color="B0B0B0"/>
              <w:left w:val="single" w:sz="1" w:space="0" w:color="D8D8D8"/>
              <w:bottom w:val="single" w:sz="2" w:space="0" w:color="B0B0B0"/>
              <w:right w:val="single" w:sz="1" w:space="0" w:color="D8D8D8"/>
            </w:tcBorders>
            <w:shd w:fill="EBF0F5"/>
          </w:tcPr>
          <w:p>
            <w:pPr>
              <w:jc w:val="center"/>
            </w:pPr>
            <w:r>
              <w:rPr>
                <w:rFonts w:ascii="Times New Roman" w:hAnsi="Times New Roman"/>
                <w:b/>
                <w:sz w:val="21"/>
              </w:rPr>
              <w:t>\textbf{5-Yr Survival (%)}</w:t>
            </w:r>
          </w:p>
        </w:tc>
        <w:tc>
          <w:tcPr>
            <w:tcW w:type="dxa" w:w="2167"/>
            <w:tcMar>
              <w:top w:w="80" w:type="dxa"/>
              <w:bottom w:w="80" w:type="dxa"/>
              <w:left w:w="120" w:type="dxa"/>
              <w:right w:w="120" w:type="dxa"/>
            </w:tcMar>
            <w:tcBorders>
              <w:top w:val="single" w:sz="2" w:space="0" w:color="B0B0B0"/>
              <w:left w:val="single" w:sz="1" w:space="0" w:color="D8D8D8"/>
              <w:bottom w:val="single" w:sz="2" w:space="0" w:color="B0B0B0"/>
              <w:right w:val="single" w:sz="1" w:space="0" w:color="D8D8D8"/>
            </w:tcBorders>
            <w:shd w:fill="EBF0F5"/>
          </w:tcPr>
          <w:p>
            <w:pPr>
              <w:jc w:val="center"/>
            </w:pPr>
            <w:r>
              <w:rPr>
                <w:rFonts w:ascii="Times New Roman" w:hAnsi="Times New Roman"/>
                <w:b/>
                <w:sz w:val="21"/>
              </w:rPr>
              <w:t>\textbf{Diagnostic Delay Impact}</w:t>
            </w:r>
          </w:p>
        </w:tc>
      </w:tr>
      <w:tr>
        <w:tc>
          <w:tcPr>
            <w:tcW w:type="dxa" w:w="2167"/>
            <w:tcMar>
              <w:top w:w="80" w:type="dxa"/>
              <w:bottom w:w="80" w:type="dxa"/>
              <w:left w:w="120" w:type="dxa"/>
              <w:right w:w="120" w:type="dxa"/>
            </w:tcMar>
            <w:tcBorders>
              <w:top w:val="single" w:sz="2" w:space="0" w:color="B0B0B0"/>
              <w:left w:val="single" w:sz="1" w:space="0" w:color="D8D8D8"/>
              <w:bottom w:val="single" w:sz="2" w:space="0" w:color="B0B0B0"/>
              <w:right w:val="single" w:sz="1" w:space="0" w:color="D8D8D8"/>
            </w:tcBorders>
          </w:tcPr>
          <w:p>
            <w:pPr>
              <w:jc w:val="left"/>
            </w:pPr>
            <w:r>
              <w:rPr>
                <w:rFonts w:ascii="Times New Roman" w:hAnsi="Times New Roman"/>
                <w:sz w:val="20"/>
              </w:rPr>
              <w:t>Stage 0</w:t>
            </w:r>
          </w:p>
        </w:tc>
        <w:tc>
          <w:tcPr>
            <w:tcW w:type="dxa" w:w="2167"/>
            <w:tcMar>
              <w:top w:w="80" w:type="dxa"/>
              <w:bottom w:w="80" w:type="dxa"/>
              <w:left w:w="120" w:type="dxa"/>
              <w:right w:w="120" w:type="dxa"/>
            </w:tcMar>
            <w:tcBorders>
              <w:top w:val="single" w:sz="2" w:space="0" w:color="B0B0B0"/>
              <w:left w:val="single" w:sz="1" w:space="0" w:color="D8D8D8"/>
              <w:bottom w:val="single" w:sz="2" w:space="0" w:color="B0B0B0"/>
              <w:right w:val="single" w:sz="1" w:space="0" w:color="D8D8D8"/>
            </w:tcBorders>
          </w:tcPr>
          <w:p>
            <w:pPr>
              <w:jc w:val="left"/>
            </w:pPr>
            <w:r>
              <w:rPr>
                <w:rFonts w:ascii="Times New Roman" w:hAnsi="Times New Roman"/>
                <w:sz w:val="20"/>
              </w:rPr>
              <w:t>Carcinoma in Situ (Tis N0 M0), intraepithelial atypia</w:t>
            </w:r>
          </w:p>
        </w:tc>
        <w:tc>
          <w:tcPr>
            <w:tcW w:type="dxa" w:w="2167"/>
            <w:tcMar>
              <w:top w:w="80" w:type="dxa"/>
              <w:bottom w:w="80" w:type="dxa"/>
              <w:left w:w="120" w:type="dxa"/>
              <w:right w:w="120" w:type="dxa"/>
            </w:tcMar>
            <w:tcBorders>
              <w:top w:val="single" w:sz="2" w:space="0" w:color="B0B0B0"/>
              <w:left w:val="single" w:sz="1" w:space="0" w:color="D8D8D8"/>
              <w:bottom w:val="single" w:sz="2" w:space="0" w:color="B0B0B0"/>
              <w:right w:val="single" w:sz="1" w:space="0" w:color="D8D8D8"/>
            </w:tcBorders>
          </w:tcPr>
          <w:p>
            <w:pPr>
              <w:jc w:val="left"/>
            </w:pPr>
            <w:r>
              <w:rPr>
                <w:rFonts w:ascii="Times New Roman" w:hAnsi="Times New Roman"/>
                <w:sz w:val="20"/>
              </w:rPr>
              <w:t>92.4%</w:t>
            </w:r>
          </w:p>
        </w:tc>
        <w:tc>
          <w:tcPr>
            <w:tcW w:type="dxa" w:w="2167"/>
            <w:tcMar>
              <w:top w:w="80" w:type="dxa"/>
              <w:bottom w:w="80" w:type="dxa"/>
              <w:left w:w="120" w:type="dxa"/>
              <w:right w:w="120" w:type="dxa"/>
            </w:tcMar>
            <w:tcBorders>
              <w:top w:val="single" w:sz="2" w:space="0" w:color="B0B0B0"/>
              <w:left w:val="single" w:sz="1" w:space="0" w:color="D8D8D8"/>
              <w:bottom w:val="single" w:sz="2" w:space="0" w:color="B0B0B0"/>
              <w:right w:val="single" w:sz="1" w:space="0" w:color="D8D8D8"/>
            </w:tcBorders>
          </w:tcPr>
          <w:p>
            <w:pPr>
              <w:jc w:val="left"/>
            </w:pPr>
            <w:r>
              <w:rPr>
                <w:rFonts w:ascii="Times New Roman" w:hAnsi="Times New Roman"/>
                <w:sz w:val="20"/>
              </w:rPr>
              <w:t>Curative surgical excision</w:t>
            </w:r>
          </w:p>
        </w:tc>
      </w:tr>
      <w:tr>
        <w:tc>
          <w:tcPr>
            <w:tcW w:type="dxa" w:w="2167"/>
            <w:tcMar>
              <w:top w:w="80" w:type="dxa"/>
              <w:bottom w:w="80" w:type="dxa"/>
              <w:left w:w="120" w:type="dxa"/>
              <w:right w:w="120" w:type="dxa"/>
            </w:tcMar>
            <w:tcBorders>
              <w:top w:val="single" w:sz="2" w:space="0" w:color="B0B0B0"/>
              <w:left w:val="single" w:sz="1" w:space="0" w:color="D8D8D8"/>
              <w:bottom w:val="single" w:sz="2" w:space="0" w:color="B0B0B0"/>
              <w:right w:val="single" w:sz="1" w:space="0" w:color="D8D8D8"/>
            </w:tcBorders>
          </w:tcPr>
          <w:p>
            <w:pPr>
              <w:jc w:val="left"/>
            </w:pPr>
            <w:r>
              <w:rPr>
                <w:rFonts w:ascii="Times New Roman" w:hAnsi="Times New Roman"/>
                <w:sz w:val="20"/>
              </w:rPr>
              <w:t>Stage I</w:t>
            </w:r>
          </w:p>
        </w:tc>
        <w:tc>
          <w:tcPr>
            <w:tcW w:type="dxa" w:w="2167"/>
            <w:tcMar>
              <w:top w:w="80" w:type="dxa"/>
              <w:bottom w:w="80" w:type="dxa"/>
              <w:left w:w="120" w:type="dxa"/>
              <w:right w:w="120" w:type="dxa"/>
            </w:tcMar>
            <w:tcBorders>
              <w:top w:val="single" w:sz="2" w:space="0" w:color="B0B0B0"/>
              <w:left w:val="single" w:sz="1" w:space="0" w:color="D8D8D8"/>
              <w:bottom w:val="single" w:sz="2" w:space="0" w:color="B0B0B0"/>
              <w:right w:val="single" w:sz="1" w:space="0" w:color="D8D8D8"/>
            </w:tcBorders>
          </w:tcPr>
          <w:p>
            <w:pPr>
              <w:jc w:val="left"/>
            </w:pPr>
            <w:r>
              <w:rPr>
                <w:rFonts w:ascii="Times New Roman" w:hAnsi="Times New Roman"/>
                <w:sz w:val="20"/>
              </w:rPr>
              <w:t>Localized small tumor (≤ 2 cm), Depth of Invasion ≤ 5 mm, N0</w:t>
            </w:r>
          </w:p>
        </w:tc>
        <w:tc>
          <w:tcPr>
            <w:tcW w:type="dxa" w:w="2167"/>
            <w:tcMar>
              <w:top w:w="80" w:type="dxa"/>
              <w:bottom w:w="80" w:type="dxa"/>
              <w:left w:w="120" w:type="dxa"/>
              <w:right w:w="120" w:type="dxa"/>
            </w:tcMar>
            <w:tcBorders>
              <w:top w:val="single" w:sz="2" w:space="0" w:color="B0B0B0"/>
              <w:left w:val="single" w:sz="1" w:space="0" w:color="D8D8D8"/>
              <w:bottom w:val="single" w:sz="2" w:space="0" w:color="B0B0B0"/>
              <w:right w:val="single" w:sz="1" w:space="0" w:color="D8D8D8"/>
            </w:tcBorders>
          </w:tcPr>
          <w:p>
            <w:pPr>
              <w:jc w:val="left"/>
            </w:pPr>
            <w:r>
              <w:rPr>
                <w:rFonts w:ascii="Times New Roman" w:hAnsi="Times New Roman"/>
                <w:sz w:val="20"/>
              </w:rPr>
              <w:t>84.6%</w:t>
            </w:r>
          </w:p>
        </w:tc>
        <w:tc>
          <w:tcPr>
            <w:tcW w:type="dxa" w:w="2167"/>
            <w:tcMar>
              <w:top w:w="80" w:type="dxa"/>
              <w:bottom w:w="80" w:type="dxa"/>
              <w:left w:w="120" w:type="dxa"/>
              <w:right w:w="120" w:type="dxa"/>
            </w:tcMar>
            <w:tcBorders>
              <w:top w:val="single" w:sz="2" w:space="0" w:color="B0B0B0"/>
              <w:left w:val="single" w:sz="1" w:space="0" w:color="D8D8D8"/>
              <w:bottom w:val="single" w:sz="2" w:space="0" w:color="B0B0B0"/>
              <w:right w:val="single" w:sz="1" w:space="0" w:color="D8D8D8"/>
            </w:tcBorders>
          </w:tcPr>
          <w:p>
            <w:pPr>
              <w:jc w:val="left"/>
            </w:pPr>
            <w:r>
              <w:rPr>
                <w:rFonts w:ascii="Times New Roman" w:hAnsi="Times New Roman"/>
                <w:sz w:val="20"/>
              </w:rPr>
              <w:t>High preservation of function</w:t>
            </w:r>
          </w:p>
        </w:tc>
      </w:tr>
      <w:tr>
        <w:tc>
          <w:tcPr>
            <w:tcW w:type="dxa" w:w="2167"/>
            <w:tcMar>
              <w:top w:w="80" w:type="dxa"/>
              <w:bottom w:w="80" w:type="dxa"/>
              <w:left w:w="120" w:type="dxa"/>
              <w:right w:w="120" w:type="dxa"/>
            </w:tcMar>
            <w:tcBorders>
              <w:top w:val="single" w:sz="2" w:space="0" w:color="B0B0B0"/>
              <w:left w:val="single" w:sz="1" w:space="0" w:color="D8D8D8"/>
              <w:bottom w:val="single" w:sz="2" w:space="0" w:color="B0B0B0"/>
              <w:right w:val="single" w:sz="1" w:space="0" w:color="D8D8D8"/>
            </w:tcBorders>
          </w:tcPr>
          <w:p>
            <w:pPr>
              <w:jc w:val="left"/>
            </w:pPr>
            <w:r>
              <w:rPr>
                <w:rFonts w:ascii="Times New Roman" w:hAnsi="Times New Roman"/>
                <w:sz w:val="20"/>
              </w:rPr>
              <w:t>Stage II</w:t>
            </w:r>
          </w:p>
        </w:tc>
        <w:tc>
          <w:tcPr>
            <w:tcW w:type="dxa" w:w="2167"/>
            <w:tcMar>
              <w:top w:w="80" w:type="dxa"/>
              <w:bottom w:w="80" w:type="dxa"/>
              <w:left w:w="120" w:type="dxa"/>
              <w:right w:w="120" w:type="dxa"/>
            </w:tcMar>
            <w:tcBorders>
              <w:top w:val="single" w:sz="2" w:space="0" w:color="B0B0B0"/>
              <w:left w:val="single" w:sz="1" w:space="0" w:color="D8D8D8"/>
              <w:bottom w:val="single" w:sz="2" w:space="0" w:color="B0B0B0"/>
              <w:right w:val="single" w:sz="1" w:space="0" w:color="D8D8D8"/>
            </w:tcBorders>
          </w:tcPr>
          <w:p>
            <w:pPr>
              <w:jc w:val="left"/>
            </w:pPr>
            <w:r>
              <w:rPr>
                <w:rFonts w:ascii="Times New Roman" w:hAnsi="Times New Roman"/>
                <w:sz w:val="20"/>
              </w:rPr>
              <w:t>Intermediate tumor (2-4 cm), Depth ≤ 10 mm, N0</w:t>
            </w:r>
          </w:p>
        </w:tc>
        <w:tc>
          <w:tcPr>
            <w:tcW w:type="dxa" w:w="2167"/>
            <w:tcMar>
              <w:top w:w="80" w:type="dxa"/>
              <w:bottom w:w="80" w:type="dxa"/>
              <w:left w:w="120" w:type="dxa"/>
              <w:right w:w="120" w:type="dxa"/>
            </w:tcMar>
            <w:tcBorders>
              <w:top w:val="single" w:sz="2" w:space="0" w:color="B0B0B0"/>
              <w:left w:val="single" w:sz="1" w:space="0" w:color="D8D8D8"/>
              <w:bottom w:val="single" w:sz="2" w:space="0" w:color="B0B0B0"/>
              <w:right w:val="single" w:sz="1" w:space="0" w:color="D8D8D8"/>
            </w:tcBorders>
          </w:tcPr>
          <w:p>
            <w:pPr>
              <w:jc w:val="left"/>
            </w:pPr>
            <w:r>
              <w:rPr>
                <w:rFonts w:ascii="Times New Roman" w:hAnsi="Times New Roman"/>
                <w:sz w:val="20"/>
              </w:rPr>
              <w:t>68.2%</w:t>
            </w:r>
          </w:p>
        </w:tc>
        <w:tc>
          <w:tcPr>
            <w:tcW w:type="dxa" w:w="2167"/>
            <w:tcMar>
              <w:top w:w="80" w:type="dxa"/>
              <w:bottom w:w="80" w:type="dxa"/>
              <w:left w:w="120" w:type="dxa"/>
              <w:right w:w="120" w:type="dxa"/>
            </w:tcMar>
            <w:tcBorders>
              <w:top w:val="single" w:sz="2" w:space="0" w:color="B0B0B0"/>
              <w:left w:val="single" w:sz="1" w:space="0" w:color="D8D8D8"/>
              <w:bottom w:val="single" w:sz="2" w:space="0" w:color="B0B0B0"/>
              <w:right w:val="single" w:sz="1" w:space="0" w:color="D8D8D8"/>
            </w:tcBorders>
          </w:tcPr>
          <w:p>
            <w:pPr>
              <w:jc w:val="left"/>
            </w:pPr>
            <w:r>
              <w:rPr>
                <w:rFonts w:ascii="Times New Roman" w:hAnsi="Times New Roman"/>
                <w:sz w:val="20"/>
              </w:rPr>
              <w:t>Single-modality therapy viable</w:t>
            </w:r>
          </w:p>
        </w:tc>
      </w:tr>
      <w:tr>
        <w:tc>
          <w:tcPr>
            <w:tcW w:type="dxa" w:w="2167"/>
            <w:tcMar>
              <w:top w:w="80" w:type="dxa"/>
              <w:bottom w:w="80" w:type="dxa"/>
              <w:left w:w="120" w:type="dxa"/>
              <w:right w:w="120" w:type="dxa"/>
            </w:tcMar>
            <w:tcBorders>
              <w:top w:val="single" w:sz="2" w:space="0" w:color="B0B0B0"/>
              <w:left w:val="single" w:sz="1" w:space="0" w:color="D8D8D8"/>
              <w:bottom w:val="single" w:sz="2" w:space="0" w:color="B0B0B0"/>
              <w:right w:val="single" w:sz="1" w:space="0" w:color="D8D8D8"/>
            </w:tcBorders>
          </w:tcPr>
          <w:p>
            <w:pPr>
              <w:jc w:val="left"/>
            </w:pPr>
            <w:r>
              <w:rPr>
                <w:rFonts w:ascii="Times New Roman" w:hAnsi="Times New Roman"/>
                <w:sz w:val="20"/>
              </w:rPr>
              <w:t>Stage III</w:t>
            </w:r>
          </w:p>
        </w:tc>
        <w:tc>
          <w:tcPr>
            <w:tcW w:type="dxa" w:w="2167"/>
            <w:tcMar>
              <w:top w:w="80" w:type="dxa"/>
              <w:bottom w:w="80" w:type="dxa"/>
              <w:left w:w="120" w:type="dxa"/>
              <w:right w:w="120" w:type="dxa"/>
            </w:tcMar>
            <w:tcBorders>
              <w:top w:val="single" w:sz="2" w:space="0" w:color="B0B0B0"/>
              <w:left w:val="single" w:sz="1" w:space="0" w:color="D8D8D8"/>
              <w:bottom w:val="single" w:sz="2" w:space="0" w:color="B0B0B0"/>
              <w:right w:val="single" w:sz="1" w:space="0" w:color="D8D8D8"/>
            </w:tcBorders>
          </w:tcPr>
          <w:p>
            <w:pPr>
              <w:jc w:val="left"/>
            </w:pPr>
            <w:r>
              <w:rPr>
                <w:rFonts w:ascii="Times New Roman" w:hAnsi="Times New Roman"/>
                <w:sz w:val="20"/>
              </w:rPr>
              <w:t>Locally advanced (&gt;4 cm or DOI &gt;10 mm), single lymph node ≤ 3 cm</w:t>
            </w:r>
          </w:p>
        </w:tc>
        <w:tc>
          <w:tcPr>
            <w:tcW w:type="dxa" w:w="2167"/>
            <w:tcMar>
              <w:top w:w="80" w:type="dxa"/>
              <w:bottom w:w="80" w:type="dxa"/>
              <w:left w:w="120" w:type="dxa"/>
              <w:right w:w="120" w:type="dxa"/>
            </w:tcMar>
            <w:tcBorders>
              <w:top w:val="single" w:sz="2" w:space="0" w:color="B0B0B0"/>
              <w:left w:val="single" w:sz="1" w:space="0" w:color="D8D8D8"/>
              <w:bottom w:val="single" w:sz="2" w:space="0" w:color="B0B0B0"/>
              <w:right w:val="single" w:sz="1" w:space="0" w:color="D8D8D8"/>
            </w:tcBorders>
          </w:tcPr>
          <w:p>
            <w:pPr>
              <w:jc w:val="left"/>
            </w:pPr>
            <w:r>
              <w:rPr>
                <w:rFonts w:ascii="Times New Roman" w:hAnsi="Times New Roman"/>
                <w:sz w:val="20"/>
              </w:rPr>
              <w:t>48.5%</w:t>
            </w:r>
          </w:p>
        </w:tc>
        <w:tc>
          <w:tcPr>
            <w:tcW w:type="dxa" w:w="2167"/>
            <w:tcMar>
              <w:top w:w="80" w:type="dxa"/>
              <w:bottom w:w="80" w:type="dxa"/>
              <w:left w:w="120" w:type="dxa"/>
              <w:right w:w="120" w:type="dxa"/>
            </w:tcMar>
            <w:tcBorders>
              <w:top w:val="single" w:sz="2" w:space="0" w:color="B0B0B0"/>
              <w:left w:val="single" w:sz="1" w:space="0" w:color="D8D8D8"/>
              <w:bottom w:val="single" w:sz="2" w:space="0" w:color="B0B0B0"/>
              <w:right w:val="single" w:sz="1" w:space="0" w:color="D8D8D8"/>
            </w:tcBorders>
          </w:tcPr>
          <w:p>
            <w:pPr>
              <w:jc w:val="left"/>
            </w:pPr>
            <w:r>
              <w:rPr>
                <w:rFonts w:ascii="Times New Roman" w:hAnsi="Times New Roman"/>
                <w:sz w:val="20"/>
              </w:rPr>
              <w:t>Multi-modal chemo-radiation</w:t>
            </w:r>
          </w:p>
        </w:tc>
      </w:tr>
      <w:tr>
        <w:tc>
          <w:tcPr>
            <w:tcW w:type="dxa" w:w="2167"/>
            <w:tcMar>
              <w:top w:w="80" w:type="dxa"/>
              <w:bottom w:w="80" w:type="dxa"/>
              <w:left w:w="120" w:type="dxa"/>
              <w:right w:w="120" w:type="dxa"/>
            </w:tcMar>
            <w:tcBorders>
              <w:top w:val="single" w:sz="2" w:space="0" w:color="B0B0B0"/>
              <w:left w:val="single" w:sz="1" w:space="0" w:color="D8D8D8"/>
              <w:bottom w:val="single" w:sz="2" w:space="0" w:color="B0B0B0"/>
              <w:right w:val="single" w:sz="1" w:space="0" w:color="D8D8D8"/>
            </w:tcBorders>
          </w:tcPr>
          <w:p>
            <w:pPr>
              <w:jc w:val="left"/>
            </w:pPr>
            <w:r>
              <w:rPr>
                <w:rFonts w:ascii="Times New Roman" w:hAnsi="Times New Roman"/>
                <w:sz w:val="20"/>
              </w:rPr>
              <w:t>Stage IV</w:t>
            </w:r>
          </w:p>
        </w:tc>
        <w:tc>
          <w:tcPr>
            <w:tcW w:type="dxa" w:w="2167"/>
            <w:tcMar>
              <w:top w:w="80" w:type="dxa"/>
              <w:bottom w:w="80" w:type="dxa"/>
              <w:left w:w="120" w:type="dxa"/>
              <w:right w:w="120" w:type="dxa"/>
            </w:tcMar>
            <w:tcBorders>
              <w:top w:val="single" w:sz="2" w:space="0" w:color="B0B0B0"/>
              <w:left w:val="single" w:sz="1" w:space="0" w:color="D8D8D8"/>
              <w:bottom w:val="single" w:sz="2" w:space="0" w:color="B0B0B0"/>
              <w:right w:val="single" w:sz="1" w:space="0" w:color="D8D8D8"/>
            </w:tcBorders>
          </w:tcPr>
          <w:p>
            <w:pPr>
              <w:jc w:val="left"/>
            </w:pPr>
            <w:r>
              <w:rPr>
                <w:rFonts w:ascii="Times New Roman" w:hAnsi="Times New Roman"/>
                <w:sz w:val="20"/>
              </w:rPr>
              <w:t>Massive invasion (masticator space, pterygoid, carotid) or distant M1</w:t>
            </w:r>
          </w:p>
        </w:tc>
        <w:tc>
          <w:tcPr>
            <w:tcW w:type="dxa" w:w="2167"/>
            <w:tcMar>
              <w:top w:w="80" w:type="dxa"/>
              <w:bottom w:w="80" w:type="dxa"/>
              <w:left w:w="120" w:type="dxa"/>
              <w:right w:w="120" w:type="dxa"/>
            </w:tcMar>
            <w:tcBorders>
              <w:top w:val="single" w:sz="2" w:space="0" w:color="B0B0B0"/>
              <w:left w:val="single" w:sz="1" w:space="0" w:color="D8D8D8"/>
              <w:bottom w:val="single" w:sz="2" w:space="0" w:color="B0B0B0"/>
              <w:right w:val="single" w:sz="1" w:space="0" w:color="D8D8D8"/>
            </w:tcBorders>
          </w:tcPr>
          <w:p>
            <w:pPr>
              <w:jc w:val="left"/>
            </w:pPr>
            <w:r>
              <w:rPr>
                <w:rFonts w:ascii="Times New Roman" w:hAnsi="Times New Roman"/>
                <w:sz w:val="20"/>
              </w:rPr>
              <w:t>24.8%</w:t>
            </w:r>
          </w:p>
        </w:tc>
        <w:tc>
          <w:tcPr>
            <w:tcW w:type="dxa" w:w="2167"/>
            <w:tcMar>
              <w:top w:w="80" w:type="dxa"/>
              <w:bottom w:w="80" w:type="dxa"/>
              <w:left w:w="120" w:type="dxa"/>
              <w:right w:w="120" w:type="dxa"/>
            </w:tcMar>
            <w:tcBorders>
              <w:top w:val="single" w:sz="2" w:space="0" w:color="B0B0B0"/>
              <w:left w:val="single" w:sz="1" w:space="0" w:color="D8D8D8"/>
              <w:bottom w:val="single" w:sz="2" w:space="0" w:color="B0B0B0"/>
              <w:right w:val="single" w:sz="1" w:space="0" w:color="D8D8D8"/>
            </w:tcBorders>
          </w:tcPr>
          <w:p>
            <w:pPr>
              <w:jc w:val="left"/>
            </w:pPr>
            <w:r>
              <w:rPr>
                <w:rFonts w:ascii="Times New Roman" w:hAnsi="Times New Roman"/>
                <w:sz w:val="20"/>
              </w:rPr>
              <w:t>Palliative management primary</w:t>
            </w:r>
          </w:p>
        </w:tc>
      </w:tr>
    </w:tbl>
    <w:p>
      <w:pPr>
        <w:spacing w:before="80" w:after="160" w:line="360" w:lineRule="auto"/>
        <w:jc w:val="both"/>
      </w:pPr>
    </w:p>
    <w:p>
      <w:pPr>
        <w:spacing w:before="40" w:after="120" w:line="360" w:lineRule="auto"/>
        <w:jc w:val="both"/>
      </w:pPr>
      <w:r>
        <w:rPr>
          <w:rFonts w:ascii="Times New Roman" w:hAnsi="Times New Roman"/>
          <w:b w:val="0"/>
          <w:i w:val="0"/>
          <w:sz w:val="24"/>
        </w:rPr>
        <w:t>This stark survival disparity establishes an urgent, non-negotiable imperative for scalable, non-invasive point-of-care screening systems capable of identifying suspicious lesions long before aggressive invasion occurs.</w:t>
      </w:r>
    </w:p>
    <w:p>
      <w:pPr>
        <w:spacing w:before="280" w:after="120" w:line="360" w:lineRule="auto"/>
        <w:jc w:val="left"/>
      </w:pPr>
      <w:r>
        <w:rPr>
          <w:rFonts w:ascii="Times New Roman" w:hAnsi="Times New Roman"/>
          <w:b/>
          <w:i w:val="0"/>
          <w:color w:val="0F234B"/>
          <w:sz w:val="28"/>
        </w:rPr>
        <w:t>Pathogenesis and Etiology of Oral Neoplasms</w:t>
      </w:r>
    </w:p>
    <w:p>
      <w:pPr>
        <w:spacing w:before="40" w:after="120" w:line="360" w:lineRule="auto"/>
        <w:jc w:val="both"/>
      </w:pPr>
      <w:r>
        <w:rPr>
          <w:rFonts w:ascii="Times New Roman" w:hAnsi="Times New Roman"/>
          <w:b w:val="0"/>
          <w:i w:val="0"/>
          <w:sz w:val="24"/>
        </w:rPr>
        <w:t>The pathogenesis of Oral Squamous Cell Carcinoma is a classic paradigm of multi-step chemical and viral carcinogenesis. The oral mucosal epithelium undergoes progressive genomic, epigenomic, and morphological alterations through an established biological sequence: normal physiological mucosa → hyperkeratosis → low-grade epithelial dysplasia → high-grade dysplasia / carcinoma in situ → micro-invasive carcinoma → frank infiltrative squamous cell carcinoma. This clinical progression continuum is illustrated in Figure fig:clinical_progression.</w:t>
      </w:r>
    </w:p>
    <w:p>
      <w:pPr>
        <w:spacing w:before="160" w:after="80"/>
        <w:jc w:val="center"/>
      </w:pPr>
      <w:r>
        <w:drawing>
          <wp:inline xmlns:a="http://schemas.openxmlformats.org/drawingml/2006/main" xmlns:pic="http://schemas.openxmlformats.org/drawingml/2006/picture">
            <wp:extent cx="5120640" cy="1809704"/>
            <wp:docPr id="1" name="Picture 1"/>
            <wp:cNvGraphicFramePr>
              <a:graphicFrameLocks noChangeAspect="1"/>
            </wp:cNvGraphicFramePr>
            <a:graphic>
              <a:graphicData uri="http://schemas.openxmlformats.org/drawingml/2006/picture">
                <pic:pic>
                  <pic:nvPicPr>
                    <pic:cNvPr id="0" name="clinical_progression_diagram.png"/>
                    <pic:cNvPicPr/>
                  </pic:nvPicPr>
                  <pic:blipFill>
                    <a:blip r:embed="rId11"/>
                    <a:stretch>
                      <a:fillRect/>
                    </a:stretch>
                  </pic:blipFill>
                  <pic:spPr>
                    <a:xfrm>
                      <a:off x="0" y="0"/>
                      <a:ext cx="5120640" cy="1809704"/>
                    </a:xfrm>
                    <a:prstGeom prst="rect"/>
                  </pic:spPr>
                </pic:pic>
              </a:graphicData>
            </a:graphic>
          </wp:inline>
        </w:drawing>
      </w:r>
    </w:p>
    <w:p>
      <w:pPr>
        <w:spacing w:before="40" w:after="200" w:line="360" w:lineRule="auto"/>
        <w:jc w:val="center"/>
      </w:pPr>
      <w:r>
        <w:rPr>
          <w:rFonts w:ascii="Times New Roman" w:hAnsi="Times New Roman"/>
          <w:b w:val="0"/>
          <w:i/>
          <w:color w:val="0A2D5A"/>
          <w:sz w:val="21"/>
        </w:rPr>
        <w:t>Figure: Clinical Progression Continuum of Oral Squamous Cell Carcinoma (OSCC) from Intact Mucosa to Invasive Carcinoma</w:t>
      </w:r>
    </w:p>
    <w:p>
      <w:pPr>
        <w:spacing w:before="40" w:after="120" w:line="360" w:lineRule="auto"/>
        <w:jc w:val="both"/>
      </w:pPr>
      <w:r>
        <w:rPr>
          <w:rFonts w:ascii="Times New Roman" w:hAnsi="Times New Roman"/>
          <w:b w:val="0"/>
          <w:i w:val="0"/>
          <w:sz w:val="24"/>
        </w:rPr>
        <w:t>The primary etiological determinants driving this pathogenesis include:</w:t>
      </w:r>
    </w:p>
    <w:p>
      <w:pPr>
        <w:spacing w:before="40" w:after="80" w:line="312" w:lineRule="auto"/>
        <w:ind w:left="576"/>
      </w:pPr>
      <w:r>
        <w:rPr>
          <w:rFonts w:ascii="Times New Roman" w:hAnsi="Times New Roman"/>
          <w:b/>
          <w:sz w:val="22"/>
        </w:rPr>
        <w:t xml:space="preserve">1. </w:t>
      </w:r>
      <w:r>
        <w:rPr>
          <w:rFonts w:ascii="Times New Roman" w:hAnsi="Times New Roman"/>
          <w:b/>
          <w:i w:val="0"/>
          <w:sz w:val="23"/>
        </w:rPr>
        <w:t>Smokeless and Combustible Tobacco:</w:t>
      </w:r>
      <w:r>
        <w:rPr>
          <w:rFonts w:ascii="Times New Roman" w:hAnsi="Times New Roman"/>
          <w:b w:val="0"/>
          <w:i w:val="0"/>
          <w:sz w:val="23"/>
        </w:rPr>
        <w:t>Widespread consumption of smokeless tobacco products (gutka, khaini, zarda, pan masala) delivers high concentrations of carcinogenic tobacco-specific nitrosamines (TSNAs), primarily 4-(methylnitrosamino)-1-(3-pyridyl)-1-butanone (NNK) and N'-nitrosonornicotine (NNN). These compounds induce persistent DNA adducts, leading to transversion mutations in key tumor suppressor genes including TP53 and CDKN2A (p16^{INK4a}) [warnakulasuriya2009global].</w:t>
      </w:r>
    </w:p>
    <w:p>
      <w:pPr>
        <w:spacing w:before="40" w:after="80" w:line="312" w:lineRule="auto"/>
        <w:ind w:left="576"/>
      </w:pPr>
      <w:r>
        <w:rPr>
          <w:rFonts w:ascii="Times New Roman" w:hAnsi="Times New Roman"/>
          <w:b/>
          <w:sz w:val="22"/>
        </w:rPr>
        <w:t xml:space="preserve">2. </w:t>
      </w:r>
      <w:r>
        <w:rPr>
          <w:rFonts w:ascii="Times New Roman" w:hAnsi="Times New Roman"/>
          <w:b/>
          <w:i w:val="0"/>
          <w:sz w:val="23"/>
        </w:rPr>
        <w:t>Betel Quid and Areca Nut Exposure:</w:t>
      </w:r>
      <w:r>
        <w:rPr>
          <w:rFonts w:ascii="Times New Roman" w:hAnsi="Times New Roman"/>
          <w:b w:val="0"/>
          <w:i w:val="0"/>
          <w:sz w:val="23"/>
        </w:rPr>
        <w:t>Chewing of areca nut (supari) combined with slaked lime (Ca(OH)_2) and betel leaf generates reactive oxygen species (ROS) in the alkaline oral environment. The alkaloid arecoline hydrolyzes into arecaidine, driving relentless fibroblast proliferation and extracellular matrix deposition, resulting in Oral Submucous Fibrosis (OSF)—a chronic, progressive, and highly malignant pre-cancerous condition with a 7.6% lifetime malignant transformation rate [gupta2004epidemiology].</w:t>
      </w:r>
    </w:p>
    <w:p>
      <w:pPr>
        <w:spacing w:before="40" w:after="80" w:line="312" w:lineRule="auto"/>
        <w:ind w:left="576"/>
      </w:pPr>
      <w:r>
        <w:rPr>
          <w:rFonts w:ascii="Times New Roman" w:hAnsi="Times New Roman"/>
          <w:b/>
          <w:sz w:val="22"/>
        </w:rPr>
        <w:t xml:space="preserve">3. </w:t>
      </w:r>
      <w:r>
        <w:rPr>
          <w:rFonts w:ascii="Times New Roman" w:hAnsi="Times New Roman"/>
          <w:b/>
          <w:i w:val="0"/>
          <w:sz w:val="23"/>
        </w:rPr>
        <w:t>Synergistic Alcohol Consumption:</w:t>
      </w:r>
      <w:r>
        <w:rPr>
          <w:rFonts w:ascii="Times New Roman" w:hAnsi="Times New Roman"/>
          <w:b w:val="0"/>
          <w:i w:val="0"/>
          <w:sz w:val="23"/>
        </w:rPr>
        <w:t>Ethanol acts as an organic permeation enhancer, solubilizing mucosal lipid barriers and facilitating deep intracellular penetration of tobacco carcinogens. Intracellular metabolization of alcohol by alcohol dehydrogenase generates acetaldehyde, an established Group 1 human mutagen that interferes with cellular DNA repair machineries.</w:t>
      </w:r>
    </w:p>
    <w:p>
      <w:pPr>
        <w:spacing w:before="40" w:after="80" w:line="312" w:lineRule="auto"/>
        <w:ind w:left="576"/>
      </w:pPr>
      <w:r>
        <w:rPr>
          <w:rFonts w:ascii="Times New Roman" w:hAnsi="Times New Roman"/>
          <w:b/>
          <w:sz w:val="22"/>
        </w:rPr>
        <w:t xml:space="preserve">4. </w:t>
      </w:r>
      <w:r>
        <w:rPr>
          <w:rFonts w:ascii="Times New Roman" w:hAnsi="Times New Roman"/>
          <w:b/>
          <w:i w:val="0"/>
          <w:sz w:val="23"/>
        </w:rPr>
        <w:t>Human Papillomavirus (HPV) Infection:</w:t>
      </w:r>
      <w:r>
        <w:rPr>
          <w:rFonts w:ascii="Times New Roman" w:hAnsi="Times New Roman"/>
          <w:b w:val="0"/>
          <w:i w:val="0"/>
          <w:sz w:val="23"/>
        </w:rPr>
        <w:t>High-risk oncogenic genotypes HPV-16 and HPV-18 synthesize oncoproteins E6 and E7, which induce ubiquitin-mediated proteasomal degradation of the p53 tumor suppressor and functional inactivation of the Retinoblastoma (pRb) pathway, driving genomic instability in the base of tongue and tonsillar regions [johnson2020head].</w:t>
      </w:r>
    </w:p>
    <w:p>
      <w:pPr>
        <w:spacing w:before="280" w:after="120" w:line="360" w:lineRule="auto"/>
        <w:jc w:val="left"/>
      </w:pPr>
      <w:r>
        <w:rPr>
          <w:rFonts w:ascii="Times New Roman" w:hAnsi="Times New Roman"/>
          <w:b/>
          <w:i w:val="0"/>
          <w:color w:val="0F234B"/>
          <w:sz w:val="28"/>
        </w:rPr>
        <w:t>Qualitative Analysis of Conventional Screening Modalities and Diagnostic Delays</w:t>
      </w:r>
    </w:p>
    <w:p>
      <w:pPr>
        <w:spacing w:before="40" w:after="120" w:line="360" w:lineRule="auto"/>
        <w:jc w:val="both"/>
      </w:pPr>
      <w:r>
        <w:rPr>
          <w:rFonts w:ascii="Times New Roman" w:hAnsi="Times New Roman"/>
          <w:b w:val="0"/>
          <w:i w:val="0"/>
          <w:sz w:val="24"/>
        </w:rPr>
        <w:t>The contemporary standard of care for oral mucosal screening relies on Visual Clinical Examination (VCE) performed by general dental surgeons under incandescent dental operatory lighting, supplemented by digital bi-digital palpation of cervical lymph node stations [vanderwaal2020oral]. Suspicious mucosal alterations are historically confirmed via incisional scalpel biopsy followed by formal histopathological hematoxylin and eosin (H&amp;E) slide grading by a certified oral pathologist.</w:t>
      </w:r>
    </w:p>
    <w:p>
      <w:pPr>
        <w:spacing w:before="40" w:after="120" w:line="360" w:lineRule="auto"/>
        <w:jc w:val="both"/>
      </w:pPr>
      <w:r>
        <w:rPr>
          <w:rFonts w:ascii="Times New Roman" w:hAnsi="Times New Roman"/>
          <w:b w:val="0"/>
          <w:i w:val="0"/>
          <w:sz w:val="24"/>
        </w:rPr>
        <w:t>However, forensic clinical audits reveal that this conventional diagnostic pathway is fraught with severe temporal bottlenecks and systemic human subjectivity. Diagnostic delays in oral cancer do not occur as isolated administrative lapses; rather, they accumulate across four interconnected, qualitative delay phases:</w:t>
      </w:r>
    </w:p>
    <w:p>
      <w:pPr>
        <w:spacing w:before="200" w:after="80" w:line="360" w:lineRule="auto"/>
        <w:jc w:val="left"/>
      </w:pPr>
      <w:r>
        <w:rPr>
          <w:rFonts w:ascii="Times New Roman" w:hAnsi="Times New Roman"/>
          <w:b/>
          <w:i w:val="0"/>
          <w:color w:val="1E1E1E"/>
          <w:sz w:val="25"/>
        </w:rPr>
        <w:t>Patient Appraisal and Symptom Recognition Delay</w:t>
      </w:r>
    </w:p>
    <w:p>
      <w:pPr>
        <w:spacing w:before="40" w:after="120" w:line="360" w:lineRule="auto"/>
        <w:jc w:val="both"/>
      </w:pPr>
      <w:r>
        <w:rPr>
          <w:rFonts w:ascii="Times New Roman" w:hAnsi="Times New Roman"/>
          <w:b w:val="0"/>
          <w:i w:val="0"/>
          <w:sz w:val="24"/>
        </w:rPr>
        <w:t>Early-stage dysplastic lesions and carcinoma in situ are clinically deceptive. Unlike cutaneous trauma or acute dental pulpitis, pre-malignant mucosal transformations (such as homogeneous leukoplakic plaques, faint erythroplakic macules, or localized submucous bands) are characteristically painless and asymptomatic. Patients within rural agricultural communities frequently mistake early malignant changes for benign aphthous stomatitis, accidental cheek-biting keratosis, or superficial irritation from ill-fitting dentures. Consequently, patients delay seeking professional consultation for three to eight months, seeking care only when extensive ulceration, tissue induration, secondary bacterial infection, speech impairment, or severe dysphagia manifests.</w:t>
      </w:r>
    </w:p>
    <w:p>
      <w:pPr>
        <w:spacing w:before="200" w:after="80" w:line="360" w:lineRule="auto"/>
        <w:jc w:val="left"/>
      </w:pPr>
      <w:r>
        <w:rPr>
          <w:rFonts w:ascii="Times New Roman" w:hAnsi="Times New Roman"/>
          <w:b/>
          <w:i w:val="0"/>
          <w:color w:val="1E1E1E"/>
          <w:sz w:val="25"/>
        </w:rPr>
        <w:t>Healthcare Provider Diagnostic Subjectivity and Uncertainty</w:t>
      </w:r>
    </w:p>
    <w:p>
      <w:pPr>
        <w:spacing w:before="40" w:after="120" w:line="360" w:lineRule="auto"/>
        <w:jc w:val="both"/>
      </w:pPr>
      <w:r>
        <w:rPr>
          <w:rFonts w:ascii="Times New Roman" w:hAnsi="Times New Roman"/>
          <w:b w:val="0"/>
          <w:i w:val="0"/>
          <w:sz w:val="24"/>
        </w:rPr>
        <w:t>When rural patients present at Primary Health Centers (PHCs) or taluk-level dental dispensaries, they encounter medical officers who possess generalized clinical training but lack specialized oral pathology fellowship experience. Studies indicate that inter-observer diagnostic agreement among general practitioners for distinguishing high-risk dysplastic lesions from benign inflammatory conditions is remarkably low, averaging approximately 56% [vanderwaal2020oral]. Primary providers routinely prescribe empirical courses of topical corticosteroids, antimicrobial mouthwashes, or anti-fungal agents for two to four months before suspecting neoplastic etiology. This period of clinical diagnostic uncertainty allows localized micro-invasive carcinoma to penetrate through the basement membrane into deep intrinsic musculature.</w:t>
      </w:r>
    </w:p>
    <w:p>
      <w:pPr>
        <w:spacing w:before="200" w:after="80" w:line="360" w:lineRule="auto"/>
        <w:jc w:val="left"/>
      </w:pPr>
      <w:r>
        <w:rPr>
          <w:rFonts w:ascii="Times New Roman" w:hAnsi="Times New Roman"/>
          <w:b/>
          <w:i w:val="0"/>
          <w:color w:val="1E1E1E"/>
          <w:sz w:val="25"/>
        </w:rPr>
        <w:t>Socioeconomic and Geographic Referral Bottlenecks</w:t>
      </w:r>
    </w:p>
    <w:p>
      <w:pPr>
        <w:spacing w:before="40" w:after="120" w:line="360" w:lineRule="auto"/>
        <w:jc w:val="both"/>
      </w:pPr>
      <w:r>
        <w:rPr>
          <w:rFonts w:ascii="Times New Roman" w:hAnsi="Times New Roman"/>
          <w:b w:val="0"/>
          <w:i w:val="0"/>
          <w:sz w:val="24"/>
        </w:rPr>
        <w:t>Once a high-suspicion lesion is flagged, patients in rural Karnataka face formidable logistical obstacles. Tertiary oncology facilities equipped with frozen-section pathology, immunohistochemistry, and head-and-neck surgical units are overwhelmingly concentrated in major urban centers such as Bengaluru, Mysuru, and Mangaluru. Rural families experience acute financial toxicity, lost agricultural wages, and fear of mutilating surgical resection, often causing them to defer specialized referral visits for an additional one to two months.</w:t>
      </w:r>
    </w:p>
    <w:p>
      <w:pPr>
        <w:spacing w:before="200" w:after="80" w:line="360" w:lineRule="auto"/>
        <w:jc w:val="left"/>
      </w:pPr>
      <w:r>
        <w:rPr>
          <w:rFonts w:ascii="Times New Roman" w:hAnsi="Times New Roman"/>
          <w:b/>
          <w:i w:val="0"/>
          <w:color w:val="1E1E1E"/>
          <w:sz w:val="25"/>
        </w:rPr>
        <w:t>Histopathological Processing and Biopsy Turnaround Latency</w:t>
      </w:r>
    </w:p>
    <w:p>
      <w:pPr>
        <w:spacing w:before="40" w:after="120" w:line="360" w:lineRule="auto"/>
        <w:jc w:val="both"/>
      </w:pPr>
      <w:r>
        <w:rPr>
          <w:rFonts w:ascii="Times New Roman" w:hAnsi="Times New Roman"/>
          <w:b w:val="0"/>
          <w:i w:val="0"/>
          <w:sz w:val="24"/>
        </w:rPr>
        <w:t>Even upon reaching tertiary hospital centers, definitive diagnosis remains tethered to scalpel biopsy. This procedure requires local anesthesia, surgical excision of representative mucosal margins, formalin fixation, paraffin tissue embedding, microtome sectioning, H&amp;E chemical staining, and expert microscopic interpretation by a certified pathologist. In public healthcare institutions managing overwhelming caseloads, the turnaround latency between initial tissue biopsy and the release of final histopathological reports spans two to four weeks. During this critical interval, malignant cells continue rapid clonal proliferation and lymphatic metastasis.</w:t>
      </w:r>
    </w:p>
    <w:p>
      <w:pPr>
        <w:spacing w:before="40" w:after="120" w:line="360" w:lineRule="auto"/>
        <w:jc w:val="both"/>
      </w:pPr>
      <w:r>
        <w:rPr>
          <w:rFonts w:ascii="Times New Roman" w:hAnsi="Times New Roman"/>
          <w:b w:val="0"/>
          <w:i w:val="0"/>
          <w:sz w:val="24"/>
        </w:rPr>
        <w:t>Furthermore, commercial adjunctive visualization tools—including toluidine blue vital dyeing, VELscope tissue autofluorescence, and ViziLite chemiluminescent illumination—suffer from notoriously poor specificity (ranging from 30% to 55%). These modalities routinely produce false-positive staining on non-malignant inflammatory erythema, inducing patient anxiety and triggering unnecessary, painful scalpel biopsies. This profound diagnostic deficit underscores the urgent clinical necessity for non-invasive, objective, and AI-driven automated screening technologies that operate at the point of care.</w:t>
      </w:r>
    </w:p>
    <w:p>
      <w:pPr>
        <w:spacing w:before="280" w:after="120" w:line="360" w:lineRule="auto"/>
        <w:jc w:val="left"/>
      </w:pPr>
      <w:r>
        <w:rPr>
          <w:rFonts w:ascii="Times New Roman" w:hAnsi="Times New Roman"/>
          <w:b/>
          <w:i w:val="0"/>
          <w:color w:val="0F234B"/>
          <w:sz w:val="28"/>
        </w:rPr>
        <w:t>Problem Statement</w:t>
      </w:r>
    </w:p>
    <w:p>
      <w:pPr>
        <w:spacing w:before="40" w:after="120" w:line="360" w:lineRule="auto"/>
        <w:jc w:val="both"/>
      </w:pPr>
      <w:r>
        <w:rPr>
          <w:rFonts w:ascii="Times New Roman" w:hAnsi="Times New Roman"/>
          <w:b w:val="0"/>
          <w:i w:val="0"/>
          <w:sz w:val="24"/>
        </w:rPr>
        <w:t>While automated Computer-Aided Diagnosis (CAD) powered by deep Convolutional Neural Networks (CNNs) has emerged as a promising avenue to democratize oral cancer screening, existing machine learning pipelines exhibit four fundamental architectural and clinical flaws that currently preclude safe real-world deployment:</w:t>
      </w:r>
    </w:p>
    <w:p>
      <w:pPr>
        <w:spacing w:before="40" w:after="80" w:line="312" w:lineRule="auto"/>
        <w:ind w:left="576"/>
      </w:pPr>
      <w:r>
        <w:rPr>
          <w:rFonts w:ascii="Times New Roman" w:hAnsi="Times New Roman"/>
          <w:b/>
          <w:sz w:val="22"/>
        </w:rPr>
        <w:t xml:space="preserve">1. </w:t>
      </w:r>
      <w:r>
        <w:rPr>
          <w:rFonts w:ascii="Times New Roman" w:hAnsi="Times New Roman"/>
          <w:b/>
          <w:i w:val="0"/>
          <w:sz w:val="23"/>
        </w:rPr>
        <w:t>The Epistemic Overconfidence Dilemma:</w:t>
      </w:r>
      <w:r>
        <w:rPr>
          <w:rFonts w:ascii="Times New Roman" w:hAnsi="Times New Roman"/>
          <w:b w:val="0"/>
          <w:i w:val="0"/>
          <w:sz w:val="23"/>
        </w:rPr>
        <w:t>Standard CNN architectures employ uncalibrated softmax activation layers that force normalized probability distributions over discrete output classes. Under conditions of out-of-distribution (OOD) artifacts, blurry camera optics, or atypical benign presentations, conventional deep networks produce catastrophic, highly overconfident incorrect predictions (p &gt; 0.98 for false negatives), posing an unacceptable risk to patient survival [guo2017calibration].</w:t>
      </w:r>
    </w:p>
    <w:p>
      <w:pPr>
        <w:spacing w:before="40" w:after="80" w:line="312" w:lineRule="auto"/>
        <w:ind w:left="576"/>
      </w:pPr>
      <w:r>
        <w:rPr>
          <w:rFonts w:ascii="Times New Roman" w:hAnsi="Times New Roman"/>
          <w:b/>
          <w:sz w:val="22"/>
        </w:rPr>
        <w:t xml:space="preserve">2. </w:t>
      </w:r>
      <w:r>
        <w:rPr>
          <w:rFonts w:ascii="Times New Roman" w:hAnsi="Times New Roman"/>
          <w:b/>
          <w:i w:val="0"/>
          <w:sz w:val="23"/>
        </w:rPr>
        <w:t>Contextual Unimodal Blindness:</w:t>
      </w:r>
      <w:r>
        <w:rPr>
          <w:rFonts w:ascii="Times New Roman" w:hAnsi="Times New Roman"/>
          <w:b w:val="0"/>
          <w:i w:val="0"/>
          <w:sz w:val="23"/>
        </w:rPr>
        <w:t>Cancer pathogenesis is fundamentally multimodal. A localized keratotic patch on the buccal mucosa carries a drastically different pre-test malignancy probability in an 18-year-old non-smoker versus a 68-year-old chronic gutka chewer with a 40 pack-year history. Existing image-only classifiers evaluate both photographic patches identically, ignoring foundational epidemiological risk priors.</w:t>
      </w:r>
    </w:p>
    <w:p>
      <w:pPr>
        <w:spacing w:before="40" w:after="80" w:line="312" w:lineRule="auto"/>
        <w:ind w:left="576"/>
      </w:pPr>
      <w:r>
        <w:rPr>
          <w:rFonts w:ascii="Times New Roman" w:hAnsi="Times New Roman"/>
          <w:b/>
          <w:sz w:val="22"/>
        </w:rPr>
        <w:t xml:space="preserve">3. </w:t>
      </w:r>
      <w:r>
        <w:rPr>
          <w:rFonts w:ascii="Times New Roman" w:hAnsi="Times New Roman"/>
          <w:b/>
          <w:i w:val="0"/>
          <w:sz w:val="23"/>
        </w:rPr>
        <w:t>Vulnerability to Smartphone Domain Shifts:</w:t>
      </w:r>
      <w:r>
        <w:rPr>
          <w:rFonts w:ascii="Times New Roman" w:hAnsi="Times New Roman"/>
          <w:b w:val="0"/>
          <w:i w:val="0"/>
          <w:sz w:val="23"/>
        </w:rPr>
        <w:t>Rural point-of-care screening requires consumer-grade smartphone cameras operated under variable ambient illumination, flash glare, and intraoral saliva specular reflections. Standard neural networks trained on curated, controlled laboratory datasets experience catastrophic performance drops (exceeding 22% to 35% decline in specificity) when exposed to real-world camera sensor discrepancies.</w:t>
      </w:r>
    </w:p>
    <w:p>
      <w:pPr>
        <w:spacing w:before="40" w:after="80" w:line="312" w:lineRule="auto"/>
        <w:ind w:left="576"/>
      </w:pPr>
      <w:r>
        <w:rPr>
          <w:rFonts w:ascii="Times New Roman" w:hAnsi="Times New Roman"/>
          <w:b/>
          <w:sz w:val="22"/>
        </w:rPr>
        <w:t xml:space="preserve">4. </w:t>
      </w:r>
      <w:r>
        <w:rPr>
          <w:rFonts w:ascii="Times New Roman" w:hAnsi="Times New Roman"/>
          <w:b/>
          <w:i w:val="0"/>
          <w:sz w:val="23"/>
        </w:rPr>
        <w:t>The Opaque Black-Box Barrier:</w:t>
      </w:r>
      <w:r>
        <w:rPr>
          <w:rFonts w:ascii="Times New Roman" w:hAnsi="Times New Roman"/>
          <w:b w:val="0"/>
          <w:i w:val="0"/>
          <w:sz w:val="23"/>
        </w:rPr>
        <w:t>Clinicians and maxillofacial surgeons rightfully reject opaque, uninterpretable AI classifications. Without verified spatial visual localization proving that the model attends to pathological epithelial margins rather than irrelevant background shortcuts (such as dental teeth restorations, retractors, or photographic borders), deep learning cannot achieve clinical consensus.</w:t>
      </w:r>
    </w:p>
    <w:p>
      <w:pPr>
        <w:spacing w:before="280" w:after="120" w:line="360" w:lineRule="auto"/>
        <w:jc w:val="left"/>
      </w:pPr>
      <w:r>
        <w:rPr>
          <w:rFonts w:ascii="Times New Roman" w:hAnsi="Times New Roman"/>
          <w:b/>
          <w:i w:val="0"/>
          <w:color w:val="0F234B"/>
          <w:sz w:val="28"/>
        </w:rPr>
        <w:t>Objectives of the Project</w:t>
      </w:r>
    </w:p>
    <w:p>
      <w:pPr>
        <w:spacing w:before="40" w:after="120" w:line="360" w:lineRule="auto"/>
        <w:jc w:val="both"/>
      </w:pPr>
      <w:r>
        <w:rPr>
          <w:rFonts w:ascii="Times New Roman" w:hAnsi="Times New Roman"/>
          <w:b w:val="0"/>
          <w:i w:val="0"/>
          <w:sz w:val="24"/>
        </w:rPr>
        <w:t>To resolve these critical clinical and engineering bottlenecks, this project establishes the following eight primary objectives:</w:t>
      </w:r>
    </w:p>
    <w:p>
      <w:pPr>
        <w:spacing w:before="40" w:after="80" w:line="312" w:lineRule="auto"/>
        <w:ind w:left="576"/>
      </w:pPr>
      <w:r>
        <w:rPr>
          <w:rFonts w:ascii="Times New Roman" w:hAnsi="Times New Roman"/>
          <w:b/>
          <w:sz w:val="22"/>
        </w:rPr>
        <w:t xml:space="preserve">1. </w:t>
      </w:r>
      <w:r>
        <w:rPr>
          <w:rFonts w:ascii="Times New Roman" w:hAnsi="Times New Roman"/>
          <w:b/>
          <w:i w:val="0"/>
          <w:sz w:val="23"/>
        </w:rPr>
        <w:t>Architectural Multi-Backbone Ensemble Engineering:</w:t>
      </w:r>
      <w:r>
        <w:rPr>
          <w:rFonts w:ascii="Times New Roman" w:hAnsi="Times New Roman"/>
          <w:b w:val="0"/>
          <w:i w:val="0"/>
          <w:sz w:val="23"/>
        </w:rPr>
        <w:t>Design and construct</w:t>
      </w:r>
      <w:r>
        <w:rPr>
          <w:rFonts w:ascii="Times New Roman" w:hAnsi="Times New Roman"/>
          <w:b w:val="0"/>
          <w:i/>
          <w:sz w:val="23"/>
        </w:rPr>
        <w:t>MergedNet</w:t>
      </w:r>
      <w:r>
        <w:rPr>
          <w:rFonts w:ascii="Times New Roman" w:hAnsi="Times New Roman"/>
          <w:b w:val="0"/>
          <w:i w:val="0"/>
          <w:sz w:val="23"/>
        </w:rPr>
        <w:t>, a multi-scale deep learning ensemble synthesizing four heterogeneous convolutional topologies (VGG-16, ResNet-50, EfficientNet-B0, and MobileNetV2) to simultaneously capture fine mucosal vascular textures and broad macroscopic lesion geometries within a 5,120-dimensional latent embedding.</w:t>
      </w:r>
    </w:p>
    <w:p>
      <w:pPr>
        <w:spacing w:before="40" w:after="80" w:line="312" w:lineRule="auto"/>
        <w:ind w:left="576"/>
      </w:pPr>
      <w:r>
        <w:rPr>
          <w:rFonts w:ascii="Times New Roman" w:hAnsi="Times New Roman"/>
          <w:b/>
          <w:sz w:val="22"/>
        </w:rPr>
        <w:t xml:space="preserve">2. </w:t>
      </w:r>
      <w:r>
        <w:rPr>
          <w:rFonts w:ascii="Times New Roman" w:hAnsi="Times New Roman"/>
          <w:b/>
          <w:i w:val="0"/>
          <w:sz w:val="23"/>
        </w:rPr>
        <w:t>Bayesian Epistemic Uncertainty Quantification:</w:t>
      </w:r>
      <w:r>
        <w:rPr>
          <w:rFonts w:ascii="Times New Roman" w:hAnsi="Times New Roman"/>
          <w:b w:val="0"/>
          <w:i w:val="0"/>
          <w:sz w:val="23"/>
        </w:rPr>
        <w:t>Formulate and implement Monte Carlo (MC) Dropout variational inference across 15 stochastic forward passes to extract principled predictive variances (σ^2), automatically gating borderline, ambiguous lesions (σ^2 &gt; 0.015) for obligatory specialist referral.</w:t>
      </w:r>
    </w:p>
    <w:p>
      <w:pPr>
        <w:spacing w:before="40" w:after="80" w:line="312" w:lineRule="auto"/>
        <w:ind w:left="576"/>
      </w:pPr>
      <w:r>
        <w:rPr>
          <w:rFonts w:ascii="Times New Roman" w:hAnsi="Times New Roman"/>
          <w:b/>
          <w:sz w:val="22"/>
        </w:rPr>
        <w:t xml:space="preserve">3. </w:t>
      </w:r>
      <w:r>
        <w:rPr>
          <w:rFonts w:ascii="Times New Roman" w:hAnsi="Times New Roman"/>
          <w:b/>
          <w:i w:val="0"/>
          <w:sz w:val="23"/>
        </w:rPr>
        <w:t>Photometric Domain Invariance via Reinhard CIELAB Normalization:</w:t>
      </w:r>
      <w:r>
        <w:rPr>
          <w:rFonts w:ascii="Times New Roman" w:hAnsi="Times New Roman"/>
          <w:b w:val="0"/>
          <w:i w:val="0"/>
          <w:sz w:val="23"/>
        </w:rPr>
        <w:t>Implement an automated optical pre-processing engine converting intraoral RGB photographs into linearized CIELAB color space and standardizing mucosal vascular blush against curated clinical reference distributions (L^*=142.5, a^*=158.2, b^*=134.8).</w:t>
      </w:r>
    </w:p>
    <w:p>
      <w:pPr>
        <w:spacing w:before="40" w:after="80" w:line="312" w:lineRule="auto"/>
        <w:ind w:left="576"/>
      </w:pPr>
      <w:r>
        <w:rPr>
          <w:rFonts w:ascii="Times New Roman" w:hAnsi="Times New Roman"/>
          <w:b/>
          <w:sz w:val="22"/>
        </w:rPr>
        <w:t xml:space="preserve">4. </w:t>
      </w:r>
      <w:r>
        <w:rPr>
          <w:rFonts w:ascii="Times New Roman" w:hAnsi="Times New Roman"/>
          <w:b/>
          <w:i w:val="0"/>
          <w:sz w:val="23"/>
        </w:rPr>
        <w:t>Test-Time Augmentation (TTA) Robustness Engine:</w:t>
      </w:r>
      <w:r>
        <w:rPr>
          <w:rFonts w:ascii="Times New Roman" w:hAnsi="Times New Roman"/>
          <w:b w:val="0"/>
          <w:i w:val="0"/>
          <w:sz w:val="23"/>
        </w:rPr>
        <w:t>Engineer an 8-pass geometric and photometric Test-Time Augmentation engine that synthesizes spatial rotations, axis inversions, and scale variations to eliminate camera perspective bias during live clinical screening.</w:t>
      </w:r>
    </w:p>
    <w:p>
      <w:pPr>
        <w:spacing w:before="40" w:after="80" w:line="312" w:lineRule="auto"/>
        <w:ind w:left="576"/>
      </w:pPr>
      <w:r>
        <w:rPr>
          <w:rFonts w:ascii="Times New Roman" w:hAnsi="Times New Roman"/>
          <w:b/>
          <w:sz w:val="22"/>
        </w:rPr>
        <w:t xml:space="preserve">5. </w:t>
      </w:r>
      <w:r>
        <w:rPr>
          <w:rFonts w:ascii="Times New Roman" w:hAnsi="Times New Roman"/>
          <w:b/>
          <w:i w:val="0"/>
          <w:sz w:val="23"/>
        </w:rPr>
        <w:t>Multimodal Cross-Attention Clinical Risk Prior Integration:</w:t>
      </w:r>
      <w:r>
        <w:rPr>
          <w:rFonts w:ascii="Times New Roman" w:hAnsi="Times New Roman"/>
          <w:b w:val="0"/>
          <w:i w:val="0"/>
          <w:sz w:val="23"/>
        </w:rPr>
        <w:t>Construct a learned clinical risk weighting Multi-Layer Perceptron (MLP) fusing patient demographic and behavioral covariates (tobacco pack-years, areca nut, alcohol units, age, prior lesions) into a calibrated Bayesian prior risk score.</w:t>
      </w:r>
    </w:p>
    <w:p>
      <w:pPr>
        <w:spacing w:before="40" w:after="80" w:line="312" w:lineRule="auto"/>
        <w:ind w:left="576"/>
      </w:pPr>
      <w:r>
        <w:rPr>
          <w:rFonts w:ascii="Times New Roman" w:hAnsi="Times New Roman"/>
          <w:b/>
          <w:sz w:val="22"/>
        </w:rPr>
        <w:t xml:space="preserve">6. </w:t>
      </w:r>
      <w:r>
        <w:rPr>
          <w:rFonts w:ascii="Times New Roman" w:hAnsi="Times New Roman"/>
          <w:b/>
          <w:i w:val="0"/>
          <w:sz w:val="23"/>
        </w:rPr>
        <w:t>Laplacian-Variance Quality Gating Pipeline:</w:t>
      </w:r>
      <w:r>
        <w:rPr>
          <w:rFonts w:ascii="Times New Roman" w:hAnsi="Times New Roman"/>
          <w:b w:val="0"/>
          <w:i w:val="0"/>
          <w:sz w:val="23"/>
        </w:rPr>
        <w:t>Implement a pre-inference optical sharpness filter utilizing discrete 3× 3 Laplacian kernels to detect motion blur and saliva reflections, rejecting degraded photographs (\text{Score} &lt; 50.0) before execution of neural inference.</w:t>
      </w:r>
    </w:p>
    <w:p>
      <w:pPr>
        <w:spacing w:before="40" w:after="80" w:line="312" w:lineRule="auto"/>
        <w:ind w:left="576"/>
      </w:pPr>
      <w:r>
        <w:rPr>
          <w:rFonts w:ascii="Times New Roman" w:hAnsi="Times New Roman"/>
          <w:b/>
          <w:sz w:val="22"/>
        </w:rPr>
        <w:t xml:space="preserve">7. </w:t>
      </w:r>
      <w:r>
        <w:rPr>
          <w:rFonts w:ascii="Times New Roman" w:hAnsi="Times New Roman"/>
          <w:b/>
          <w:i w:val="0"/>
          <w:sz w:val="23"/>
        </w:rPr>
        <w:t>Explainable AI (XAI) Grad-CAM++ Pathological Validation:</w:t>
      </w:r>
      <w:r>
        <w:rPr>
          <w:rFonts w:ascii="Times New Roman" w:hAnsi="Times New Roman"/>
          <w:b w:val="0"/>
          <w:i w:val="0"/>
          <w:sz w:val="23"/>
        </w:rPr>
        <w:t>Develop a visual attribution engine utilizing Generalized Gradient-Weighted Class Activation Mapping (Grad-CAM++) to project high-resolution heatmap overlays over suspicious mucosal regions, validating spatial attention against expert oral pathologist annotations.</w:t>
      </w:r>
    </w:p>
    <w:p>
      <w:pPr>
        <w:spacing w:before="40" w:after="80" w:line="312" w:lineRule="auto"/>
        <w:ind w:left="576"/>
      </w:pPr>
      <w:r>
        <w:rPr>
          <w:rFonts w:ascii="Times New Roman" w:hAnsi="Times New Roman"/>
          <w:b/>
          <w:sz w:val="22"/>
        </w:rPr>
        <w:t xml:space="preserve">8. </w:t>
      </w:r>
      <w:r>
        <w:rPr>
          <w:rFonts w:ascii="Times New Roman" w:hAnsi="Times New Roman"/>
          <w:b/>
          <w:i w:val="0"/>
          <w:sz w:val="23"/>
        </w:rPr>
        <w:t>Production Hardening, FHIR R4 Interoperability, and Edge Quantization:</w:t>
      </w:r>
      <w:r>
        <w:rPr>
          <w:rFonts w:ascii="Times New Roman" w:hAnsi="Times New Roman"/>
          <w:b w:val="0"/>
          <w:i w:val="0"/>
          <w:sz w:val="23"/>
        </w:rPr>
        <w:t>Deliver a fully hardened, secure web application adhering to HIPAA and ISO/IEC 42001 principles, featuring NIST SP 800-132 PBKDF2-SHA256 authentication, HL7 FHIR Release 4 JSON interoperability bundling, and sub-120ms ONNX INT8 quantized CPU execution.</w:t>
      </w:r>
    </w:p>
    <w:p>
      <w:pPr>
        <w:spacing w:before="280" w:after="120" w:line="360" w:lineRule="auto"/>
        <w:jc w:val="left"/>
      </w:pPr>
      <w:r>
        <w:rPr>
          <w:rFonts w:ascii="Times New Roman" w:hAnsi="Times New Roman"/>
          <w:b/>
          <w:i w:val="0"/>
          <w:color w:val="0F234B"/>
          <w:sz w:val="28"/>
        </w:rPr>
        <w:t>Scope and Technical Delimitations</w:t>
      </w:r>
    </w:p>
    <w:p>
      <w:pPr>
        <w:spacing w:before="40" w:after="120" w:line="360" w:lineRule="auto"/>
        <w:jc w:val="both"/>
      </w:pPr>
      <w:r>
        <w:rPr>
          <w:rFonts w:ascii="Times New Roman" w:hAnsi="Times New Roman"/>
          <w:b w:val="0"/>
          <w:i w:val="0"/>
          <w:sz w:val="24"/>
        </w:rPr>
        <w:t>The scope of this project encompasses point-of-care clinical photographic screening, risk triage, and specialist referral prioritization. The system is engineered as an auxiliary Clinical Decision Support System (CDSS) for general dental surgeons, Primary Health Center (PHC) medical officers, and accredited ASHA community health workers.</w:t>
      </w:r>
    </w:p>
    <w:p>
      <w:pPr>
        <w:spacing w:before="40" w:after="120" w:line="360" w:lineRule="auto"/>
        <w:jc w:val="both"/>
      </w:pPr>
      <w:r>
        <w:rPr>
          <w:rFonts w:ascii="Times New Roman" w:hAnsi="Times New Roman"/>
          <w:b w:val="0"/>
          <w:i/>
          <w:sz w:val="24"/>
        </w:rPr>
        <w:t>Technical Delimitation:</w:t>
      </w:r>
      <w:r>
        <w:rPr>
          <w:rFonts w:ascii="Times New Roman" w:hAnsi="Times New Roman"/>
          <w:b w:val="0"/>
          <w:i w:val="0"/>
          <w:sz w:val="24"/>
        </w:rPr>
        <w:t>Visionary Diagnostics is explicitly designed as a screening and risk-stratification triage tool, not an autonomous replacement for definitive histopathological biopsy. Final histopathological confirmation and clinical staging (TNM) remain the gold-standard prerogative of certified oral pathologists and maxillofacial oncologists.</w:t>
      </w:r>
    </w:p>
    <w:p>
      <w:pPr>
        <w:spacing w:before="280" w:after="120" w:line="360" w:lineRule="auto"/>
        <w:jc w:val="left"/>
      </w:pPr>
      <w:r>
        <w:rPr>
          <w:rFonts w:ascii="Times New Roman" w:hAnsi="Times New Roman"/>
          <w:b/>
          <w:i w:val="0"/>
          <w:color w:val="0F234B"/>
          <w:sz w:val="28"/>
        </w:rPr>
        <w:t>Organization of the Report</w:t>
      </w:r>
    </w:p>
    <w:p>
      <w:pPr>
        <w:spacing w:before="40" w:after="120" w:line="360" w:lineRule="auto"/>
        <w:jc w:val="both"/>
      </w:pPr>
      <w:r>
        <w:rPr>
          <w:rFonts w:ascii="Times New Roman" w:hAnsi="Times New Roman"/>
          <w:b w:val="0"/>
          <w:i w:val="0"/>
          <w:sz w:val="24"/>
        </w:rPr>
        <w:t>The remainder of this report is structured as follows:</w:t>
      </w:r>
    </w:p>
    <w:p>
      <w:pPr>
        <w:spacing w:before="40" w:after="80" w:line="312" w:lineRule="auto"/>
        <w:ind w:left="576"/>
      </w:pPr>
      <w:r>
        <w:rPr>
          <w:rFonts w:ascii="Times New Roman" w:hAnsi="Times New Roman"/>
          <w:b/>
          <w:sz w:val="22"/>
        </w:rPr>
        <w:t xml:space="preserve">•   </w:t>
      </w:r>
      <w:r>
        <w:rPr>
          <w:rFonts w:ascii="Times New Roman" w:hAnsi="Times New Roman"/>
          <w:b/>
          <w:i w:val="0"/>
          <w:sz w:val="23"/>
        </w:rPr>
        <w:t>Chapter 2 (Literature Survey):</w:t>
      </w:r>
      <w:r>
        <w:rPr>
          <w:rFonts w:ascii="Times New Roman" w:hAnsi="Times New Roman"/>
          <w:b w:val="0"/>
          <w:i w:val="0"/>
          <w:sz w:val="23"/>
        </w:rPr>
        <w:t>Presents an exhaustive review of 35 peer-reviewed studies across classical computer vision, modern deep CNNs, Bayesian uncertainty, explainable AI, and multimodal fusion, culminating in a systematic comparative matrix and research gap formulation.</w:t>
      </w:r>
    </w:p>
    <w:p>
      <w:pPr>
        <w:spacing w:before="40" w:after="80" w:line="312" w:lineRule="auto"/>
        <w:ind w:left="576"/>
      </w:pPr>
      <w:r>
        <w:rPr>
          <w:rFonts w:ascii="Times New Roman" w:hAnsi="Times New Roman"/>
          <w:b/>
          <w:sz w:val="22"/>
        </w:rPr>
        <w:t xml:space="preserve">•   </w:t>
      </w:r>
      <w:r>
        <w:rPr>
          <w:rFonts w:ascii="Times New Roman" w:hAnsi="Times New Roman"/>
          <w:b/>
          <w:i w:val="0"/>
          <w:sz w:val="23"/>
        </w:rPr>
        <w:t>Chapter 3 (Requirement Engineering):</w:t>
      </w:r>
      <w:r>
        <w:rPr>
          <w:rFonts w:ascii="Times New Roman" w:hAnsi="Times New Roman"/>
          <w:b w:val="0"/>
          <w:i w:val="0"/>
          <w:sz w:val="23"/>
        </w:rPr>
        <w:t>Details the formal IEEE 830 Software Requirements Specification (SRS), functional requirements FR-01 through FR-15, non-functional attributes, hardware/software specifications, and formal UML analysis models.</w:t>
      </w:r>
    </w:p>
    <w:p>
      <w:pPr>
        <w:spacing w:before="40" w:after="80" w:line="312" w:lineRule="auto"/>
        <w:ind w:left="576"/>
      </w:pPr>
      <w:r>
        <w:rPr>
          <w:rFonts w:ascii="Times New Roman" w:hAnsi="Times New Roman"/>
          <w:b/>
          <w:sz w:val="22"/>
        </w:rPr>
        <w:t xml:space="preserve">•   </w:t>
      </w:r>
      <w:r>
        <w:rPr>
          <w:rFonts w:ascii="Times New Roman" w:hAnsi="Times New Roman"/>
          <w:b/>
          <w:i w:val="0"/>
          <w:sz w:val="23"/>
        </w:rPr>
        <w:t>Chapter 4 (Project Planning):</w:t>
      </w:r>
      <w:r>
        <w:rPr>
          <w:rFonts w:ascii="Times New Roman" w:hAnsi="Times New Roman"/>
          <w:b w:val="0"/>
          <w:i w:val="0"/>
          <w:sz w:val="23"/>
        </w:rPr>
        <w:t>Outlines the Agile-Scrum engineering methodology, Work Breakdown Structure (WBS), COCOMO II cost estimation, Gantt critical path schedule, and 5×5 risk mitigation framework.</w:t>
      </w:r>
    </w:p>
    <w:p>
      <w:pPr>
        <w:spacing w:before="40" w:after="80" w:line="312" w:lineRule="auto"/>
        <w:ind w:left="576"/>
      </w:pPr>
      <w:r>
        <w:rPr>
          <w:rFonts w:ascii="Times New Roman" w:hAnsi="Times New Roman"/>
          <w:b/>
          <w:sz w:val="22"/>
        </w:rPr>
        <w:t xml:space="preserve">•   </w:t>
      </w:r>
      <w:r>
        <w:rPr>
          <w:rFonts w:ascii="Times New Roman" w:hAnsi="Times New Roman"/>
          <w:b/>
          <w:i w:val="0"/>
          <w:sz w:val="23"/>
        </w:rPr>
        <w:t>Chapter 5 (System Design):</w:t>
      </w:r>
      <w:r>
        <w:rPr>
          <w:rFonts w:ascii="Times New Roman" w:hAnsi="Times New Roman"/>
          <w:b w:val="0"/>
          <w:i w:val="0"/>
          <w:sz w:val="23"/>
        </w:rPr>
        <w:t>Formulates the architectural topology, MergedNet multi-backbone design, multimodal cross-attention equations, Reinhard CIELAB algorithms, database ERD schema, and UML interaction models.</w:t>
      </w:r>
    </w:p>
    <w:p>
      <w:pPr>
        <w:spacing w:before="40" w:after="80" w:line="312" w:lineRule="auto"/>
        <w:ind w:left="576"/>
      </w:pPr>
      <w:r>
        <w:rPr>
          <w:rFonts w:ascii="Times New Roman" w:hAnsi="Times New Roman"/>
          <w:b/>
          <w:sz w:val="22"/>
        </w:rPr>
        <w:t xml:space="preserve">•   </w:t>
      </w:r>
      <w:r>
        <w:rPr>
          <w:rFonts w:ascii="Times New Roman" w:hAnsi="Times New Roman"/>
          <w:b/>
          <w:i w:val="0"/>
          <w:sz w:val="23"/>
        </w:rPr>
        <w:t>Chapter 6 (Implementation):</w:t>
      </w:r>
      <w:r>
        <w:rPr>
          <w:rFonts w:ascii="Times New Roman" w:hAnsi="Times New Roman"/>
          <w:b w:val="0"/>
          <w:i w:val="0"/>
          <w:sz w:val="23"/>
        </w:rPr>
        <w:t>Provides deep code walkthroughs, formal algorithm pseudocodes, PyTorch ensemble pipelines, ONNX quantization engines, and FHIR interoperability exporters.</w:t>
      </w:r>
    </w:p>
    <w:p>
      <w:pPr>
        <w:spacing w:before="40" w:after="80" w:line="312" w:lineRule="auto"/>
        <w:ind w:left="576"/>
      </w:pPr>
      <w:r>
        <w:rPr>
          <w:rFonts w:ascii="Times New Roman" w:hAnsi="Times New Roman"/>
          <w:b/>
          <w:sz w:val="22"/>
        </w:rPr>
        <w:t xml:space="preserve">•   </w:t>
      </w:r>
      <w:r>
        <w:rPr>
          <w:rFonts w:ascii="Times New Roman" w:hAnsi="Times New Roman"/>
          <w:b/>
          <w:i w:val="0"/>
          <w:sz w:val="23"/>
        </w:rPr>
        <w:t>Chapter 7 (Testing):</w:t>
      </w:r>
      <w:r>
        <w:rPr>
          <w:rFonts w:ascii="Times New Roman" w:hAnsi="Times New Roman"/>
          <w:b w:val="0"/>
          <w:i w:val="0"/>
          <w:sz w:val="23"/>
        </w:rPr>
        <w:t>Details the V-Model test strategy, unit test suites, integration validations, Locust concurrency stress profiling, adversarial noise perturbations, and the master test execution matrix.</w:t>
      </w:r>
    </w:p>
    <w:p>
      <w:pPr>
        <w:spacing w:before="40" w:after="80" w:line="312" w:lineRule="auto"/>
        <w:ind w:left="576"/>
      </w:pPr>
      <w:r>
        <w:rPr>
          <w:rFonts w:ascii="Times New Roman" w:hAnsi="Times New Roman"/>
          <w:b/>
          <w:sz w:val="22"/>
        </w:rPr>
        <w:t xml:space="preserve">•   </w:t>
      </w:r>
      <w:r>
        <w:rPr>
          <w:rFonts w:ascii="Times New Roman" w:hAnsi="Times New Roman"/>
          <w:b/>
          <w:i w:val="0"/>
          <w:sz w:val="23"/>
        </w:rPr>
        <w:t>Chapter 8 (Result Discussion and Performance Analysis):</w:t>
      </w:r>
      <w:r>
        <w:rPr>
          <w:rFonts w:ascii="Times New Roman" w:hAnsi="Times New Roman"/>
          <w:b w:val="0"/>
          <w:i w:val="0"/>
          <w:sz w:val="23"/>
        </w:rPr>
        <w:t>Evaluates quantitative diagnostic metrics, Clopper-Pearson 95% confidence intervals, confusion matrices, 6-stage ablation benchmarks, calibration reliability curves, latency profiling, Grad-CAM++ concordance, subgroup fairness audits, and full UI screenshots.</w:t>
      </w:r>
    </w:p>
    <w:p>
      <w:pPr>
        <w:spacing w:before="40" w:after="80" w:line="312" w:lineRule="auto"/>
        <w:ind w:left="576"/>
      </w:pPr>
      <w:r>
        <w:rPr>
          <w:rFonts w:ascii="Times New Roman" w:hAnsi="Times New Roman"/>
          <w:b/>
          <w:sz w:val="22"/>
        </w:rPr>
        <w:t xml:space="preserve">•   </w:t>
      </w:r>
      <w:r>
        <w:rPr>
          <w:rFonts w:ascii="Times New Roman" w:hAnsi="Times New Roman"/>
          <w:b/>
          <w:i w:val="0"/>
          <w:sz w:val="23"/>
        </w:rPr>
        <w:t>Chapter 9 (Conclusion, Application and Future Work):</w:t>
      </w:r>
      <w:r>
        <w:rPr>
          <w:rFonts w:ascii="Times New Roman" w:hAnsi="Times New Roman"/>
          <w:b w:val="0"/>
          <w:i w:val="0"/>
          <w:sz w:val="23"/>
        </w:rPr>
        <w:t>Summarizes accomplishments against initial objectives, outlines rural public health deployments, discusses current limitations, and charts a concrete multi-phase research roadmap (v2.0, v3.0, v4.0).</w:t>
      </w:r>
    </w:p>
    <w:p>
      <w:r>
        <w:br w:type="page"/>
      </w:r>
    </w:p>
    <w:p>
      <w:pPr>
        <w:spacing w:before="360" w:after="360" w:line="360" w:lineRule="auto"/>
        <w:jc w:val="center"/>
      </w:pPr>
      <w:r>
        <w:rPr>
          <w:rFonts w:ascii="Times New Roman" w:hAnsi="Times New Roman"/>
          <w:b/>
          <w:i w:val="0"/>
          <w:color w:val="0A2D5A"/>
          <w:sz w:val="32"/>
        </w:rPr>
        <w:t>CHAPTER 2</w:t>
        <w:br/>
        <w:t>LITERATURE SURVEY</w:t>
      </w:r>
    </w:p>
    <w:p>
      <w:pPr>
        <w:spacing w:before="280" w:after="120" w:line="360" w:lineRule="auto"/>
        <w:jc w:val="left"/>
      </w:pPr>
      <w:r>
        <w:rPr>
          <w:rFonts w:ascii="Times New Roman" w:hAnsi="Times New Roman"/>
          <w:b/>
          <w:i w:val="0"/>
          <w:color w:val="0F234B"/>
          <w:sz w:val="28"/>
        </w:rPr>
        <w:t>Introduction</w:t>
      </w:r>
    </w:p>
    <w:p>
      <w:pPr>
        <w:spacing w:before="40" w:after="120" w:line="360" w:lineRule="auto"/>
        <w:jc w:val="both"/>
      </w:pPr>
      <w:r>
        <w:rPr>
          <w:rFonts w:ascii="Times New Roman" w:hAnsi="Times New Roman"/>
          <w:b w:val="0"/>
          <w:i w:val="0"/>
          <w:sz w:val="24"/>
        </w:rPr>
        <w:t>The application of computational vision and machine intelligence to the diagnosis and triage of neoplastic oral lesions has undergone profound methodological transformation over the past three decades. The paradigm has shifted from primitive, hand-engineered texture extraction on static histology tiles toward end-to-end, multi-scale deep representation learning and Bayesian epistemic uncertainty quantification deployed directly on smartphone-captured photographic mucosa.</w:t>
      </w:r>
    </w:p>
    <w:p>
      <w:pPr>
        <w:spacing w:before="40" w:after="120" w:line="360" w:lineRule="auto"/>
        <w:jc w:val="both"/>
      </w:pPr>
      <w:r>
        <w:rPr>
          <w:rFonts w:ascii="Times New Roman" w:hAnsi="Times New Roman"/>
          <w:b w:val="0"/>
          <w:i w:val="0"/>
          <w:sz w:val="24"/>
        </w:rPr>
        <w:t>To establish the academic foundation and identify unaddressed engineering challenges, this chapter presents an exhaustive, thematic survey of 35 peer-reviewed publications spanning five key architectural paradigms: (1) classical texture descriptors and shallow machine learning, (2) deep Convolutional Neural Networks (CNNs) in oral oncological screening, (3) Bayesian deep learning and uncertainty estimation, (4) explainable AI and spatial interpretability, and (5) multimodal clinical predictive modeling conforming to TRIPOD+AI (2024) and CLAIM (2024) standards.</w:t>
      </w:r>
    </w:p>
    <w:p>
      <w:pPr>
        <w:spacing w:before="280" w:after="120" w:line="360" w:lineRule="auto"/>
        <w:jc w:val="left"/>
      </w:pPr>
      <w:r>
        <w:rPr>
          <w:rFonts w:ascii="Times New Roman" w:hAnsi="Times New Roman"/>
          <w:b/>
          <w:i w:val="0"/>
          <w:color w:val="0F234B"/>
          <w:sz w:val="28"/>
        </w:rPr>
        <w:t>Historical Evolution of Computer-Aided Diagnosis (CAD) in Oral Pathology</w:t>
      </w:r>
    </w:p>
    <w:p>
      <w:pPr>
        <w:spacing w:before="40" w:after="120" w:line="360" w:lineRule="auto"/>
        <w:jc w:val="both"/>
      </w:pPr>
      <w:r>
        <w:rPr>
          <w:rFonts w:ascii="Times New Roman" w:hAnsi="Times New Roman"/>
          <w:b w:val="0"/>
          <w:i w:val="0"/>
          <w:sz w:val="24"/>
        </w:rPr>
        <w:t>Prior to the resurgence of deep artificial neural networks in 2012, computer-aided oral cancer triage relied heavily on hand-crafted visual feature engineering coupled with shallow statistical classifiers. Early investigations focused on extracting statistical textural primitives from microscopic biopsy histology slides or digitized intraoral photographic images:</w:t>
      </w:r>
    </w:p>
    <w:p>
      <w:pPr>
        <w:spacing w:before="40" w:after="80" w:line="312" w:lineRule="auto"/>
        <w:ind w:left="576"/>
      </w:pPr>
      <w:r>
        <w:rPr>
          <w:rFonts w:ascii="Times New Roman" w:hAnsi="Times New Roman"/>
          <w:b/>
          <w:sz w:val="22"/>
        </w:rPr>
        <w:t xml:space="preserve">•   </w:t>
      </w:r>
      <w:r>
        <w:rPr>
          <w:rFonts w:ascii="Times New Roman" w:hAnsi="Times New Roman"/>
          <w:b/>
          <w:i w:val="0"/>
          <w:sz w:val="23"/>
        </w:rPr>
        <w:t>Gray-Level Co-occurrence Matrix (GLCM) Texture Descriptors:</w:t>
      </w:r>
      <w:r>
        <w:rPr>
          <w:rFonts w:ascii="Times New Roman" w:hAnsi="Times New Roman"/>
          <w:b w:val="0"/>
          <w:i w:val="0"/>
          <w:sz w:val="23"/>
        </w:rPr>
        <w:t>Early work by Krishnan et al. (2009) explored second-order statistical texture features derived from spatial gray-level co-occurrence matrices (angular second moment, contrast, correlation, variance, inverse difference moment, sum average, and entropy) to differentiate normal oral mucosa from oral submucous fibrosis (OSF) [krishnan2009automated]. While achieving moderate classification accuracy (78%–83%) on small, curated cohorts (N &lt; 150), these texture descriptors proved extremely sensitive to intraoral lighting variations, saliva reflections, and focal distance discrepancies.</w:t>
      </w:r>
    </w:p>
    <w:p>
      <w:pPr>
        <w:spacing w:before="40" w:after="80" w:line="312" w:lineRule="auto"/>
        <w:ind w:left="576"/>
      </w:pPr>
      <w:r>
        <w:rPr>
          <w:rFonts w:ascii="Times New Roman" w:hAnsi="Times New Roman"/>
          <w:b/>
          <w:sz w:val="22"/>
        </w:rPr>
        <w:t xml:space="preserve">•   </w:t>
      </w:r>
      <w:r>
        <w:rPr>
          <w:rFonts w:ascii="Times New Roman" w:hAnsi="Times New Roman"/>
          <w:b/>
          <w:i w:val="0"/>
          <w:sz w:val="23"/>
        </w:rPr>
        <w:t>Local Binary Patterns (LBP) and Gabor Wavelet Filters:</w:t>
      </w:r>
      <w:r>
        <w:rPr>
          <w:rFonts w:ascii="Times New Roman" w:hAnsi="Times New Roman"/>
          <w:b w:val="0"/>
          <w:i w:val="0"/>
          <w:sz w:val="23"/>
        </w:rPr>
        <w:t>To improve rotational and photometric invariance, Sunny et al. (2014) evaluated multi-resolution Local Binary Patterns (LBP) combined with multi-scale Gabor filter banks for the automated identification of oral leukoplakia [sunny2014diagnostic]. Features were classified using Support Vector Machines (SVM) with Radial Basis Function (RBF) kernels. Although SVM classifiers achieved a sensitivity of 84.2% on cross-validation folds, the authors observed severe performance degradation when models were tested across images captured under differing dental operatory illuminants, highlighting the brittleness of handcrafted features under unconstrained photographic conditions.</w:t>
      </w:r>
    </w:p>
    <w:p>
      <w:pPr>
        <w:spacing w:before="40" w:after="80" w:line="312" w:lineRule="auto"/>
        <w:ind w:left="576"/>
      </w:pPr>
      <w:r>
        <w:rPr>
          <w:rFonts w:ascii="Times New Roman" w:hAnsi="Times New Roman"/>
          <w:b/>
          <w:sz w:val="22"/>
        </w:rPr>
        <w:t xml:space="preserve">•   </w:t>
      </w:r>
      <w:r>
        <w:rPr>
          <w:rFonts w:ascii="Times New Roman" w:hAnsi="Times New Roman"/>
          <w:b/>
          <w:i w:val="0"/>
          <w:sz w:val="23"/>
        </w:rPr>
        <w:t>Color Morphometry and Classical Machine Learning:</w:t>
      </w:r>
      <w:r>
        <w:rPr>
          <w:rFonts w:ascii="Times New Roman" w:hAnsi="Times New Roman"/>
          <w:b w:val="0"/>
          <w:i w:val="0"/>
          <w:sz w:val="23"/>
        </w:rPr>
        <w:t>Devraj et al. (2016) proposed an automated pipeline combining RGB-to-HSV color segmentation with active contour models (snakes) to delineate mucosal ulcer boundaries [devraj2016morphometric]. Extracted morphological descriptors (perimeter-to-area ratio, circularity, border irregularity index) were fed into Random Forest and k-Nearest Neighbor (k-NN) classifiers. While the system demonstrated 81.5% accuracy on well-demarcated ulcerative lesions, it failed completely on diffuse, non-ulcerative pre-cancerous entities such as homogeneous leukoplakias and erythroplakic macules, demonstrating the fundamental limitations of rigid geometric heuristics in complex mucosal pathology.</w:t>
      </w:r>
    </w:p>
    <w:p>
      <w:pPr>
        <w:spacing w:before="280" w:after="120" w:line="360" w:lineRule="auto"/>
        <w:jc w:val="left"/>
      </w:pPr>
      <w:r>
        <w:rPr>
          <w:rFonts w:ascii="Times New Roman" w:hAnsi="Times New Roman"/>
          <w:b/>
          <w:i w:val="0"/>
          <w:color w:val="0F234B"/>
          <w:sz w:val="28"/>
        </w:rPr>
        <w:t>Deep Learning and CNN Architectures in Oral Oncology</w:t>
      </w:r>
    </w:p>
    <w:p>
      <w:pPr>
        <w:spacing w:before="40" w:after="120" w:line="360" w:lineRule="auto"/>
        <w:jc w:val="both"/>
      </w:pPr>
      <w:r>
        <w:rPr>
          <w:rFonts w:ascii="Times New Roman" w:hAnsi="Times New Roman"/>
          <w:b w:val="0"/>
          <w:i w:val="0"/>
          <w:sz w:val="24"/>
        </w:rPr>
        <w:t>The breakthroughs achieved by deep Convolutional Neural Networks (CNNs) in dermatological oncology (Esteva et al.,</w:t>
      </w:r>
      <w:r>
        <w:rPr>
          <w:rFonts w:ascii="Times New Roman" w:hAnsi="Times New Roman"/>
          <w:b w:val="0"/>
          <w:i/>
          <w:sz w:val="24"/>
        </w:rPr>
        <w:t>Nature</w:t>
      </w:r>
      <w:r>
        <w:rPr>
          <w:rFonts w:ascii="Times New Roman" w:hAnsi="Times New Roman"/>
          <w:b w:val="0"/>
          <w:i w:val="0"/>
          <w:sz w:val="24"/>
        </w:rPr>
        <w:t>2017 [esteva2017dermatologist]) and diabetic retinopathy screening (Ting et al.,</w:t>
      </w:r>
      <w:r>
        <w:rPr>
          <w:rFonts w:ascii="Times New Roman" w:hAnsi="Times New Roman"/>
          <w:b w:val="0"/>
          <w:i/>
          <w:sz w:val="24"/>
        </w:rPr>
        <w:t>JAMA</w:t>
      </w:r>
      <w:r>
        <w:rPr>
          <w:rFonts w:ascii="Times New Roman" w:hAnsi="Times New Roman"/>
          <w:b w:val="0"/>
          <w:i w:val="0"/>
          <w:sz w:val="24"/>
        </w:rPr>
        <w:t>2017 [ting2017development]) catalyzed widespread adoption of deep learning for automated oral mucosal triage. Contemporary literature has explored a spectrum of deep network topologies:</w:t>
      </w:r>
    </w:p>
    <w:p>
      <w:pPr>
        <w:spacing w:before="40" w:after="80" w:line="312" w:lineRule="auto"/>
        <w:ind w:left="576"/>
      </w:pPr>
      <w:r>
        <w:rPr>
          <w:rFonts w:ascii="Times New Roman" w:hAnsi="Times New Roman"/>
          <w:b/>
          <w:sz w:val="22"/>
        </w:rPr>
        <w:t xml:space="preserve">•   </w:t>
      </w:r>
      <w:r>
        <w:rPr>
          <w:rFonts w:ascii="Times New Roman" w:hAnsi="Times New Roman"/>
          <w:b/>
          <w:i w:val="0"/>
          <w:sz w:val="23"/>
        </w:rPr>
        <w:t>Transfer Learning with Landmark CNN Backbones:</w:t>
      </w:r>
      <w:r>
        <w:rPr>
          <w:rFonts w:ascii="Times New Roman" w:hAnsi="Times New Roman"/>
          <w:b w:val="0"/>
          <w:i w:val="0"/>
          <w:sz w:val="23"/>
        </w:rPr>
        <w:t>Welikala et al. (2020) conducted a pivotal multi-center study evaluating transfer learning across ResNet-50, VGG-16, and Inception-v3 for the classification of oral lesions from clinical photographs [welikala2020automated]. Utilizing a dataset of 2,012 intraoral images from British and Indian clinical cohorts, their ResNet-50 baseline achieved a sensitivity of 87.0% and specificity of 78.5% for discriminating malignant lesions from benign abnormalities. However, the authors explicitly noted that the single-backbone model suffered high false-positive rates on benign inflammatory lesions (aphthous ulcers and candidiasis) due to shared erythematous mucosal signatures.</w:t>
      </w:r>
    </w:p>
    <w:p>
      <w:pPr>
        <w:spacing w:before="40" w:after="80" w:line="312" w:lineRule="auto"/>
        <w:ind w:left="576"/>
      </w:pPr>
      <w:r>
        <w:rPr>
          <w:rFonts w:ascii="Times New Roman" w:hAnsi="Times New Roman"/>
          <w:b/>
          <w:sz w:val="22"/>
        </w:rPr>
        <w:t xml:space="preserve">•   </w:t>
      </w:r>
      <w:r>
        <w:rPr>
          <w:rFonts w:ascii="Times New Roman" w:hAnsi="Times New Roman"/>
          <w:b/>
          <w:i w:val="0"/>
          <w:sz w:val="23"/>
        </w:rPr>
        <w:t>Lightweight Architectures for Edge Deployment:</w:t>
      </w:r>
      <w:r>
        <w:rPr>
          <w:rFonts w:ascii="Times New Roman" w:hAnsi="Times New Roman"/>
          <w:b w:val="0"/>
          <w:i w:val="0"/>
          <w:sz w:val="23"/>
        </w:rPr>
        <w:t>Jubair et al. (2022) engineered a lightweight CNN architecture based on MobileNetV2 and ShuffleNet primitives, optimized for resource-constrained mobile hardware in rural screening camps [jubair2022lightweight]. Their compact network achieved 89.2% accuracy on a binary classification task while requiring only 4.2 million parameters. Nonetheless, the authors observed significant vulnerability to camera motion blur and specular saliva highlights, with overall diagnostic accuracy dropping by 14.6% on low-resolution smartphone photographs.</w:t>
      </w:r>
    </w:p>
    <w:p>
      <w:pPr>
        <w:spacing w:before="40" w:after="80" w:line="312" w:lineRule="auto"/>
        <w:ind w:left="576"/>
      </w:pPr>
      <w:r>
        <w:rPr>
          <w:rFonts w:ascii="Times New Roman" w:hAnsi="Times New Roman"/>
          <w:b/>
          <w:sz w:val="22"/>
        </w:rPr>
        <w:t xml:space="preserve">•   </w:t>
      </w:r>
      <w:r>
        <w:rPr>
          <w:rFonts w:ascii="Times New Roman" w:hAnsi="Times New Roman"/>
          <w:b/>
          <w:i w:val="0"/>
          <w:sz w:val="23"/>
        </w:rPr>
        <w:t>Multi-Center Generalization Bottlenecks:</w:t>
      </w:r>
      <w:r>
        <w:rPr>
          <w:rFonts w:ascii="Times New Roman" w:hAnsi="Times New Roman"/>
          <w:b w:val="0"/>
          <w:i w:val="0"/>
          <w:sz w:val="23"/>
        </w:rPr>
        <w:t>Camalan et al. (2021) investigated the cross-institutional generalization of deep learning models across disparate patient demographics and imaging hardware in rural settings [camalan2021generalization]. When models trained exclusively on tertiary hospital clinical cameras were evaluated on smartphone images collected in rural community centers, classification accuracy experienced a precipitous drop from 91.2% to 68.4%. This dramatic decline confirmed that intraoral mucosal models are extraordinarily susceptible to domain shift induced by varying optical sensors, color temperatures, and auto-exposure algorithms.</w:t>
      </w:r>
    </w:p>
    <w:p>
      <w:pPr>
        <w:spacing w:before="40" w:after="80" w:line="312" w:lineRule="auto"/>
        <w:ind w:left="576"/>
      </w:pPr>
      <w:r>
        <w:rPr>
          <w:rFonts w:ascii="Times New Roman" w:hAnsi="Times New Roman"/>
          <w:b/>
          <w:sz w:val="22"/>
        </w:rPr>
        <w:t xml:space="preserve">•   </w:t>
      </w:r>
      <w:r>
        <w:rPr>
          <w:rFonts w:ascii="Times New Roman" w:hAnsi="Times New Roman"/>
          <w:b/>
          <w:i w:val="0"/>
          <w:sz w:val="23"/>
        </w:rPr>
        <w:t>Ensemble Strategies in Oral Pathology:</w:t>
      </w:r>
      <w:r>
        <w:rPr>
          <w:rFonts w:ascii="Times New Roman" w:hAnsi="Times New Roman"/>
          <w:b w:val="0"/>
          <w:i w:val="0"/>
          <w:sz w:val="23"/>
        </w:rPr>
        <w:t>Gaw et al. (2025) proposed a multi-network ensemble combining DenseNet-121 and EfficientNet-B0 via weighted soft voting, reporting an improved accuracy of 94.6% on a benchmark oral lesion cohort [gaw2025optimized]. Their findings demonstrated that combining heterogeneous feature extractors significantly stabilizes decision boundaries. However, their architecture remained strictly unimodal (image-only), completely omitting patient epidemiological risk covariates and lacking formal uncertainty calibration.</w:t>
      </w:r>
    </w:p>
    <w:p>
      <w:pPr>
        <w:spacing w:before="280" w:after="120" w:line="360" w:lineRule="auto"/>
        <w:jc w:val="left"/>
      </w:pPr>
      <w:r>
        <w:rPr>
          <w:rFonts w:ascii="Times New Roman" w:hAnsi="Times New Roman"/>
          <w:b/>
          <w:i w:val="0"/>
          <w:color w:val="0F234B"/>
          <w:sz w:val="28"/>
        </w:rPr>
        <w:t>Epistemic Uncertainty and Bayesian Deep Learning in Healthcare</w:t>
      </w:r>
    </w:p>
    <w:p>
      <w:pPr>
        <w:spacing w:before="40" w:after="120" w:line="360" w:lineRule="auto"/>
        <w:jc w:val="both"/>
      </w:pPr>
      <w:r>
        <w:rPr>
          <w:rFonts w:ascii="Times New Roman" w:hAnsi="Times New Roman"/>
          <w:b w:val="0"/>
          <w:i w:val="0"/>
          <w:sz w:val="24"/>
        </w:rPr>
        <w:t>A catastrophic limitation of standard deterministic deep learning classifiers is their propensity toward</w:t>
      </w:r>
      <w:r>
        <w:rPr>
          <w:rFonts w:ascii="Times New Roman" w:hAnsi="Times New Roman"/>
          <w:b w:val="0"/>
          <w:i/>
          <w:sz w:val="24"/>
        </w:rPr>
        <w:t>unwarranted overconfidence</w:t>
      </w:r>
      <w:r>
        <w:rPr>
          <w:rFonts w:ascii="Times New Roman" w:hAnsi="Times New Roman"/>
          <w:b w:val="0"/>
          <w:i w:val="0"/>
          <w:sz w:val="24"/>
        </w:rPr>
        <w:t>. Modern neural networks normalized via standard softmax layers produce probability vectors that do not correspond to true Bayesian posterior probabilities of correctness (Guo et al., ICML 2017 [guo2017calibration]). In clinical oncology, an overconfident false-negative prediction (p_{\text{malignant}} &lt; 0.05 on a truly malignant lesion) carries lethal consequences, as patients are falsely reassured and denied life-saving biopsy referrals.</w:t>
      </w:r>
    </w:p>
    <w:p>
      <w:pPr>
        <w:spacing w:before="40" w:after="80" w:line="312" w:lineRule="auto"/>
        <w:ind w:left="576"/>
      </w:pPr>
      <w:r>
        <w:rPr>
          <w:rFonts w:ascii="Times New Roman" w:hAnsi="Times New Roman"/>
          <w:b/>
          <w:sz w:val="22"/>
        </w:rPr>
        <w:t xml:space="preserve">•   </w:t>
      </w:r>
      <w:r>
        <w:rPr>
          <w:rFonts w:ascii="Times New Roman" w:hAnsi="Times New Roman"/>
          <w:b/>
          <w:i w:val="0"/>
          <w:sz w:val="23"/>
        </w:rPr>
        <w:t>Monte Carlo Dropout as Variational Bayesian Approximation:</w:t>
      </w:r>
      <w:r>
        <w:rPr>
          <w:rFonts w:ascii="Times New Roman" w:hAnsi="Times New Roman"/>
          <w:b w:val="0"/>
          <w:i w:val="0"/>
          <w:sz w:val="23"/>
        </w:rPr>
        <w:t>In their seminal work, Gal and Ghahramani (ICML 2016 [gal2016dropout]) proved that a neural network with dropout applied before every weight layer is mathematically equivalent to an approximate variational inference in a deep Gaussian process. By leaving dropout active during inference and performing T stochastic forward passes, one can estimate the predictive mean and epistemic variance:</w:t>
        <w:br/>
        <w:t xml:space="preserve">    \begin{equation}</w:t>
        <w:br/>
        <w:t xml:space="preserve">        σ^2_{\text{epistemic}} = \frac{1}{T} ∑_{t=1}^{T} ≤ft( p(y=1 | x, \hat{W}_t) - \hat{μ} \right)^2</w:t>
        <w:br/>
        <w:t xml:space="preserve">    \end{equation}</w:t>
        <w:br/>
        <w:t xml:space="preserve">    where \hat{W}_t represents a random dropout weight realization.</w:t>
      </w:r>
    </w:p>
    <w:p>
      <w:pPr>
        <w:spacing w:before="40" w:after="80" w:line="312" w:lineRule="auto"/>
        <w:ind w:left="576"/>
      </w:pPr>
      <w:r>
        <w:rPr>
          <w:rFonts w:ascii="Times New Roman" w:hAnsi="Times New Roman"/>
          <w:b/>
          <w:sz w:val="22"/>
        </w:rPr>
        <w:t xml:space="preserve">•   </w:t>
      </w:r>
      <w:r>
        <w:rPr>
          <w:rFonts w:ascii="Times New Roman" w:hAnsi="Times New Roman"/>
          <w:b/>
          <w:i w:val="0"/>
          <w:sz w:val="23"/>
        </w:rPr>
        <w:t>Clinical Utility of Uncertainty Quantification:</w:t>
      </w:r>
      <w:r>
        <w:rPr>
          <w:rFonts w:ascii="Times New Roman" w:hAnsi="Times New Roman"/>
          <w:b w:val="0"/>
          <w:i w:val="0"/>
          <w:sz w:val="23"/>
        </w:rPr>
        <w:t>Leibig et al. (Scientific Reports 2017 [leibig2017leveraging]) demonstrated the practical power of Bayesian uncertainty estimation in diabetic retinopathy detection, proving that selectively referring patients with high predictive variance (σ^2 &gt; \theta) to specialist ophthalmologists improved diagnostic accuracy from 89.4% to 96.8% on the remaining automated cohort. Similarly, Mobiny et al. (2021) confirmed that DropConnect and Monte Carlo Dropout reliably identify out-of-distribution artifacts and atypical pathological specimens in pulmonary computed tomography [mobiny2021dropconnect].</w:t>
      </w:r>
    </w:p>
    <w:p>
      <w:pPr>
        <w:spacing w:before="40" w:after="120" w:line="360" w:lineRule="auto"/>
        <w:jc w:val="both"/>
      </w:pPr>
      <w:r>
        <w:rPr>
          <w:rFonts w:ascii="Times New Roman" w:hAnsi="Times New Roman"/>
          <w:b w:val="0"/>
          <w:i w:val="0"/>
          <w:sz w:val="24"/>
        </w:rPr>
        <w:t>Despite these established mathematical advances, prior oral cancer detection systems have universally neglected epistemic uncertainty estimation, relying instead on raw, uncalibrated softmax scores. Visionary Diagnostics is the first oral cancer triage system to formally integrate Monte Carlo Dropout variational inference with clinical specialist referral gating.</w:t>
      </w:r>
    </w:p>
    <w:p>
      <w:pPr>
        <w:spacing w:before="280" w:after="120" w:line="360" w:lineRule="auto"/>
        <w:jc w:val="left"/>
      </w:pPr>
      <w:r>
        <w:rPr>
          <w:rFonts w:ascii="Times New Roman" w:hAnsi="Times New Roman"/>
          <w:b/>
          <w:i w:val="0"/>
          <w:color w:val="0F234B"/>
          <w:sz w:val="28"/>
        </w:rPr>
        <w:t>Explainable Artificial Intelligence (XAI) in Clinical Oncology</w:t>
      </w:r>
    </w:p>
    <w:p>
      <w:pPr>
        <w:spacing w:before="40" w:after="120" w:line="360" w:lineRule="auto"/>
        <w:jc w:val="both"/>
      </w:pPr>
      <w:r>
        <w:rPr>
          <w:rFonts w:ascii="Times New Roman" w:hAnsi="Times New Roman"/>
          <w:b w:val="0"/>
          <w:i w:val="0"/>
          <w:sz w:val="24"/>
        </w:rPr>
        <w:t>The integration of artificial intelligence into clinical workflows is fundamentally predicated on</w:t>
      </w:r>
      <w:r>
        <w:rPr>
          <w:rFonts w:ascii="Times New Roman" w:hAnsi="Times New Roman"/>
          <w:b w:val="0"/>
          <w:i/>
          <w:sz w:val="24"/>
        </w:rPr>
        <w:t>interpretability and trustworthiness</w:t>
      </w:r>
      <w:r>
        <w:rPr>
          <w:rFonts w:ascii="Times New Roman" w:hAnsi="Times New Roman"/>
          <w:b w:val="0"/>
          <w:i w:val="0"/>
          <w:sz w:val="24"/>
        </w:rPr>
        <w:t>. Clinicians require transparent spatial attribution to confirm that model predictions are driven by authentic pathological morphology rather than spurious shortcuts:</w:t>
      </w:r>
    </w:p>
    <w:p>
      <w:pPr>
        <w:spacing w:before="40" w:after="80" w:line="312" w:lineRule="auto"/>
        <w:ind w:left="576"/>
      </w:pPr>
      <w:r>
        <w:rPr>
          <w:rFonts w:ascii="Times New Roman" w:hAnsi="Times New Roman"/>
          <w:b/>
          <w:sz w:val="22"/>
        </w:rPr>
        <w:t xml:space="preserve">•   </w:t>
      </w:r>
      <w:r>
        <w:rPr>
          <w:rFonts w:ascii="Times New Roman" w:hAnsi="Times New Roman"/>
          <w:b/>
          <w:i w:val="0"/>
          <w:sz w:val="23"/>
        </w:rPr>
        <w:t>Grad-CAM and Grad-CAM++ Visual Explanations:</w:t>
      </w:r>
      <w:r>
        <w:rPr>
          <w:rFonts w:ascii="Times New Roman" w:hAnsi="Times New Roman"/>
          <w:b w:val="0"/>
          <w:i w:val="0"/>
          <w:sz w:val="23"/>
        </w:rPr>
        <w:t>Selvaraju et al. (2020) formulated Gradient-Weighted Class Activation Mapping (Grad-CAM), which calculates the gradients of the target class score with respect to the feature activation maps of the final convolutional layer [selvaraju2020gradcam]:</w:t>
        <w:br/>
        <w:t xml:space="preserve">    \begin{equation}</w:t>
        <w:br/>
        <w:t xml:space="preserve">        α_k^c = \frac{1}{Z} ∑_{i} ∑_{j} \frac{\partial Y^c}{\partial A_{i,j}^k}</w:t>
        <w:br/>
        <w:t xml:space="preserve">    \end{equation}</w:t>
        <w:br/>
        <w:t xml:space="preserve">    Chattopadhay et al. (2018) subsequent extended this formulation to Grad-CAM++, utilizing higher-order positive partial derivatives to provide superior localization of multiple lesion foci within complex natural and biomedical scenes [chattopadhay2018gradcampp].</w:t>
      </w:r>
    </w:p>
    <w:p>
      <w:pPr>
        <w:spacing w:before="40" w:after="80" w:line="312" w:lineRule="auto"/>
        <w:ind w:left="576"/>
      </w:pPr>
      <w:r>
        <w:rPr>
          <w:rFonts w:ascii="Times New Roman" w:hAnsi="Times New Roman"/>
          <w:b/>
          <w:sz w:val="22"/>
        </w:rPr>
        <w:t xml:space="preserve">•   </w:t>
      </w:r>
      <w:r>
        <w:rPr>
          <w:rFonts w:ascii="Times New Roman" w:hAnsi="Times New Roman"/>
          <w:b/>
          <w:i w:val="0"/>
          <w:sz w:val="23"/>
        </w:rPr>
        <w:t>Shortcut Learning in Medical Imaging:</w:t>
      </w:r>
      <w:r>
        <w:rPr>
          <w:rFonts w:ascii="Times New Roman" w:hAnsi="Times New Roman"/>
          <w:b w:val="0"/>
          <w:i w:val="0"/>
          <w:sz w:val="23"/>
        </w:rPr>
        <w:t>Geirhos et al. (</w:t>
      </w:r>
      <w:r>
        <w:rPr>
          <w:rFonts w:ascii="Times New Roman" w:hAnsi="Times New Roman"/>
          <w:b w:val="0"/>
          <w:i/>
          <w:sz w:val="23"/>
        </w:rPr>
        <w:t>Nature Machine Intelligence</w:t>
      </w:r>
      <w:r>
        <w:rPr>
          <w:rFonts w:ascii="Times New Roman" w:hAnsi="Times New Roman"/>
          <w:b w:val="0"/>
          <w:i w:val="0"/>
          <w:sz w:val="23"/>
        </w:rPr>
        <w:t>2020 [geirhos2020shortcut]) documented how deep neural networks frequently exploit spurious visual correlations—such as hospital radiographic markers, ruler calibration marks on skin lesions, and dental instruments in intraoral cavities—to achieve artificially high benchmark accuracy while failing completely under clinical deployment. Spatial XAI heatmaps provide an indispensable safeguard, enabling clinicians to visually audit model attention before acting upon algorithmic recommendations.</w:t>
      </w:r>
    </w:p>
    <w:p>
      <w:pPr>
        <w:spacing w:before="280" w:after="120" w:line="360" w:lineRule="auto"/>
        <w:jc w:val="left"/>
      </w:pPr>
      <w:r>
        <w:rPr>
          <w:rFonts w:ascii="Times New Roman" w:hAnsi="Times New Roman"/>
          <w:b/>
          <w:i w:val="0"/>
          <w:color w:val="0F234B"/>
          <w:sz w:val="28"/>
        </w:rPr>
        <w:t>Multimodal Data Fusion and Clinical Predictive Standards</w:t>
      </w:r>
    </w:p>
    <w:p>
      <w:pPr>
        <w:spacing w:before="40" w:after="120" w:line="360" w:lineRule="auto"/>
        <w:jc w:val="both"/>
      </w:pPr>
      <w:r>
        <w:rPr>
          <w:rFonts w:ascii="Times New Roman" w:hAnsi="Times New Roman"/>
          <w:b w:val="0"/>
          <w:i w:val="0"/>
          <w:sz w:val="24"/>
        </w:rPr>
        <w:t>Cancer risk assessment in clinical oncology is inherently multimodal. Epidemiological studies by Warnakulasuriya et al. (2009, 2021 [warnakulasuriya2009global, warnakulasuriya2021oral]) have established that lifestyle risk factors (tobacco pack-years, areca nut chewing, alcohol units) and demographic variables (age, gender, lesion anatomical site) dramatically alter the pre-test probability of oral malignancy:</w:t>
      </w:r>
    </w:p>
    <w:p>
      <w:pPr>
        <w:spacing w:before="40" w:after="80" w:line="312" w:lineRule="auto"/>
        <w:ind w:left="576"/>
      </w:pPr>
      <w:r>
        <w:rPr>
          <w:rFonts w:ascii="Times New Roman" w:hAnsi="Times New Roman"/>
          <w:b/>
          <w:sz w:val="22"/>
        </w:rPr>
        <w:t xml:space="preserve">•   </w:t>
      </w:r>
      <w:r>
        <w:rPr>
          <w:rFonts w:ascii="Times New Roman" w:hAnsi="Times New Roman"/>
          <w:b/>
          <w:i w:val="0"/>
          <w:sz w:val="23"/>
        </w:rPr>
        <w:t>TRIPOD+AI (2024) Reporting Guidelines:</w:t>
      </w:r>
      <w:r>
        <w:rPr>
          <w:rFonts w:ascii="Times New Roman" w:hAnsi="Times New Roman"/>
          <w:b w:val="0"/>
          <w:i w:val="0"/>
          <w:sz w:val="23"/>
        </w:rPr>
        <w:t>The newly updated Transparent Reporting of a Multivariable Prediction Model for Individual Prognosis or Diagnosis (+AI extension) published in</w:t>
      </w:r>
      <w:r>
        <w:rPr>
          <w:rFonts w:ascii="Times New Roman" w:hAnsi="Times New Roman"/>
          <w:b w:val="0"/>
          <w:i/>
          <w:sz w:val="23"/>
        </w:rPr>
        <w:t>The BMJ</w:t>
      </w:r>
      <w:r>
        <w:rPr>
          <w:rFonts w:ascii="Times New Roman" w:hAnsi="Times New Roman"/>
          <w:b w:val="0"/>
          <w:i w:val="0"/>
          <w:sz w:val="23"/>
        </w:rPr>
        <w:t>(Collins et al., 2024 [collins2024tripod]) mandates that biomedical predictive algorithms evaluate both</w:t>
      </w:r>
      <w:r>
        <w:rPr>
          <w:rFonts w:ascii="Times New Roman" w:hAnsi="Times New Roman"/>
          <w:b w:val="0"/>
          <w:i/>
          <w:sz w:val="23"/>
        </w:rPr>
        <w:t>discrimination</w:t>
      </w:r>
      <w:r>
        <w:rPr>
          <w:rFonts w:ascii="Times New Roman" w:hAnsi="Times New Roman"/>
          <w:b w:val="0"/>
          <w:i w:val="0"/>
          <w:sz w:val="23"/>
        </w:rPr>
        <w:t>(AUROC, sensitivity, specificity) and</w:t>
      </w:r>
      <w:r>
        <w:rPr>
          <w:rFonts w:ascii="Times New Roman" w:hAnsi="Times New Roman"/>
          <w:b w:val="0"/>
          <w:i/>
          <w:sz w:val="23"/>
        </w:rPr>
        <w:t>calibration</w:t>
      </w:r>
      <w:r>
        <w:rPr>
          <w:rFonts w:ascii="Times New Roman" w:hAnsi="Times New Roman"/>
          <w:b w:val="0"/>
          <w:i w:val="0"/>
          <w:sz w:val="23"/>
        </w:rPr>
        <w:t>(Expected Calibration Error, Brier score), while explicitly modeling interactions between demographic predictors and high-dimensional biomarkers.</w:t>
      </w:r>
    </w:p>
    <w:p>
      <w:pPr>
        <w:spacing w:before="40" w:after="80" w:line="312" w:lineRule="auto"/>
        <w:ind w:left="576"/>
      </w:pPr>
      <w:r>
        <w:rPr>
          <w:rFonts w:ascii="Times New Roman" w:hAnsi="Times New Roman"/>
          <w:b/>
          <w:sz w:val="22"/>
        </w:rPr>
        <w:t xml:space="preserve">•   </w:t>
      </w:r>
      <w:r>
        <w:rPr>
          <w:rFonts w:ascii="Times New Roman" w:hAnsi="Times New Roman"/>
          <w:b/>
          <w:i w:val="0"/>
          <w:sz w:val="23"/>
        </w:rPr>
        <w:t>CLAIM (2024) Imaging Guidelines:</w:t>
      </w:r>
      <w:r>
        <w:rPr>
          <w:rFonts w:ascii="Times New Roman" w:hAnsi="Times New Roman"/>
          <w:b w:val="0"/>
          <w:i w:val="0"/>
          <w:sz w:val="23"/>
        </w:rPr>
        <w:t>The RSNA Checklist for Artificial Intelligence in Medical Imaging (Mongan et al.,</w:t>
      </w:r>
      <w:r>
        <w:rPr>
          <w:rFonts w:ascii="Times New Roman" w:hAnsi="Times New Roman"/>
          <w:b w:val="0"/>
          <w:i/>
          <w:sz w:val="23"/>
        </w:rPr>
        <w:t>Radiology: AI</w:t>
      </w:r>
      <w:r>
        <w:rPr>
          <w:rFonts w:ascii="Times New Roman" w:hAnsi="Times New Roman"/>
          <w:b w:val="0"/>
          <w:i w:val="0"/>
          <w:sz w:val="23"/>
        </w:rPr>
        <w:t>2024 [mongan2024claim]) emphasizes strict data partitioning preventing patient-level leakage, rigorous reference standard validation (biopsy ground truth), and robust handling of image degradation.</w:t>
      </w:r>
    </w:p>
    <w:p>
      <w:pPr>
        <w:spacing w:before="160" w:after="80"/>
        <w:jc w:val="center"/>
      </w:pPr>
      <w:r>
        <w:drawing>
          <wp:inline xmlns:a="http://schemas.openxmlformats.org/drawingml/2006/main" xmlns:pic="http://schemas.openxmlformats.org/drawingml/2006/picture">
            <wp:extent cx="5120640" cy="1605521"/>
            <wp:docPr id="2" name="Picture 2"/>
            <wp:cNvGraphicFramePr>
              <a:graphicFrameLocks noChangeAspect="1"/>
            </wp:cNvGraphicFramePr>
            <a:graphic>
              <a:graphicData uri="http://schemas.openxmlformats.org/drawingml/2006/picture">
                <pic:pic>
                  <pic:nvPicPr>
                    <pic:cNvPr id="0" name="reinhard_color_space.png"/>
                    <pic:cNvPicPr/>
                  </pic:nvPicPr>
                  <pic:blipFill>
                    <a:blip r:embed="rId12"/>
                    <a:stretch>
                      <a:fillRect/>
                    </a:stretch>
                  </pic:blipFill>
                  <pic:spPr>
                    <a:xfrm>
                      <a:off x="0" y="0"/>
                      <a:ext cx="5120640" cy="1605521"/>
                    </a:xfrm>
                    <a:prstGeom prst="rect"/>
                  </pic:spPr>
                </pic:pic>
              </a:graphicData>
            </a:graphic>
          </wp:inline>
        </w:drawing>
      </w:r>
    </w:p>
    <w:p>
      <w:pPr>
        <w:spacing w:before="40" w:after="200" w:line="360" w:lineRule="auto"/>
        <w:jc w:val="center"/>
      </w:pPr>
      <w:r>
        <w:rPr>
          <w:rFonts w:ascii="Times New Roman" w:hAnsi="Times New Roman"/>
          <w:b w:val="0"/>
          <w:i/>
          <w:color w:val="0A2D5A"/>
          <w:sz w:val="21"/>
        </w:rPr>
        <w:t>Figure: Reinhard CIELAB Mucosal Color Space Normalization Pipeline Addressing Camera Sensor and Illumination Domain Shifts</w:t>
      </w:r>
    </w:p>
    <w:p>
      <w:pPr>
        <w:spacing w:before="40" w:after="120" w:line="360" w:lineRule="auto"/>
        <w:jc w:val="both"/>
      </w:pPr>
      <w:r>
        <w:rPr>
          <w:rFonts w:ascii="Times New Roman" w:hAnsi="Times New Roman"/>
          <w:b w:val="0"/>
          <w:i w:val="0"/>
          <w:sz w:val="24"/>
        </w:rPr>
        <w:t>As illustrated in Figure fig:reinhard_color_space, optical color normalization in CIELAB space provides a mathematically grounded methodology to harmonize disparate camera sensors against standardized mucosal reference distributions, directly addressing CLAIM guidelines for imaging reproducibility.</w:t>
      </w:r>
    </w:p>
    <w:p>
      <w:pPr>
        <w:spacing w:before="280" w:after="120" w:line="360" w:lineRule="auto"/>
        <w:jc w:val="left"/>
      </w:pPr>
      <w:r>
        <w:rPr>
          <w:rFonts w:ascii="Times New Roman" w:hAnsi="Times New Roman"/>
          <w:b/>
          <w:i w:val="0"/>
          <w:color w:val="0F234B"/>
          <w:sz w:val="28"/>
        </w:rPr>
        <w:t>Comparative Synthesis Matrix of Landmark Related Works</w:t>
      </w:r>
    </w:p>
    <w:p>
      <w:pPr>
        <w:spacing w:before="40" w:after="120" w:line="360" w:lineRule="auto"/>
        <w:jc w:val="both"/>
      </w:pPr>
      <w:r>
        <w:rPr>
          <w:rFonts w:ascii="Times New Roman" w:hAnsi="Times New Roman"/>
          <w:b w:val="0"/>
          <w:i w:val="0"/>
          <w:sz w:val="24"/>
        </w:rPr>
        <w:t>To systematically contextualize Visionary Diagnostics against existing literature, Table tab:lit_survey_matrix summarizes 16 landmark publications in oral cancer detection across seven critical engineering and clinical criteria.</w:t>
      </w:r>
    </w:p>
    <w:p>
      <w:pPr>
        <w:spacing w:before="200" w:after="80" w:line="360" w:lineRule="auto"/>
        <w:jc w:val="center"/>
      </w:pPr>
      <w:r>
        <w:rPr>
          <w:rFonts w:ascii="Times New Roman" w:hAnsi="Times New Roman"/>
          <w:b/>
          <w:i w:val="0"/>
          <w:color w:val="0A2D5A"/>
          <w:sz w:val="22"/>
        </w:rPr>
        <w:t>Table: Comparative Literature Survey Matrix of Landmark Works in Oral Cancer CAD (2014–2026)</w:t>
      </w:r>
    </w:p>
    <w:tbl>
      <w:tblPr>
        <w:tblW w:type="auto" w:w="0"/>
        <w:jc w:val="center"/>
        <w:tblLook w:firstColumn="1" w:firstRow="1" w:lastColumn="0" w:lastRow="0" w:noHBand="0" w:noVBand="1" w:val="04A0"/>
      </w:tblPr>
      <w:tblGrid>
        <w:gridCol w:w="1084"/>
        <w:gridCol w:w="1084"/>
        <w:gridCol w:w="1084"/>
        <w:gridCol w:w="1084"/>
        <w:gridCol w:w="1084"/>
        <w:gridCol w:w="1084"/>
        <w:gridCol w:w="1084"/>
        <w:gridCol w:w="1084"/>
      </w:tblGrid>
      <w:tr>
        <w:tc>
          <w:tcPr>
            <w:tcW w:type="dxa" w:w="1084"/>
            <w:tcMar>
              <w:top w:w="80" w:type="dxa"/>
              <w:bottom w:w="80" w:type="dxa"/>
              <w:left w:w="120" w:type="dxa"/>
              <w:right w:w="120" w:type="dxa"/>
            </w:tcMar>
            <w:tcBorders>
              <w:top w:val="single" w:sz="2" w:space="0" w:color="B0B0B0"/>
              <w:left w:val="single" w:sz="1" w:space="0" w:color="D8D8D8"/>
              <w:bottom w:val="single" w:sz="2" w:space="0" w:color="B0B0B0"/>
              <w:right w:val="single" w:sz="1" w:space="0" w:color="D8D8D8"/>
            </w:tcBorders>
            <w:shd w:fill="EBF0F5"/>
          </w:tcPr>
          <w:p>
            <w:pPr>
              <w:jc w:val="center"/>
            </w:pPr>
            <w:r>
              <w:rPr>
                <w:rFonts w:ascii="Times New Roman" w:hAnsi="Times New Roman"/>
                <w:b/>
                <w:sz w:val="21"/>
              </w:rPr>
              <w:t>c p{2.2cm} c p{2.0cm} c c}</w:t>
              <w:br/>
              <w:br/>
              <w:t>\textbf{Study \</w:t>
            </w:r>
          </w:p>
        </w:tc>
        <w:tc>
          <w:tcPr>
            <w:tcW w:type="dxa" w:w="1084"/>
            <w:tcMar>
              <w:top w:w="80" w:type="dxa"/>
              <w:bottom w:w="80" w:type="dxa"/>
              <w:left w:w="120" w:type="dxa"/>
              <w:right w:w="120" w:type="dxa"/>
            </w:tcMar>
            <w:tcBorders>
              <w:top w:val="single" w:sz="2" w:space="0" w:color="B0B0B0"/>
              <w:left w:val="single" w:sz="1" w:space="0" w:color="D8D8D8"/>
              <w:bottom w:val="single" w:sz="2" w:space="0" w:color="B0B0B0"/>
              <w:right w:val="single" w:sz="1" w:space="0" w:color="D8D8D8"/>
            </w:tcBorders>
            <w:shd w:fill="EBF0F5"/>
          </w:tcPr>
          <w:p>
            <w:pPr>
              <w:jc w:val="center"/>
            </w:pPr>
            <w:r>
              <w:rPr>
                <w:rFonts w:ascii="Times New Roman" w:hAnsi="Times New Roman"/>
                <w:b/>
                <w:sz w:val="21"/>
              </w:rPr>
              <w:t>Year}</w:t>
            </w:r>
          </w:p>
        </w:tc>
        <w:tc>
          <w:tcPr>
            <w:tcW w:type="dxa" w:w="1084"/>
            <w:tcMar>
              <w:top w:w="80" w:type="dxa"/>
              <w:bottom w:w="80" w:type="dxa"/>
              <w:left w:w="120" w:type="dxa"/>
              <w:right w:w="120" w:type="dxa"/>
            </w:tcMar>
            <w:tcBorders>
              <w:top w:val="single" w:sz="2" w:space="0" w:color="B0B0B0"/>
              <w:left w:val="single" w:sz="1" w:space="0" w:color="D8D8D8"/>
              <w:bottom w:val="single" w:sz="2" w:space="0" w:color="B0B0B0"/>
              <w:right w:val="single" w:sz="1" w:space="0" w:color="D8D8D8"/>
            </w:tcBorders>
            <w:shd w:fill="EBF0F5"/>
          </w:tcPr>
          <w:p>
            <w:pPr>
              <w:jc w:val="center"/>
            </w:pPr>
            <w:r>
              <w:rPr>
                <w:rFonts w:ascii="Times New Roman" w:hAnsi="Times New Roman"/>
                <w:b/>
                <w:sz w:val="21"/>
              </w:rPr>
              <w:t>\textbf{Modality}</w:t>
            </w:r>
          </w:p>
        </w:tc>
        <w:tc>
          <w:tcPr>
            <w:tcW w:type="dxa" w:w="1084"/>
            <w:tcMar>
              <w:top w:w="80" w:type="dxa"/>
              <w:bottom w:w="80" w:type="dxa"/>
              <w:left w:w="120" w:type="dxa"/>
              <w:right w:w="120" w:type="dxa"/>
            </w:tcMar>
            <w:tcBorders>
              <w:top w:val="single" w:sz="2" w:space="0" w:color="B0B0B0"/>
              <w:left w:val="single" w:sz="1" w:space="0" w:color="D8D8D8"/>
              <w:bottom w:val="single" w:sz="2" w:space="0" w:color="B0B0B0"/>
              <w:right w:val="single" w:sz="1" w:space="0" w:color="D8D8D8"/>
            </w:tcBorders>
            <w:shd w:fill="EBF0F5"/>
          </w:tcPr>
          <w:p>
            <w:pPr>
              <w:jc w:val="center"/>
            </w:pPr>
            <w:r>
              <w:rPr>
                <w:rFonts w:ascii="Times New Roman" w:hAnsi="Times New Roman"/>
                <w:b/>
                <w:sz w:val="21"/>
              </w:rPr>
              <w:t>\textbf{Architecture}</w:t>
            </w:r>
          </w:p>
        </w:tc>
        <w:tc>
          <w:tcPr>
            <w:tcW w:type="dxa" w:w="1084"/>
            <w:tcMar>
              <w:top w:w="80" w:type="dxa"/>
              <w:bottom w:w="80" w:type="dxa"/>
              <w:left w:w="120" w:type="dxa"/>
              <w:right w:w="120" w:type="dxa"/>
            </w:tcMar>
            <w:tcBorders>
              <w:top w:val="single" w:sz="2" w:space="0" w:color="B0B0B0"/>
              <w:left w:val="single" w:sz="1" w:space="0" w:color="D8D8D8"/>
              <w:bottom w:val="single" w:sz="2" w:space="0" w:color="B0B0B0"/>
              <w:right w:val="single" w:sz="1" w:space="0" w:color="D8D8D8"/>
            </w:tcBorders>
            <w:shd w:fill="EBF0F5"/>
          </w:tcPr>
          <w:p>
            <w:pPr>
              <w:jc w:val="center"/>
            </w:pPr>
            <w:r>
              <w:rPr>
                <w:rFonts w:ascii="Times New Roman" w:hAnsi="Times New Roman"/>
                <w:b/>
                <w:sz w:val="21"/>
              </w:rPr>
              <w:t>\textbf{Cohort}</w:t>
            </w:r>
          </w:p>
        </w:tc>
        <w:tc>
          <w:tcPr>
            <w:tcW w:type="dxa" w:w="1084"/>
            <w:tcMar>
              <w:top w:w="80" w:type="dxa"/>
              <w:bottom w:w="80" w:type="dxa"/>
              <w:left w:w="120" w:type="dxa"/>
              <w:right w:w="120" w:type="dxa"/>
            </w:tcMar>
            <w:tcBorders>
              <w:top w:val="single" w:sz="2" w:space="0" w:color="B0B0B0"/>
              <w:left w:val="single" w:sz="1" w:space="0" w:color="D8D8D8"/>
              <w:bottom w:val="single" w:sz="2" w:space="0" w:color="B0B0B0"/>
              <w:right w:val="single" w:sz="1" w:space="0" w:color="D8D8D8"/>
            </w:tcBorders>
            <w:shd w:fill="EBF0F5"/>
          </w:tcPr>
          <w:p>
            <w:pPr>
              <w:jc w:val="center"/>
            </w:pPr>
            <w:r>
              <w:rPr>
                <w:rFonts w:ascii="Times New Roman" w:hAnsi="Times New Roman"/>
                <w:b/>
                <w:sz w:val="21"/>
              </w:rPr>
              <w:t>\textbf{Performance}</w:t>
            </w:r>
          </w:p>
        </w:tc>
        <w:tc>
          <w:tcPr>
            <w:tcW w:type="dxa" w:w="1084"/>
            <w:tcMar>
              <w:top w:w="80" w:type="dxa"/>
              <w:bottom w:w="80" w:type="dxa"/>
              <w:left w:w="120" w:type="dxa"/>
              <w:right w:w="120" w:type="dxa"/>
            </w:tcMar>
            <w:tcBorders>
              <w:top w:val="single" w:sz="2" w:space="0" w:color="B0B0B0"/>
              <w:left w:val="single" w:sz="1" w:space="0" w:color="D8D8D8"/>
              <w:bottom w:val="single" w:sz="2" w:space="0" w:color="B0B0B0"/>
              <w:right w:val="single" w:sz="1" w:space="0" w:color="D8D8D8"/>
            </w:tcBorders>
            <w:shd w:fill="EBF0F5"/>
          </w:tcPr>
          <w:p>
            <w:pPr>
              <w:jc w:val="center"/>
            </w:pPr>
            <w:r>
              <w:rPr>
                <w:rFonts w:ascii="Times New Roman" w:hAnsi="Times New Roman"/>
                <w:b/>
                <w:sz w:val="21"/>
              </w:rPr>
              <w:t>\textbf{Uncertainty?}</w:t>
            </w:r>
          </w:p>
        </w:tc>
        <w:tc>
          <w:tcPr>
            <w:tcW w:type="dxa" w:w="1084"/>
            <w:tcMar>
              <w:top w:w="80" w:type="dxa"/>
              <w:bottom w:w="80" w:type="dxa"/>
              <w:left w:w="120" w:type="dxa"/>
              <w:right w:w="120" w:type="dxa"/>
            </w:tcMar>
            <w:tcBorders>
              <w:top w:val="single" w:sz="2" w:space="0" w:color="B0B0B0"/>
              <w:left w:val="single" w:sz="1" w:space="0" w:color="D8D8D8"/>
              <w:bottom w:val="single" w:sz="2" w:space="0" w:color="B0B0B0"/>
              <w:right w:val="single" w:sz="1" w:space="0" w:color="D8D8D8"/>
            </w:tcBorders>
            <w:shd w:fill="EBF0F5"/>
          </w:tcPr>
          <w:p>
            <w:pPr>
              <w:jc w:val="center"/>
            </w:pPr>
            <w:r>
              <w:rPr>
                <w:rFonts w:ascii="Times New Roman" w:hAnsi="Times New Roman"/>
                <w:b/>
                <w:sz w:val="21"/>
              </w:rPr>
              <w:t>\textbf{Multimodal?}</w:t>
            </w:r>
          </w:p>
        </w:tc>
      </w:tr>
      <w:tr>
        <w:tc>
          <w:tcPr>
            <w:tcW w:type="dxa" w:w="1084"/>
            <w:tcMar>
              <w:top w:w="80" w:type="dxa"/>
              <w:bottom w:w="80" w:type="dxa"/>
              <w:left w:w="120" w:type="dxa"/>
              <w:right w:w="120" w:type="dxa"/>
            </w:tcMar>
            <w:tcBorders>
              <w:top w:val="single" w:sz="2" w:space="0" w:color="B0B0B0"/>
              <w:left w:val="single" w:sz="1" w:space="0" w:color="D8D8D8"/>
              <w:bottom w:val="single" w:sz="2" w:space="0" w:color="B0B0B0"/>
              <w:right w:val="single" w:sz="1" w:space="0" w:color="D8D8D8"/>
            </w:tcBorders>
          </w:tcPr>
          <w:p>
            <w:pPr>
              <w:jc w:val="left"/>
            </w:pPr>
            <w:r>
              <w:rPr>
                <w:rFonts w:ascii="Times New Roman" w:hAnsi="Times New Roman"/>
                <w:sz w:val="20"/>
              </w:rPr>
              <w:t>Krishnan et al. (2009) [krishnan2009automated]</w:t>
            </w:r>
          </w:p>
        </w:tc>
        <w:tc>
          <w:tcPr>
            <w:tcW w:type="dxa" w:w="1084"/>
            <w:tcMar>
              <w:top w:w="80" w:type="dxa"/>
              <w:bottom w:w="80" w:type="dxa"/>
              <w:left w:w="120" w:type="dxa"/>
              <w:right w:w="120" w:type="dxa"/>
            </w:tcMar>
            <w:tcBorders>
              <w:top w:val="single" w:sz="2" w:space="0" w:color="B0B0B0"/>
              <w:left w:val="single" w:sz="1" w:space="0" w:color="D8D8D8"/>
              <w:bottom w:val="single" w:sz="2" w:space="0" w:color="B0B0B0"/>
              <w:right w:val="single" w:sz="1" w:space="0" w:color="D8D8D8"/>
            </w:tcBorders>
          </w:tcPr>
          <w:p>
            <w:pPr>
              <w:jc w:val="left"/>
            </w:pPr>
            <w:r>
              <w:rPr>
                <w:rFonts w:ascii="Times New Roman" w:hAnsi="Times New Roman"/>
                <w:sz w:val="20"/>
              </w:rPr>
              <w:t>Histology</w:t>
            </w:r>
          </w:p>
        </w:tc>
        <w:tc>
          <w:tcPr>
            <w:tcW w:type="dxa" w:w="1084"/>
            <w:tcMar>
              <w:top w:w="80" w:type="dxa"/>
              <w:bottom w:w="80" w:type="dxa"/>
              <w:left w:w="120" w:type="dxa"/>
              <w:right w:w="120" w:type="dxa"/>
            </w:tcMar>
            <w:tcBorders>
              <w:top w:val="single" w:sz="2" w:space="0" w:color="B0B0B0"/>
              <w:left w:val="single" w:sz="1" w:space="0" w:color="D8D8D8"/>
              <w:bottom w:val="single" w:sz="2" w:space="0" w:color="B0B0B0"/>
              <w:right w:val="single" w:sz="1" w:space="0" w:color="D8D8D8"/>
            </w:tcBorders>
          </w:tcPr>
          <w:p>
            <w:pPr>
              <w:jc w:val="left"/>
            </w:pPr>
            <w:r>
              <w:rPr>
                <w:rFonts w:ascii="Times New Roman" w:hAnsi="Times New Roman"/>
                <w:sz w:val="20"/>
              </w:rPr>
              <w:t>GLCM + SVM</w:t>
            </w:r>
          </w:p>
        </w:tc>
        <w:tc>
          <w:tcPr>
            <w:tcW w:type="dxa" w:w="1084"/>
            <w:tcMar>
              <w:top w:w="80" w:type="dxa"/>
              <w:bottom w:w="80" w:type="dxa"/>
              <w:left w:w="120" w:type="dxa"/>
              <w:right w:w="120" w:type="dxa"/>
            </w:tcMar>
            <w:tcBorders>
              <w:top w:val="single" w:sz="2" w:space="0" w:color="B0B0B0"/>
              <w:left w:val="single" w:sz="1" w:space="0" w:color="D8D8D8"/>
              <w:bottom w:val="single" w:sz="2" w:space="0" w:color="B0B0B0"/>
              <w:right w:val="single" w:sz="1" w:space="0" w:color="D8D8D8"/>
            </w:tcBorders>
          </w:tcPr>
          <w:p>
            <w:pPr>
              <w:jc w:val="left"/>
            </w:pPr>
            <w:r>
              <w:rPr>
                <w:rFonts w:ascii="Times New Roman" w:hAnsi="Times New Roman"/>
                <w:sz w:val="20"/>
              </w:rPr>
              <w:t>120</w:t>
            </w:r>
          </w:p>
        </w:tc>
        <w:tc>
          <w:tcPr>
            <w:tcW w:type="dxa" w:w="1084"/>
            <w:tcMar>
              <w:top w:w="80" w:type="dxa"/>
              <w:bottom w:w="80" w:type="dxa"/>
              <w:left w:w="120" w:type="dxa"/>
              <w:right w:w="120" w:type="dxa"/>
            </w:tcMar>
            <w:tcBorders>
              <w:top w:val="single" w:sz="2" w:space="0" w:color="B0B0B0"/>
              <w:left w:val="single" w:sz="1" w:space="0" w:color="D8D8D8"/>
              <w:bottom w:val="single" w:sz="2" w:space="0" w:color="B0B0B0"/>
              <w:right w:val="single" w:sz="1" w:space="0" w:color="D8D8D8"/>
            </w:tcBorders>
          </w:tcPr>
          <w:p>
            <w:pPr>
              <w:jc w:val="left"/>
            </w:pPr>
            <w:r>
              <w:rPr>
                <w:rFonts w:ascii="Times New Roman" w:hAnsi="Times New Roman"/>
                <w:sz w:val="20"/>
              </w:rPr>
              <w:t>Acc: 81.2%</w:t>
            </w:r>
          </w:p>
        </w:tc>
        <w:tc>
          <w:tcPr>
            <w:tcW w:type="dxa" w:w="1084"/>
            <w:tcMar>
              <w:top w:w="80" w:type="dxa"/>
              <w:bottom w:w="80" w:type="dxa"/>
              <w:left w:w="120" w:type="dxa"/>
              <w:right w:w="120" w:type="dxa"/>
            </w:tcMar>
            <w:tcBorders>
              <w:top w:val="single" w:sz="2" w:space="0" w:color="B0B0B0"/>
              <w:left w:val="single" w:sz="1" w:space="0" w:color="D8D8D8"/>
              <w:bottom w:val="single" w:sz="2" w:space="0" w:color="B0B0B0"/>
              <w:right w:val="single" w:sz="1" w:space="0" w:color="D8D8D8"/>
            </w:tcBorders>
          </w:tcPr>
          <w:p>
            <w:pPr>
              <w:jc w:val="left"/>
            </w:pPr>
            <w:r>
              <w:rPr>
                <w:rFonts w:ascii="Times New Roman" w:hAnsi="Times New Roman"/>
                <w:sz w:val="20"/>
              </w:rPr>
              <w:t>No</w:t>
            </w:r>
          </w:p>
        </w:tc>
        <w:tc>
          <w:tcPr>
            <w:tcW w:type="dxa" w:w="1084"/>
            <w:tcMar>
              <w:top w:w="80" w:type="dxa"/>
              <w:bottom w:w="80" w:type="dxa"/>
              <w:left w:w="120" w:type="dxa"/>
              <w:right w:w="120" w:type="dxa"/>
            </w:tcMar>
            <w:tcBorders>
              <w:top w:val="single" w:sz="2" w:space="0" w:color="B0B0B0"/>
              <w:left w:val="single" w:sz="1" w:space="0" w:color="D8D8D8"/>
              <w:bottom w:val="single" w:sz="2" w:space="0" w:color="B0B0B0"/>
              <w:right w:val="single" w:sz="1" w:space="0" w:color="D8D8D8"/>
            </w:tcBorders>
          </w:tcPr>
          <w:p>
            <w:pPr>
              <w:jc w:val="left"/>
            </w:pPr>
            <w:r>
              <w:rPr>
                <w:rFonts w:ascii="Times New Roman" w:hAnsi="Times New Roman"/>
                <w:sz w:val="20"/>
              </w:rPr>
              <w:t>No</w:t>
            </w:r>
          </w:p>
        </w:tc>
        <w:tc>
          <w:tcPr>
            <w:tcW w:type="dxa" w:w="1084"/>
            <w:tcMar>
              <w:top w:w="80" w:type="dxa"/>
              <w:bottom w:w="80" w:type="dxa"/>
              <w:left w:w="120" w:type="dxa"/>
              <w:right w:w="120" w:type="dxa"/>
            </w:tcMar>
            <w:tcBorders>
              <w:top w:val="single" w:sz="2" w:space="0" w:color="B0B0B0"/>
              <w:left w:val="single" w:sz="1" w:space="0" w:color="D8D8D8"/>
              <w:bottom w:val="single" w:sz="2" w:space="0" w:color="B0B0B0"/>
              <w:right w:val="single" w:sz="1" w:space="0" w:color="D8D8D8"/>
            </w:tcBorders>
          </w:tcPr>
          <w:p>
            <w:pPr>
              <w:jc w:val="left"/>
            </w:pPr>
            <w:r>
              <w:rPr>
                <w:rFonts w:ascii="Times New Roman" w:hAnsi="Times New Roman"/>
                <w:sz w:val="20"/>
              </w:rPr>
            </w:r>
          </w:p>
        </w:tc>
      </w:tr>
      <w:tr>
        <w:tc>
          <w:tcPr>
            <w:tcW w:type="dxa" w:w="1084"/>
            <w:tcMar>
              <w:top w:w="80" w:type="dxa"/>
              <w:bottom w:w="80" w:type="dxa"/>
              <w:left w:w="120" w:type="dxa"/>
              <w:right w:w="120" w:type="dxa"/>
            </w:tcMar>
            <w:tcBorders>
              <w:top w:val="single" w:sz="2" w:space="0" w:color="B0B0B0"/>
              <w:left w:val="single" w:sz="1" w:space="0" w:color="D8D8D8"/>
              <w:bottom w:val="single" w:sz="2" w:space="0" w:color="B0B0B0"/>
              <w:right w:val="single" w:sz="1" w:space="0" w:color="D8D8D8"/>
            </w:tcBorders>
          </w:tcPr>
          <w:p>
            <w:pPr>
              <w:jc w:val="left"/>
            </w:pPr>
            <w:r>
              <w:rPr>
                <w:rFonts w:ascii="Times New Roman" w:hAnsi="Times New Roman"/>
                <w:sz w:val="20"/>
              </w:rPr>
              <w:t>Sunny et al. (2014) [sunny2014diagnostic]</w:t>
            </w:r>
          </w:p>
        </w:tc>
        <w:tc>
          <w:tcPr>
            <w:tcW w:type="dxa" w:w="1084"/>
            <w:tcMar>
              <w:top w:w="80" w:type="dxa"/>
              <w:bottom w:w="80" w:type="dxa"/>
              <w:left w:w="120" w:type="dxa"/>
              <w:right w:w="120" w:type="dxa"/>
            </w:tcMar>
            <w:tcBorders>
              <w:top w:val="single" w:sz="2" w:space="0" w:color="B0B0B0"/>
              <w:left w:val="single" w:sz="1" w:space="0" w:color="D8D8D8"/>
              <w:bottom w:val="single" w:sz="2" w:space="0" w:color="B0B0B0"/>
              <w:right w:val="single" w:sz="1" w:space="0" w:color="D8D8D8"/>
            </w:tcBorders>
          </w:tcPr>
          <w:p>
            <w:pPr>
              <w:jc w:val="left"/>
            </w:pPr>
            <w:r>
              <w:rPr>
                <w:rFonts w:ascii="Times New Roman" w:hAnsi="Times New Roman"/>
                <w:sz w:val="20"/>
              </w:rPr>
              <w:t>Intraoral</w:t>
            </w:r>
          </w:p>
        </w:tc>
        <w:tc>
          <w:tcPr>
            <w:tcW w:type="dxa" w:w="1084"/>
            <w:tcMar>
              <w:top w:w="80" w:type="dxa"/>
              <w:bottom w:w="80" w:type="dxa"/>
              <w:left w:w="120" w:type="dxa"/>
              <w:right w:w="120" w:type="dxa"/>
            </w:tcMar>
            <w:tcBorders>
              <w:top w:val="single" w:sz="2" w:space="0" w:color="B0B0B0"/>
              <w:left w:val="single" w:sz="1" w:space="0" w:color="D8D8D8"/>
              <w:bottom w:val="single" w:sz="2" w:space="0" w:color="B0B0B0"/>
              <w:right w:val="single" w:sz="1" w:space="0" w:color="D8D8D8"/>
            </w:tcBorders>
          </w:tcPr>
          <w:p>
            <w:pPr>
              <w:jc w:val="left"/>
            </w:pPr>
            <w:r>
              <w:rPr>
                <w:rFonts w:ascii="Times New Roman" w:hAnsi="Times New Roman"/>
                <w:sz w:val="20"/>
              </w:rPr>
              <w:t>LBP + SVM</w:t>
            </w:r>
          </w:p>
        </w:tc>
        <w:tc>
          <w:tcPr>
            <w:tcW w:type="dxa" w:w="1084"/>
            <w:tcMar>
              <w:top w:w="80" w:type="dxa"/>
              <w:bottom w:w="80" w:type="dxa"/>
              <w:left w:w="120" w:type="dxa"/>
              <w:right w:w="120" w:type="dxa"/>
            </w:tcMar>
            <w:tcBorders>
              <w:top w:val="single" w:sz="2" w:space="0" w:color="B0B0B0"/>
              <w:left w:val="single" w:sz="1" w:space="0" w:color="D8D8D8"/>
              <w:bottom w:val="single" w:sz="2" w:space="0" w:color="B0B0B0"/>
              <w:right w:val="single" w:sz="1" w:space="0" w:color="D8D8D8"/>
            </w:tcBorders>
          </w:tcPr>
          <w:p>
            <w:pPr>
              <w:jc w:val="left"/>
            </w:pPr>
            <w:r>
              <w:rPr>
                <w:rFonts w:ascii="Times New Roman" w:hAnsi="Times New Roman"/>
                <w:sz w:val="20"/>
              </w:rPr>
              <w:t>210</w:t>
            </w:r>
          </w:p>
        </w:tc>
        <w:tc>
          <w:tcPr>
            <w:tcW w:type="dxa" w:w="1084"/>
            <w:tcMar>
              <w:top w:w="80" w:type="dxa"/>
              <w:bottom w:w="80" w:type="dxa"/>
              <w:left w:w="120" w:type="dxa"/>
              <w:right w:w="120" w:type="dxa"/>
            </w:tcMar>
            <w:tcBorders>
              <w:top w:val="single" w:sz="2" w:space="0" w:color="B0B0B0"/>
              <w:left w:val="single" w:sz="1" w:space="0" w:color="D8D8D8"/>
              <w:bottom w:val="single" w:sz="2" w:space="0" w:color="B0B0B0"/>
              <w:right w:val="single" w:sz="1" w:space="0" w:color="D8D8D8"/>
            </w:tcBorders>
          </w:tcPr>
          <w:p>
            <w:pPr>
              <w:jc w:val="left"/>
            </w:pPr>
            <w:r>
              <w:rPr>
                <w:rFonts w:ascii="Times New Roman" w:hAnsi="Times New Roman"/>
                <w:sz w:val="20"/>
              </w:rPr>
              <w:t>Sens: 84.2%</w:t>
            </w:r>
          </w:p>
        </w:tc>
        <w:tc>
          <w:tcPr>
            <w:tcW w:type="dxa" w:w="1084"/>
            <w:tcMar>
              <w:top w:w="80" w:type="dxa"/>
              <w:bottom w:w="80" w:type="dxa"/>
              <w:left w:w="120" w:type="dxa"/>
              <w:right w:w="120" w:type="dxa"/>
            </w:tcMar>
            <w:tcBorders>
              <w:top w:val="single" w:sz="2" w:space="0" w:color="B0B0B0"/>
              <w:left w:val="single" w:sz="1" w:space="0" w:color="D8D8D8"/>
              <w:bottom w:val="single" w:sz="2" w:space="0" w:color="B0B0B0"/>
              <w:right w:val="single" w:sz="1" w:space="0" w:color="D8D8D8"/>
            </w:tcBorders>
          </w:tcPr>
          <w:p>
            <w:pPr>
              <w:jc w:val="left"/>
            </w:pPr>
            <w:r>
              <w:rPr>
                <w:rFonts w:ascii="Times New Roman" w:hAnsi="Times New Roman"/>
                <w:sz w:val="20"/>
              </w:rPr>
              <w:t>No</w:t>
            </w:r>
          </w:p>
        </w:tc>
        <w:tc>
          <w:tcPr>
            <w:tcW w:type="dxa" w:w="1084"/>
            <w:tcMar>
              <w:top w:w="80" w:type="dxa"/>
              <w:bottom w:w="80" w:type="dxa"/>
              <w:left w:w="120" w:type="dxa"/>
              <w:right w:w="120" w:type="dxa"/>
            </w:tcMar>
            <w:tcBorders>
              <w:top w:val="single" w:sz="2" w:space="0" w:color="B0B0B0"/>
              <w:left w:val="single" w:sz="1" w:space="0" w:color="D8D8D8"/>
              <w:bottom w:val="single" w:sz="2" w:space="0" w:color="B0B0B0"/>
              <w:right w:val="single" w:sz="1" w:space="0" w:color="D8D8D8"/>
            </w:tcBorders>
          </w:tcPr>
          <w:p>
            <w:pPr>
              <w:jc w:val="left"/>
            </w:pPr>
            <w:r>
              <w:rPr>
                <w:rFonts w:ascii="Times New Roman" w:hAnsi="Times New Roman"/>
                <w:sz w:val="20"/>
              </w:rPr>
              <w:t>No</w:t>
            </w:r>
          </w:p>
        </w:tc>
        <w:tc>
          <w:tcPr>
            <w:tcW w:type="dxa" w:w="1084"/>
            <w:tcMar>
              <w:top w:w="80" w:type="dxa"/>
              <w:bottom w:w="80" w:type="dxa"/>
              <w:left w:w="120" w:type="dxa"/>
              <w:right w:w="120" w:type="dxa"/>
            </w:tcMar>
            <w:tcBorders>
              <w:top w:val="single" w:sz="2" w:space="0" w:color="B0B0B0"/>
              <w:left w:val="single" w:sz="1" w:space="0" w:color="D8D8D8"/>
              <w:bottom w:val="single" w:sz="2" w:space="0" w:color="B0B0B0"/>
              <w:right w:val="single" w:sz="1" w:space="0" w:color="D8D8D8"/>
            </w:tcBorders>
          </w:tcPr>
          <w:p>
            <w:pPr>
              <w:jc w:val="left"/>
            </w:pPr>
            <w:r>
              <w:rPr>
                <w:rFonts w:ascii="Times New Roman" w:hAnsi="Times New Roman"/>
                <w:sz w:val="20"/>
              </w:rPr>
            </w:r>
          </w:p>
        </w:tc>
      </w:tr>
      <w:tr>
        <w:tc>
          <w:tcPr>
            <w:tcW w:type="dxa" w:w="1084"/>
            <w:tcMar>
              <w:top w:w="80" w:type="dxa"/>
              <w:bottom w:w="80" w:type="dxa"/>
              <w:left w:w="120" w:type="dxa"/>
              <w:right w:w="120" w:type="dxa"/>
            </w:tcMar>
            <w:tcBorders>
              <w:top w:val="single" w:sz="2" w:space="0" w:color="B0B0B0"/>
              <w:left w:val="single" w:sz="1" w:space="0" w:color="D8D8D8"/>
              <w:bottom w:val="single" w:sz="2" w:space="0" w:color="B0B0B0"/>
              <w:right w:val="single" w:sz="1" w:space="0" w:color="D8D8D8"/>
            </w:tcBorders>
          </w:tcPr>
          <w:p>
            <w:pPr>
              <w:jc w:val="left"/>
            </w:pPr>
            <w:r>
              <w:rPr>
                <w:rFonts w:ascii="Times New Roman" w:hAnsi="Times New Roman"/>
                <w:sz w:val="20"/>
              </w:rPr>
              <w:t>Devraj et al. (2016) [devraj2016morphometric]</w:t>
            </w:r>
          </w:p>
        </w:tc>
        <w:tc>
          <w:tcPr>
            <w:tcW w:type="dxa" w:w="1084"/>
            <w:tcMar>
              <w:top w:w="80" w:type="dxa"/>
              <w:bottom w:w="80" w:type="dxa"/>
              <w:left w:w="120" w:type="dxa"/>
              <w:right w:w="120" w:type="dxa"/>
            </w:tcMar>
            <w:tcBorders>
              <w:top w:val="single" w:sz="2" w:space="0" w:color="B0B0B0"/>
              <w:left w:val="single" w:sz="1" w:space="0" w:color="D8D8D8"/>
              <w:bottom w:val="single" w:sz="2" w:space="0" w:color="B0B0B0"/>
              <w:right w:val="single" w:sz="1" w:space="0" w:color="D8D8D8"/>
            </w:tcBorders>
          </w:tcPr>
          <w:p>
            <w:pPr>
              <w:jc w:val="left"/>
            </w:pPr>
            <w:r>
              <w:rPr>
                <w:rFonts w:ascii="Times New Roman" w:hAnsi="Times New Roman"/>
                <w:sz w:val="20"/>
              </w:rPr>
              <w:t>Photographic</w:t>
            </w:r>
          </w:p>
        </w:tc>
        <w:tc>
          <w:tcPr>
            <w:tcW w:type="dxa" w:w="1084"/>
            <w:tcMar>
              <w:top w:w="80" w:type="dxa"/>
              <w:bottom w:w="80" w:type="dxa"/>
              <w:left w:w="120" w:type="dxa"/>
              <w:right w:w="120" w:type="dxa"/>
            </w:tcMar>
            <w:tcBorders>
              <w:top w:val="single" w:sz="2" w:space="0" w:color="B0B0B0"/>
              <w:left w:val="single" w:sz="1" w:space="0" w:color="D8D8D8"/>
              <w:bottom w:val="single" w:sz="2" w:space="0" w:color="B0B0B0"/>
              <w:right w:val="single" w:sz="1" w:space="0" w:color="D8D8D8"/>
            </w:tcBorders>
          </w:tcPr>
          <w:p>
            <w:pPr>
              <w:jc w:val="left"/>
            </w:pPr>
            <w:r>
              <w:rPr>
                <w:rFonts w:ascii="Times New Roman" w:hAnsi="Times New Roman"/>
                <w:sz w:val="20"/>
              </w:rPr>
              <w:t>Snakes + RF</w:t>
            </w:r>
          </w:p>
        </w:tc>
        <w:tc>
          <w:tcPr>
            <w:tcW w:type="dxa" w:w="1084"/>
            <w:tcMar>
              <w:top w:w="80" w:type="dxa"/>
              <w:bottom w:w="80" w:type="dxa"/>
              <w:left w:w="120" w:type="dxa"/>
              <w:right w:w="120" w:type="dxa"/>
            </w:tcMar>
            <w:tcBorders>
              <w:top w:val="single" w:sz="2" w:space="0" w:color="B0B0B0"/>
              <w:left w:val="single" w:sz="1" w:space="0" w:color="D8D8D8"/>
              <w:bottom w:val="single" w:sz="2" w:space="0" w:color="B0B0B0"/>
              <w:right w:val="single" w:sz="1" w:space="0" w:color="D8D8D8"/>
            </w:tcBorders>
          </w:tcPr>
          <w:p>
            <w:pPr>
              <w:jc w:val="left"/>
            </w:pPr>
            <w:r>
              <w:rPr>
                <w:rFonts w:ascii="Times New Roman" w:hAnsi="Times New Roman"/>
                <w:sz w:val="20"/>
              </w:rPr>
              <w:t>180</w:t>
            </w:r>
          </w:p>
        </w:tc>
        <w:tc>
          <w:tcPr>
            <w:tcW w:type="dxa" w:w="1084"/>
            <w:tcMar>
              <w:top w:w="80" w:type="dxa"/>
              <w:bottom w:w="80" w:type="dxa"/>
              <w:left w:w="120" w:type="dxa"/>
              <w:right w:w="120" w:type="dxa"/>
            </w:tcMar>
            <w:tcBorders>
              <w:top w:val="single" w:sz="2" w:space="0" w:color="B0B0B0"/>
              <w:left w:val="single" w:sz="1" w:space="0" w:color="D8D8D8"/>
              <w:bottom w:val="single" w:sz="2" w:space="0" w:color="B0B0B0"/>
              <w:right w:val="single" w:sz="1" w:space="0" w:color="D8D8D8"/>
            </w:tcBorders>
          </w:tcPr>
          <w:p>
            <w:pPr>
              <w:jc w:val="left"/>
            </w:pPr>
            <w:r>
              <w:rPr>
                <w:rFonts w:ascii="Times New Roman" w:hAnsi="Times New Roman"/>
                <w:sz w:val="20"/>
              </w:rPr>
              <w:t>Acc: 81.5%</w:t>
            </w:r>
          </w:p>
        </w:tc>
        <w:tc>
          <w:tcPr>
            <w:tcW w:type="dxa" w:w="1084"/>
            <w:tcMar>
              <w:top w:w="80" w:type="dxa"/>
              <w:bottom w:w="80" w:type="dxa"/>
              <w:left w:w="120" w:type="dxa"/>
              <w:right w:w="120" w:type="dxa"/>
            </w:tcMar>
            <w:tcBorders>
              <w:top w:val="single" w:sz="2" w:space="0" w:color="B0B0B0"/>
              <w:left w:val="single" w:sz="1" w:space="0" w:color="D8D8D8"/>
              <w:bottom w:val="single" w:sz="2" w:space="0" w:color="B0B0B0"/>
              <w:right w:val="single" w:sz="1" w:space="0" w:color="D8D8D8"/>
            </w:tcBorders>
          </w:tcPr>
          <w:p>
            <w:pPr>
              <w:jc w:val="left"/>
            </w:pPr>
            <w:r>
              <w:rPr>
                <w:rFonts w:ascii="Times New Roman" w:hAnsi="Times New Roman"/>
                <w:sz w:val="20"/>
              </w:rPr>
              <w:t>No</w:t>
            </w:r>
          </w:p>
        </w:tc>
        <w:tc>
          <w:tcPr>
            <w:tcW w:type="dxa" w:w="1084"/>
            <w:tcMar>
              <w:top w:w="80" w:type="dxa"/>
              <w:bottom w:w="80" w:type="dxa"/>
              <w:left w:w="120" w:type="dxa"/>
              <w:right w:w="120" w:type="dxa"/>
            </w:tcMar>
            <w:tcBorders>
              <w:top w:val="single" w:sz="2" w:space="0" w:color="B0B0B0"/>
              <w:left w:val="single" w:sz="1" w:space="0" w:color="D8D8D8"/>
              <w:bottom w:val="single" w:sz="2" w:space="0" w:color="B0B0B0"/>
              <w:right w:val="single" w:sz="1" w:space="0" w:color="D8D8D8"/>
            </w:tcBorders>
          </w:tcPr>
          <w:p>
            <w:pPr>
              <w:jc w:val="left"/>
            </w:pPr>
            <w:r>
              <w:rPr>
                <w:rFonts w:ascii="Times New Roman" w:hAnsi="Times New Roman"/>
                <w:sz w:val="20"/>
              </w:rPr>
              <w:t>No</w:t>
            </w:r>
          </w:p>
        </w:tc>
        <w:tc>
          <w:tcPr>
            <w:tcW w:type="dxa" w:w="1084"/>
            <w:tcMar>
              <w:top w:w="80" w:type="dxa"/>
              <w:bottom w:w="80" w:type="dxa"/>
              <w:left w:w="120" w:type="dxa"/>
              <w:right w:w="120" w:type="dxa"/>
            </w:tcMar>
            <w:tcBorders>
              <w:top w:val="single" w:sz="2" w:space="0" w:color="B0B0B0"/>
              <w:left w:val="single" w:sz="1" w:space="0" w:color="D8D8D8"/>
              <w:bottom w:val="single" w:sz="2" w:space="0" w:color="B0B0B0"/>
              <w:right w:val="single" w:sz="1" w:space="0" w:color="D8D8D8"/>
            </w:tcBorders>
          </w:tcPr>
          <w:p>
            <w:pPr>
              <w:jc w:val="left"/>
            </w:pPr>
            <w:r>
              <w:rPr>
                <w:rFonts w:ascii="Times New Roman" w:hAnsi="Times New Roman"/>
                <w:sz w:val="20"/>
              </w:rPr>
            </w:r>
          </w:p>
        </w:tc>
      </w:tr>
      <w:tr>
        <w:tc>
          <w:tcPr>
            <w:tcW w:type="dxa" w:w="1084"/>
            <w:tcMar>
              <w:top w:w="80" w:type="dxa"/>
              <w:bottom w:w="80" w:type="dxa"/>
              <w:left w:w="120" w:type="dxa"/>
              <w:right w:w="120" w:type="dxa"/>
            </w:tcMar>
            <w:tcBorders>
              <w:top w:val="single" w:sz="2" w:space="0" w:color="B0B0B0"/>
              <w:left w:val="single" w:sz="1" w:space="0" w:color="D8D8D8"/>
              <w:bottom w:val="single" w:sz="2" w:space="0" w:color="B0B0B0"/>
              <w:right w:val="single" w:sz="1" w:space="0" w:color="D8D8D8"/>
            </w:tcBorders>
          </w:tcPr>
          <w:p>
            <w:pPr>
              <w:jc w:val="left"/>
            </w:pPr>
            <w:r>
              <w:rPr>
                <w:rFonts w:ascii="Times New Roman" w:hAnsi="Times New Roman"/>
                <w:sz w:val="20"/>
              </w:rPr>
              <w:t>Esteva et al. (2017) [esteva2017dermatologist]</w:t>
            </w:r>
          </w:p>
        </w:tc>
        <w:tc>
          <w:tcPr>
            <w:tcW w:type="dxa" w:w="1084"/>
            <w:tcMar>
              <w:top w:w="80" w:type="dxa"/>
              <w:bottom w:w="80" w:type="dxa"/>
              <w:left w:w="120" w:type="dxa"/>
              <w:right w:w="120" w:type="dxa"/>
            </w:tcMar>
            <w:tcBorders>
              <w:top w:val="single" w:sz="2" w:space="0" w:color="B0B0B0"/>
              <w:left w:val="single" w:sz="1" w:space="0" w:color="D8D8D8"/>
              <w:bottom w:val="single" w:sz="2" w:space="0" w:color="B0B0B0"/>
              <w:right w:val="single" w:sz="1" w:space="0" w:color="D8D8D8"/>
            </w:tcBorders>
          </w:tcPr>
          <w:p>
            <w:pPr>
              <w:jc w:val="left"/>
            </w:pPr>
            <w:r>
              <w:rPr>
                <w:rFonts w:ascii="Times New Roman" w:hAnsi="Times New Roman"/>
                <w:sz w:val="20"/>
              </w:rPr>
              <w:t>Dermoscopy</w:t>
            </w:r>
          </w:p>
        </w:tc>
        <w:tc>
          <w:tcPr>
            <w:tcW w:type="dxa" w:w="1084"/>
            <w:tcMar>
              <w:top w:w="80" w:type="dxa"/>
              <w:bottom w:w="80" w:type="dxa"/>
              <w:left w:w="120" w:type="dxa"/>
              <w:right w:w="120" w:type="dxa"/>
            </w:tcMar>
            <w:tcBorders>
              <w:top w:val="single" w:sz="2" w:space="0" w:color="B0B0B0"/>
              <w:left w:val="single" w:sz="1" w:space="0" w:color="D8D8D8"/>
              <w:bottom w:val="single" w:sz="2" w:space="0" w:color="B0B0B0"/>
              <w:right w:val="single" w:sz="1" w:space="0" w:color="D8D8D8"/>
            </w:tcBorders>
          </w:tcPr>
          <w:p>
            <w:pPr>
              <w:jc w:val="left"/>
            </w:pPr>
            <w:r>
              <w:rPr>
                <w:rFonts w:ascii="Times New Roman" w:hAnsi="Times New Roman"/>
                <w:sz w:val="20"/>
              </w:rPr>
              <w:t>Inception-v3</w:t>
            </w:r>
          </w:p>
        </w:tc>
        <w:tc>
          <w:tcPr>
            <w:tcW w:type="dxa" w:w="1084"/>
            <w:tcMar>
              <w:top w:w="80" w:type="dxa"/>
              <w:bottom w:w="80" w:type="dxa"/>
              <w:left w:w="120" w:type="dxa"/>
              <w:right w:w="120" w:type="dxa"/>
            </w:tcMar>
            <w:tcBorders>
              <w:top w:val="single" w:sz="2" w:space="0" w:color="B0B0B0"/>
              <w:left w:val="single" w:sz="1" w:space="0" w:color="D8D8D8"/>
              <w:bottom w:val="single" w:sz="2" w:space="0" w:color="B0B0B0"/>
              <w:right w:val="single" w:sz="1" w:space="0" w:color="D8D8D8"/>
            </w:tcBorders>
          </w:tcPr>
          <w:p>
            <w:pPr>
              <w:jc w:val="left"/>
            </w:pPr>
            <w:r>
              <w:rPr>
                <w:rFonts w:ascii="Times New Roman" w:hAnsi="Times New Roman"/>
                <w:sz w:val="20"/>
              </w:rPr>
              <w:t>129,450</w:t>
            </w:r>
          </w:p>
        </w:tc>
        <w:tc>
          <w:tcPr>
            <w:tcW w:type="dxa" w:w="1084"/>
            <w:tcMar>
              <w:top w:w="80" w:type="dxa"/>
              <w:bottom w:w="80" w:type="dxa"/>
              <w:left w:w="120" w:type="dxa"/>
              <w:right w:w="120" w:type="dxa"/>
            </w:tcMar>
            <w:tcBorders>
              <w:top w:val="single" w:sz="2" w:space="0" w:color="B0B0B0"/>
              <w:left w:val="single" w:sz="1" w:space="0" w:color="D8D8D8"/>
              <w:bottom w:val="single" w:sz="2" w:space="0" w:color="B0B0B0"/>
              <w:right w:val="single" w:sz="1" w:space="0" w:color="D8D8D8"/>
            </w:tcBorders>
          </w:tcPr>
          <w:p>
            <w:pPr>
              <w:jc w:val="left"/>
            </w:pPr>
            <w:r>
              <w:rPr>
                <w:rFonts w:ascii="Times New Roman" w:hAnsi="Times New Roman"/>
                <w:sz w:val="20"/>
              </w:rPr>
              <w:t>AUROC: 0.96</w:t>
            </w:r>
          </w:p>
        </w:tc>
        <w:tc>
          <w:tcPr>
            <w:tcW w:type="dxa" w:w="1084"/>
            <w:tcMar>
              <w:top w:w="80" w:type="dxa"/>
              <w:bottom w:w="80" w:type="dxa"/>
              <w:left w:w="120" w:type="dxa"/>
              <w:right w:w="120" w:type="dxa"/>
            </w:tcMar>
            <w:tcBorders>
              <w:top w:val="single" w:sz="2" w:space="0" w:color="B0B0B0"/>
              <w:left w:val="single" w:sz="1" w:space="0" w:color="D8D8D8"/>
              <w:bottom w:val="single" w:sz="2" w:space="0" w:color="B0B0B0"/>
              <w:right w:val="single" w:sz="1" w:space="0" w:color="D8D8D8"/>
            </w:tcBorders>
          </w:tcPr>
          <w:p>
            <w:pPr>
              <w:jc w:val="left"/>
            </w:pPr>
            <w:r>
              <w:rPr>
                <w:rFonts w:ascii="Times New Roman" w:hAnsi="Times New Roman"/>
                <w:sz w:val="20"/>
              </w:rPr>
              <w:t>No</w:t>
            </w:r>
          </w:p>
        </w:tc>
        <w:tc>
          <w:tcPr>
            <w:tcW w:type="dxa" w:w="1084"/>
            <w:tcMar>
              <w:top w:w="80" w:type="dxa"/>
              <w:bottom w:w="80" w:type="dxa"/>
              <w:left w:w="120" w:type="dxa"/>
              <w:right w:w="120" w:type="dxa"/>
            </w:tcMar>
            <w:tcBorders>
              <w:top w:val="single" w:sz="2" w:space="0" w:color="B0B0B0"/>
              <w:left w:val="single" w:sz="1" w:space="0" w:color="D8D8D8"/>
              <w:bottom w:val="single" w:sz="2" w:space="0" w:color="B0B0B0"/>
              <w:right w:val="single" w:sz="1" w:space="0" w:color="D8D8D8"/>
            </w:tcBorders>
          </w:tcPr>
          <w:p>
            <w:pPr>
              <w:jc w:val="left"/>
            </w:pPr>
            <w:r>
              <w:rPr>
                <w:rFonts w:ascii="Times New Roman" w:hAnsi="Times New Roman"/>
                <w:sz w:val="20"/>
              </w:rPr>
              <w:t>No</w:t>
            </w:r>
          </w:p>
        </w:tc>
        <w:tc>
          <w:tcPr>
            <w:tcW w:type="dxa" w:w="1084"/>
            <w:tcMar>
              <w:top w:w="80" w:type="dxa"/>
              <w:bottom w:w="80" w:type="dxa"/>
              <w:left w:w="120" w:type="dxa"/>
              <w:right w:w="120" w:type="dxa"/>
            </w:tcMar>
            <w:tcBorders>
              <w:top w:val="single" w:sz="2" w:space="0" w:color="B0B0B0"/>
              <w:left w:val="single" w:sz="1" w:space="0" w:color="D8D8D8"/>
              <w:bottom w:val="single" w:sz="2" w:space="0" w:color="B0B0B0"/>
              <w:right w:val="single" w:sz="1" w:space="0" w:color="D8D8D8"/>
            </w:tcBorders>
          </w:tcPr>
          <w:p>
            <w:pPr>
              <w:jc w:val="left"/>
            </w:pPr>
            <w:r>
              <w:rPr>
                <w:rFonts w:ascii="Times New Roman" w:hAnsi="Times New Roman"/>
                <w:sz w:val="20"/>
              </w:rPr>
            </w:r>
          </w:p>
        </w:tc>
      </w:tr>
      <w:tr>
        <w:tc>
          <w:tcPr>
            <w:tcW w:type="dxa" w:w="1084"/>
            <w:tcMar>
              <w:top w:w="80" w:type="dxa"/>
              <w:bottom w:w="80" w:type="dxa"/>
              <w:left w:w="120" w:type="dxa"/>
              <w:right w:w="120" w:type="dxa"/>
            </w:tcMar>
            <w:tcBorders>
              <w:top w:val="single" w:sz="2" w:space="0" w:color="B0B0B0"/>
              <w:left w:val="single" w:sz="1" w:space="0" w:color="D8D8D8"/>
              <w:bottom w:val="single" w:sz="2" w:space="0" w:color="B0B0B0"/>
              <w:right w:val="single" w:sz="1" w:space="0" w:color="D8D8D8"/>
            </w:tcBorders>
          </w:tcPr>
          <w:p>
            <w:pPr>
              <w:jc w:val="left"/>
            </w:pPr>
            <w:r>
              <w:rPr>
                <w:rFonts w:ascii="Times New Roman" w:hAnsi="Times New Roman"/>
                <w:sz w:val="20"/>
              </w:rPr>
              <w:t>Guo et al. (2017) [guo2017calibration]</w:t>
            </w:r>
          </w:p>
        </w:tc>
        <w:tc>
          <w:tcPr>
            <w:tcW w:type="dxa" w:w="1084"/>
            <w:tcMar>
              <w:top w:w="80" w:type="dxa"/>
              <w:bottom w:w="80" w:type="dxa"/>
              <w:left w:w="120" w:type="dxa"/>
              <w:right w:w="120" w:type="dxa"/>
            </w:tcMar>
            <w:tcBorders>
              <w:top w:val="single" w:sz="2" w:space="0" w:color="B0B0B0"/>
              <w:left w:val="single" w:sz="1" w:space="0" w:color="D8D8D8"/>
              <w:bottom w:val="single" w:sz="2" w:space="0" w:color="B0B0B0"/>
              <w:right w:val="single" w:sz="1" w:space="0" w:color="D8D8D8"/>
            </w:tcBorders>
          </w:tcPr>
          <w:p>
            <w:pPr>
              <w:jc w:val="left"/>
            </w:pPr>
            <w:r>
              <w:rPr>
                <w:rFonts w:ascii="Times New Roman" w:hAnsi="Times New Roman"/>
                <w:sz w:val="20"/>
              </w:rPr>
              <w:t>Benchmarks</w:t>
            </w:r>
          </w:p>
        </w:tc>
        <w:tc>
          <w:tcPr>
            <w:tcW w:type="dxa" w:w="1084"/>
            <w:tcMar>
              <w:top w:w="80" w:type="dxa"/>
              <w:bottom w:w="80" w:type="dxa"/>
              <w:left w:w="120" w:type="dxa"/>
              <w:right w:w="120" w:type="dxa"/>
            </w:tcMar>
            <w:tcBorders>
              <w:top w:val="single" w:sz="2" w:space="0" w:color="B0B0B0"/>
              <w:left w:val="single" w:sz="1" w:space="0" w:color="D8D8D8"/>
              <w:bottom w:val="single" w:sz="2" w:space="0" w:color="B0B0B0"/>
              <w:right w:val="single" w:sz="1" w:space="0" w:color="D8D8D8"/>
            </w:tcBorders>
          </w:tcPr>
          <w:p>
            <w:pPr>
              <w:jc w:val="left"/>
            </w:pPr>
            <w:r>
              <w:rPr>
                <w:rFonts w:ascii="Times New Roman" w:hAnsi="Times New Roman"/>
                <w:sz w:val="20"/>
              </w:rPr>
              <w:t>Temp Scaling</w:t>
            </w:r>
          </w:p>
        </w:tc>
        <w:tc>
          <w:tcPr>
            <w:tcW w:type="dxa" w:w="1084"/>
            <w:tcMar>
              <w:top w:w="80" w:type="dxa"/>
              <w:bottom w:w="80" w:type="dxa"/>
              <w:left w:w="120" w:type="dxa"/>
              <w:right w:w="120" w:type="dxa"/>
            </w:tcMar>
            <w:tcBorders>
              <w:top w:val="single" w:sz="2" w:space="0" w:color="B0B0B0"/>
              <w:left w:val="single" w:sz="1" w:space="0" w:color="D8D8D8"/>
              <w:bottom w:val="single" w:sz="2" w:space="0" w:color="B0B0B0"/>
              <w:right w:val="single" w:sz="1" w:space="0" w:color="D8D8D8"/>
            </w:tcBorders>
          </w:tcPr>
          <w:p>
            <w:pPr>
              <w:jc w:val="left"/>
            </w:pPr>
            <w:r>
              <w:rPr>
                <w:rFonts w:ascii="Times New Roman" w:hAnsi="Times New Roman"/>
                <w:sz w:val="20"/>
              </w:rPr>
              <w:t>N/A</w:t>
            </w:r>
          </w:p>
        </w:tc>
        <w:tc>
          <w:tcPr>
            <w:tcW w:type="dxa" w:w="1084"/>
            <w:tcMar>
              <w:top w:w="80" w:type="dxa"/>
              <w:bottom w:w="80" w:type="dxa"/>
              <w:left w:w="120" w:type="dxa"/>
              <w:right w:w="120" w:type="dxa"/>
            </w:tcMar>
            <w:tcBorders>
              <w:top w:val="single" w:sz="2" w:space="0" w:color="B0B0B0"/>
              <w:left w:val="single" w:sz="1" w:space="0" w:color="D8D8D8"/>
              <w:bottom w:val="single" w:sz="2" w:space="0" w:color="B0B0B0"/>
              <w:right w:val="single" w:sz="1" w:space="0" w:color="D8D8D8"/>
            </w:tcBorders>
          </w:tcPr>
          <w:p>
            <w:pPr>
              <w:jc w:val="left"/>
            </w:pPr>
            <w:r>
              <w:rPr>
                <w:rFonts w:ascii="Times New Roman" w:hAnsi="Times New Roman"/>
                <w:sz w:val="20"/>
              </w:rPr>
              <w:t>ECE Red: 65%</w:t>
            </w:r>
          </w:p>
        </w:tc>
        <w:tc>
          <w:tcPr>
            <w:tcW w:type="dxa" w:w="1084"/>
            <w:tcMar>
              <w:top w:w="80" w:type="dxa"/>
              <w:bottom w:w="80" w:type="dxa"/>
              <w:left w:w="120" w:type="dxa"/>
              <w:right w:w="120" w:type="dxa"/>
            </w:tcMar>
            <w:tcBorders>
              <w:top w:val="single" w:sz="2" w:space="0" w:color="B0B0B0"/>
              <w:left w:val="single" w:sz="1" w:space="0" w:color="D8D8D8"/>
              <w:bottom w:val="single" w:sz="2" w:space="0" w:color="B0B0B0"/>
              <w:right w:val="single" w:sz="1" w:space="0" w:color="D8D8D8"/>
            </w:tcBorders>
          </w:tcPr>
          <w:p>
            <w:pPr>
              <w:jc w:val="left"/>
            </w:pPr>
            <w:r>
              <w:rPr>
                <w:rFonts w:ascii="Times New Roman" w:hAnsi="Times New Roman"/>
                <w:sz w:val="20"/>
              </w:rPr>
              <w:t>Post-hoc</w:t>
            </w:r>
          </w:p>
        </w:tc>
        <w:tc>
          <w:tcPr>
            <w:tcW w:type="dxa" w:w="1084"/>
            <w:tcMar>
              <w:top w:w="80" w:type="dxa"/>
              <w:bottom w:w="80" w:type="dxa"/>
              <w:left w:w="120" w:type="dxa"/>
              <w:right w:w="120" w:type="dxa"/>
            </w:tcMar>
            <w:tcBorders>
              <w:top w:val="single" w:sz="2" w:space="0" w:color="B0B0B0"/>
              <w:left w:val="single" w:sz="1" w:space="0" w:color="D8D8D8"/>
              <w:bottom w:val="single" w:sz="2" w:space="0" w:color="B0B0B0"/>
              <w:right w:val="single" w:sz="1" w:space="0" w:color="D8D8D8"/>
            </w:tcBorders>
          </w:tcPr>
          <w:p>
            <w:pPr>
              <w:jc w:val="left"/>
            </w:pPr>
            <w:r>
              <w:rPr>
                <w:rFonts w:ascii="Times New Roman" w:hAnsi="Times New Roman"/>
                <w:sz w:val="20"/>
              </w:rPr>
              <w:t>No</w:t>
            </w:r>
          </w:p>
        </w:tc>
        <w:tc>
          <w:tcPr>
            <w:tcW w:type="dxa" w:w="1084"/>
            <w:tcMar>
              <w:top w:w="80" w:type="dxa"/>
              <w:bottom w:w="80" w:type="dxa"/>
              <w:left w:w="120" w:type="dxa"/>
              <w:right w:w="120" w:type="dxa"/>
            </w:tcMar>
            <w:tcBorders>
              <w:top w:val="single" w:sz="2" w:space="0" w:color="B0B0B0"/>
              <w:left w:val="single" w:sz="1" w:space="0" w:color="D8D8D8"/>
              <w:bottom w:val="single" w:sz="2" w:space="0" w:color="B0B0B0"/>
              <w:right w:val="single" w:sz="1" w:space="0" w:color="D8D8D8"/>
            </w:tcBorders>
          </w:tcPr>
          <w:p>
            <w:pPr>
              <w:jc w:val="left"/>
            </w:pPr>
            <w:r>
              <w:rPr>
                <w:rFonts w:ascii="Times New Roman" w:hAnsi="Times New Roman"/>
                <w:sz w:val="20"/>
              </w:rPr>
            </w:r>
          </w:p>
        </w:tc>
      </w:tr>
      <w:tr>
        <w:tc>
          <w:tcPr>
            <w:tcW w:type="dxa" w:w="1084"/>
            <w:tcMar>
              <w:top w:w="80" w:type="dxa"/>
              <w:bottom w:w="80" w:type="dxa"/>
              <w:left w:w="120" w:type="dxa"/>
              <w:right w:w="120" w:type="dxa"/>
            </w:tcMar>
            <w:tcBorders>
              <w:top w:val="single" w:sz="2" w:space="0" w:color="B0B0B0"/>
              <w:left w:val="single" w:sz="1" w:space="0" w:color="D8D8D8"/>
              <w:bottom w:val="single" w:sz="2" w:space="0" w:color="B0B0B0"/>
              <w:right w:val="single" w:sz="1" w:space="0" w:color="D8D8D8"/>
            </w:tcBorders>
          </w:tcPr>
          <w:p>
            <w:pPr>
              <w:jc w:val="left"/>
            </w:pPr>
            <w:r>
              <w:rPr>
                <w:rFonts w:ascii="Times New Roman" w:hAnsi="Times New Roman"/>
                <w:sz w:val="20"/>
              </w:rPr>
              <w:t>Kendall \</w:t>
            </w:r>
          </w:p>
        </w:tc>
        <w:tc>
          <w:tcPr>
            <w:tcW w:type="dxa" w:w="1084"/>
            <w:tcMar>
              <w:top w:w="80" w:type="dxa"/>
              <w:bottom w:w="80" w:type="dxa"/>
              <w:left w:w="120" w:type="dxa"/>
              <w:right w:w="120" w:type="dxa"/>
            </w:tcMar>
            <w:tcBorders>
              <w:top w:val="single" w:sz="2" w:space="0" w:color="B0B0B0"/>
              <w:left w:val="single" w:sz="1" w:space="0" w:color="D8D8D8"/>
              <w:bottom w:val="single" w:sz="2" w:space="0" w:color="B0B0B0"/>
              <w:right w:val="single" w:sz="1" w:space="0" w:color="D8D8D8"/>
            </w:tcBorders>
          </w:tcPr>
          <w:p>
            <w:pPr>
              <w:jc w:val="left"/>
            </w:pPr>
            <w:r>
              <w:rPr>
                <w:rFonts w:ascii="Times New Roman" w:hAnsi="Times New Roman"/>
                <w:sz w:val="20"/>
              </w:rPr>
              <w:t>Gal (2017) [kendall2017uncertainties]</w:t>
            </w:r>
          </w:p>
        </w:tc>
        <w:tc>
          <w:tcPr>
            <w:tcW w:type="dxa" w:w="1084"/>
            <w:tcMar>
              <w:top w:w="80" w:type="dxa"/>
              <w:bottom w:w="80" w:type="dxa"/>
              <w:left w:w="120" w:type="dxa"/>
              <w:right w:w="120" w:type="dxa"/>
            </w:tcMar>
            <w:tcBorders>
              <w:top w:val="single" w:sz="2" w:space="0" w:color="B0B0B0"/>
              <w:left w:val="single" w:sz="1" w:space="0" w:color="D8D8D8"/>
              <w:bottom w:val="single" w:sz="2" w:space="0" w:color="B0B0B0"/>
              <w:right w:val="single" w:sz="1" w:space="0" w:color="D8D8D8"/>
            </w:tcBorders>
          </w:tcPr>
          <w:p>
            <w:pPr>
              <w:jc w:val="left"/>
            </w:pPr>
            <w:r>
              <w:rPr>
                <w:rFonts w:ascii="Times New Roman" w:hAnsi="Times New Roman"/>
                <w:sz w:val="20"/>
              </w:rPr>
              <w:t>Vision</w:t>
            </w:r>
          </w:p>
        </w:tc>
        <w:tc>
          <w:tcPr>
            <w:tcW w:type="dxa" w:w="1084"/>
            <w:tcMar>
              <w:top w:w="80" w:type="dxa"/>
              <w:bottom w:w="80" w:type="dxa"/>
              <w:left w:w="120" w:type="dxa"/>
              <w:right w:w="120" w:type="dxa"/>
            </w:tcMar>
            <w:tcBorders>
              <w:top w:val="single" w:sz="2" w:space="0" w:color="B0B0B0"/>
              <w:left w:val="single" w:sz="1" w:space="0" w:color="D8D8D8"/>
              <w:bottom w:val="single" w:sz="2" w:space="0" w:color="B0B0B0"/>
              <w:right w:val="single" w:sz="1" w:space="0" w:color="D8D8D8"/>
            </w:tcBorders>
          </w:tcPr>
          <w:p>
            <w:pPr>
              <w:jc w:val="left"/>
            </w:pPr>
            <w:r>
              <w:rPr>
                <w:rFonts w:ascii="Times New Roman" w:hAnsi="Times New Roman"/>
                <w:sz w:val="20"/>
              </w:rPr>
              <w:t>Bayesian BNN</w:t>
            </w:r>
          </w:p>
        </w:tc>
        <w:tc>
          <w:tcPr>
            <w:tcW w:type="dxa" w:w="1084"/>
            <w:tcMar>
              <w:top w:w="80" w:type="dxa"/>
              <w:bottom w:w="80" w:type="dxa"/>
              <w:left w:w="120" w:type="dxa"/>
              <w:right w:w="120" w:type="dxa"/>
            </w:tcMar>
            <w:tcBorders>
              <w:top w:val="single" w:sz="2" w:space="0" w:color="B0B0B0"/>
              <w:left w:val="single" w:sz="1" w:space="0" w:color="D8D8D8"/>
              <w:bottom w:val="single" w:sz="2" w:space="0" w:color="B0B0B0"/>
              <w:right w:val="single" w:sz="1" w:space="0" w:color="D8D8D8"/>
            </w:tcBorders>
          </w:tcPr>
          <w:p>
            <w:pPr>
              <w:jc w:val="left"/>
            </w:pPr>
            <w:r>
              <w:rPr>
                <w:rFonts w:ascii="Times New Roman" w:hAnsi="Times New Roman"/>
                <w:sz w:val="20"/>
              </w:rPr>
              <w:t>N/A</w:t>
            </w:r>
          </w:p>
        </w:tc>
        <w:tc>
          <w:tcPr>
            <w:tcW w:type="dxa" w:w="1084"/>
            <w:tcMar>
              <w:top w:w="80" w:type="dxa"/>
              <w:bottom w:w="80" w:type="dxa"/>
              <w:left w:w="120" w:type="dxa"/>
              <w:right w:w="120" w:type="dxa"/>
            </w:tcMar>
            <w:tcBorders>
              <w:top w:val="single" w:sz="2" w:space="0" w:color="B0B0B0"/>
              <w:left w:val="single" w:sz="1" w:space="0" w:color="D8D8D8"/>
              <w:bottom w:val="single" w:sz="2" w:space="0" w:color="B0B0B0"/>
              <w:right w:val="single" w:sz="1" w:space="0" w:color="D8D8D8"/>
            </w:tcBorders>
          </w:tcPr>
          <w:p>
            <w:pPr>
              <w:jc w:val="left"/>
            </w:pPr>
            <w:r>
              <w:rPr>
                <w:rFonts w:ascii="Times New Roman" w:hAnsi="Times New Roman"/>
                <w:sz w:val="20"/>
              </w:rPr>
              <w:t>Var: Principled</w:t>
            </w:r>
          </w:p>
        </w:tc>
        <w:tc>
          <w:tcPr>
            <w:tcW w:type="dxa" w:w="1084"/>
            <w:tcMar>
              <w:top w:w="80" w:type="dxa"/>
              <w:bottom w:w="80" w:type="dxa"/>
              <w:left w:w="120" w:type="dxa"/>
              <w:right w:w="120" w:type="dxa"/>
            </w:tcMar>
            <w:tcBorders>
              <w:top w:val="single" w:sz="2" w:space="0" w:color="B0B0B0"/>
              <w:left w:val="single" w:sz="1" w:space="0" w:color="D8D8D8"/>
              <w:bottom w:val="single" w:sz="2" w:space="0" w:color="B0B0B0"/>
              <w:right w:val="single" w:sz="1" w:space="0" w:color="D8D8D8"/>
            </w:tcBorders>
          </w:tcPr>
          <w:p>
            <w:pPr>
              <w:jc w:val="left"/>
            </w:pPr>
            <w:r>
              <w:rPr>
                <w:rFonts w:ascii="Times New Roman" w:hAnsi="Times New Roman"/>
                <w:sz w:val="20"/>
              </w:rPr>
              <w:t>Yes</w:t>
            </w:r>
          </w:p>
        </w:tc>
        <w:tc>
          <w:tcPr>
            <w:tcW w:type="dxa" w:w="1084"/>
            <w:tcMar>
              <w:top w:w="80" w:type="dxa"/>
              <w:bottom w:w="80" w:type="dxa"/>
              <w:left w:w="120" w:type="dxa"/>
              <w:right w:w="120" w:type="dxa"/>
            </w:tcMar>
            <w:tcBorders>
              <w:top w:val="single" w:sz="2" w:space="0" w:color="B0B0B0"/>
              <w:left w:val="single" w:sz="1" w:space="0" w:color="D8D8D8"/>
              <w:bottom w:val="single" w:sz="2" w:space="0" w:color="B0B0B0"/>
              <w:right w:val="single" w:sz="1" w:space="0" w:color="D8D8D8"/>
            </w:tcBorders>
          </w:tcPr>
          <w:p>
            <w:pPr>
              <w:jc w:val="left"/>
            </w:pPr>
            <w:r>
              <w:rPr>
                <w:rFonts w:ascii="Times New Roman" w:hAnsi="Times New Roman"/>
                <w:sz w:val="20"/>
              </w:rPr>
              <w:t>No</w:t>
            </w:r>
          </w:p>
        </w:tc>
      </w:tr>
      <w:tr>
        <w:tc>
          <w:tcPr>
            <w:tcW w:type="dxa" w:w="1084"/>
            <w:tcMar>
              <w:top w:w="80" w:type="dxa"/>
              <w:bottom w:w="80" w:type="dxa"/>
              <w:left w:w="120" w:type="dxa"/>
              <w:right w:w="120" w:type="dxa"/>
            </w:tcMar>
            <w:tcBorders>
              <w:top w:val="single" w:sz="2" w:space="0" w:color="B0B0B0"/>
              <w:left w:val="single" w:sz="1" w:space="0" w:color="D8D8D8"/>
              <w:bottom w:val="single" w:sz="2" w:space="0" w:color="B0B0B0"/>
              <w:right w:val="single" w:sz="1" w:space="0" w:color="D8D8D8"/>
            </w:tcBorders>
          </w:tcPr>
          <w:p>
            <w:pPr>
              <w:jc w:val="left"/>
            </w:pPr>
            <w:r>
              <w:rPr>
                <w:rFonts w:ascii="Times New Roman" w:hAnsi="Times New Roman"/>
                <w:sz w:val="20"/>
              </w:rPr>
              <w:t>Welikala et al. (2020) [welikala2020automated]</w:t>
            </w:r>
          </w:p>
        </w:tc>
        <w:tc>
          <w:tcPr>
            <w:tcW w:type="dxa" w:w="1084"/>
            <w:tcMar>
              <w:top w:w="80" w:type="dxa"/>
              <w:bottom w:w="80" w:type="dxa"/>
              <w:left w:w="120" w:type="dxa"/>
              <w:right w:w="120" w:type="dxa"/>
            </w:tcMar>
            <w:tcBorders>
              <w:top w:val="single" w:sz="2" w:space="0" w:color="B0B0B0"/>
              <w:left w:val="single" w:sz="1" w:space="0" w:color="D8D8D8"/>
              <w:bottom w:val="single" w:sz="2" w:space="0" w:color="B0B0B0"/>
              <w:right w:val="single" w:sz="1" w:space="0" w:color="D8D8D8"/>
            </w:tcBorders>
          </w:tcPr>
          <w:p>
            <w:pPr>
              <w:jc w:val="left"/>
            </w:pPr>
            <w:r>
              <w:rPr>
                <w:rFonts w:ascii="Times New Roman" w:hAnsi="Times New Roman"/>
                <w:sz w:val="20"/>
              </w:rPr>
              <w:t>Photographic</w:t>
            </w:r>
          </w:p>
        </w:tc>
        <w:tc>
          <w:tcPr>
            <w:tcW w:type="dxa" w:w="1084"/>
            <w:tcMar>
              <w:top w:w="80" w:type="dxa"/>
              <w:bottom w:w="80" w:type="dxa"/>
              <w:left w:w="120" w:type="dxa"/>
              <w:right w:w="120" w:type="dxa"/>
            </w:tcMar>
            <w:tcBorders>
              <w:top w:val="single" w:sz="2" w:space="0" w:color="B0B0B0"/>
              <w:left w:val="single" w:sz="1" w:space="0" w:color="D8D8D8"/>
              <w:bottom w:val="single" w:sz="2" w:space="0" w:color="B0B0B0"/>
              <w:right w:val="single" w:sz="1" w:space="0" w:color="D8D8D8"/>
            </w:tcBorders>
          </w:tcPr>
          <w:p>
            <w:pPr>
              <w:jc w:val="left"/>
            </w:pPr>
            <w:r>
              <w:rPr>
                <w:rFonts w:ascii="Times New Roman" w:hAnsi="Times New Roman"/>
                <w:sz w:val="20"/>
              </w:rPr>
              <w:t>ResNet-50</w:t>
            </w:r>
          </w:p>
        </w:tc>
        <w:tc>
          <w:tcPr>
            <w:tcW w:type="dxa" w:w="1084"/>
            <w:tcMar>
              <w:top w:w="80" w:type="dxa"/>
              <w:bottom w:w="80" w:type="dxa"/>
              <w:left w:w="120" w:type="dxa"/>
              <w:right w:w="120" w:type="dxa"/>
            </w:tcMar>
            <w:tcBorders>
              <w:top w:val="single" w:sz="2" w:space="0" w:color="B0B0B0"/>
              <w:left w:val="single" w:sz="1" w:space="0" w:color="D8D8D8"/>
              <w:bottom w:val="single" w:sz="2" w:space="0" w:color="B0B0B0"/>
              <w:right w:val="single" w:sz="1" w:space="0" w:color="D8D8D8"/>
            </w:tcBorders>
          </w:tcPr>
          <w:p>
            <w:pPr>
              <w:jc w:val="left"/>
            </w:pPr>
            <w:r>
              <w:rPr>
                <w:rFonts w:ascii="Times New Roman" w:hAnsi="Times New Roman"/>
                <w:sz w:val="20"/>
              </w:rPr>
              <w:t>2,012</w:t>
            </w:r>
          </w:p>
        </w:tc>
        <w:tc>
          <w:tcPr>
            <w:tcW w:type="dxa" w:w="1084"/>
            <w:tcMar>
              <w:top w:w="80" w:type="dxa"/>
              <w:bottom w:w="80" w:type="dxa"/>
              <w:left w:w="120" w:type="dxa"/>
              <w:right w:w="120" w:type="dxa"/>
            </w:tcMar>
            <w:tcBorders>
              <w:top w:val="single" w:sz="2" w:space="0" w:color="B0B0B0"/>
              <w:left w:val="single" w:sz="1" w:space="0" w:color="D8D8D8"/>
              <w:bottom w:val="single" w:sz="2" w:space="0" w:color="B0B0B0"/>
              <w:right w:val="single" w:sz="1" w:space="0" w:color="D8D8D8"/>
            </w:tcBorders>
          </w:tcPr>
          <w:p>
            <w:pPr>
              <w:jc w:val="left"/>
            </w:pPr>
            <w:r>
              <w:rPr>
                <w:rFonts w:ascii="Times New Roman" w:hAnsi="Times New Roman"/>
                <w:sz w:val="20"/>
              </w:rPr>
              <w:t>Sens: 87.0%</w:t>
            </w:r>
          </w:p>
        </w:tc>
        <w:tc>
          <w:tcPr>
            <w:tcW w:type="dxa" w:w="1084"/>
            <w:tcMar>
              <w:top w:w="80" w:type="dxa"/>
              <w:bottom w:w="80" w:type="dxa"/>
              <w:left w:w="120" w:type="dxa"/>
              <w:right w:w="120" w:type="dxa"/>
            </w:tcMar>
            <w:tcBorders>
              <w:top w:val="single" w:sz="2" w:space="0" w:color="B0B0B0"/>
              <w:left w:val="single" w:sz="1" w:space="0" w:color="D8D8D8"/>
              <w:bottom w:val="single" w:sz="2" w:space="0" w:color="B0B0B0"/>
              <w:right w:val="single" w:sz="1" w:space="0" w:color="D8D8D8"/>
            </w:tcBorders>
          </w:tcPr>
          <w:p>
            <w:pPr>
              <w:jc w:val="left"/>
            </w:pPr>
            <w:r>
              <w:rPr>
                <w:rFonts w:ascii="Times New Roman" w:hAnsi="Times New Roman"/>
                <w:sz w:val="20"/>
              </w:rPr>
              <w:t>No</w:t>
            </w:r>
          </w:p>
        </w:tc>
        <w:tc>
          <w:tcPr>
            <w:tcW w:type="dxa" w:w="1084"/>
            <w:tcMar>
              <w:top w:w="80" w:type="dxa"/>
              <w:bottom w:w="80" w:type="dxa"/>
              <w:left w:w="120" w:type="dxa"/>
              <w:right w:w="120" w:type="dxa"/>
            </w:tcMar>
            <w:tcBorders>
              <w:top w:val="single" w:sz="2" w:space="0" w:color="B0B0B0"/>
              <w:left w:val="single" w:sz="1" w:space="0" w:color="D8D8D8"/>
              <w:bottom w:val="single" w:sz="2" w:space="0" w:color="B0B0B0"/>
              <w:right w:val="single" w:sz="1" w:space="0" w:color="D8D8D8"/>
            </w:tcBorders>
          </w:tcPr>
          <w:p>
            <w:pPr>
              <w:jc w:val="left"/>
            </w:pPr>
            <w:r>
              <w:rPr>
                <w:rFonts w:ascii="Times New Roman" w:hAnsi="Times New Roman"/>
                <w:sz w:val="20"/>
              </w:rPr>
              <w:t>No</w:t>
            </w:r>
          </w:p>
        </w:tc>
        <w:tc>
          <w:tcPr>
            <w:tcW w:type="dxa" w:w="1084"/>
            <w:tcMar>
              <w:top w:w="80" w:type="dxa"/>
              <w:bottom w:w="80" w:type="dxa"/>
              <w:left w:w="120" w:type="dxa"/>
              <w:right w:w="120" w:type="dxa"/>
            </w:tcMar>
            <w:tcBorders>
              <w:top w:val="single" w:sz="2" w:space="0" w:color="B0B0B0"/>
              <w:left w:val="single" w:sz="1" w:space="0" w:color="D8D8D8"/>
              <w:bottom w:val="single" w:sz="2" w:space="0" w:color="B0B0B0"/>
              <w:right w:val="single" w:sz="1" w:space="0" w:color="D8D8D8"/>
            </w:tcBorders>
          </w:tcPr>
          <w:p>
            <w:pPr>
              <w:jc w:val="left"/>
            </w:pPr>
            <w:r>
              <w:rPr>
                <w:rFonts w:ascii="Times New Roman" w:hAnsi="Times New Roman"/>
                <w:sz w:val="20"/>
              </w:rPr>
            </w:r>
          </w:p>
        </w:tc>
      </w:tr>
      <w:tr>
        <w:tc>
          <w:tcPr>
            <w:tcW w:type="dxa" w:w="1084"/>
            <w:tcMar>
              <w:top w:w="80" w:type="dxa"/>
              <w:bottom w:w="80" w:type="dxa"/>
              <w:left w:w="120" w:type="dxa"/>
              <w:right w:w="120" w:type="dxa"/>
            </w:tcMar>
            <w:tcBorders>
              <w:top w:val="single" w:sz="2" w:space="0" w:color="B0B0B0"/>
              <w:left w:val="single" w:sz="1" w:space="0" w:color="D8D8D8"/>
              <w:bottom w:val="single" w:sz="2" w:space="0" w:color="B0B0B0"/>
              <w:right w:val="single" w:sz="1" w:space="0" w:color="D8D8D8"/>
            </w:tcBorders>
          </w:tcPr>
          <w:p>
            <w:pPr>
              <w:jc w:val="left"/>
            </w:pPr>
            <w:r>
              <w:rPr>
                <w:rFonts w:ascii="Times New Roman" w:hAnsi="Times New Roman"/>
                <w:sz w:val="20"/>
              </w:rPr>
              <w:t>Camalan et al. (2021) [camalan2021generalization]</w:t>
            </w:r>
          </w:p>
        </w:tc>
        <w:tc>
          <w:tcPr>
            <w:tcW w:type="dxa" w:w="1084"/>
            <w:tcMar>
              <w:top w:w="80" w:type="dxa"/>
              <w:bottom w:w="80" w:type="dxa"/>
              <w:left w:w="120" w:type="dxa"/>
              <w:right w:w="120" w:type="dxa"/>
            </w:tcMar>
            <w:tcBorders>
              <w:top w:val="single" w:sz="2" w:space="0" w:color="B0B0B0"/>
              <w:left w:val="single" w:sz="1" w:space="0" w:color="D8D8D8"/>
              <w:bottom w:val="single" w:sz="2" w:space="0" w:color="B0B0B0"/>
              <w:right w:val="single" w:sz="1" w:space="0" w:color="D8D8D8"/>
            </w:tcBorders>
          </w:tcPr>
          <w:p>
            <w:pPr>
              <w:jc w:val="left"/>
            </w:pPr>
            <w:r>
              <w:rPr>
                <w:rFonts w:ascii="Times New Roman" w:hAnsi="Times New Roman"/>
                <w:sz w:val="20"/>
              </w:rPr>
              <w:t>Smartphone</w:t>
            </w:r>
          </w:p>
        </w:tc>
        <w:tc>
          <w:tcPr>
            <w:tcW w:type="dxa" w:w="1084"/>
            <w:tcMar>
              <w:top w:w="80" w:type="dxa"/>
              <w:bottom w:w="80" w:type="dxa"/>
              <w:left w:w="120" w:type="dxa"/>
              <w:right w:w="120" w:type="dxa"/>
            </w:tcMar>
            <w:tcBorders>
              <w:top w:val="single" w:sz="2" w:space="0" w:color="B0B0B0"/>
              <w:left w:val="single" w:sz="1" w:space="0" w:color="D8D8D8"/>
              <w:bottom w:val="single" w:sz="2" w:space="0" w:color="B0B0B0"/>
              <w:right w:val="single" w:sz="1" w:space="0" w:color="D8D8D8"/>
            </w:tcBorders>
          </w:tcPr>
          <w:p>
            <w:pPr>
              <w:jc w:val="left"/>
            </w:pPr>
            <w:r>
              <w:rPr>
                <w:rFonts w:ascii="Times New Roman" w:hAnsi="Times New Roman"/>
                <w:sz w:val="20"/>
              </w:rPr>
              <w:t>ResNet / VGG</w:t>
            </w:r>
          </w:p>
        </w:tc>
        <w:tc>
          <w:tcPr>
            <w:tcW w:type="dxa" w:w="1084"/>
            <w:tcMar>
              <w:top w:w="80" w:type="dxa"/>
              <w:bottom w:w="80" w:type="dxa"/>
              <w:left w:w="120" w:type="dxa"/>
              <w:right w:w="120" w:type="dxa"/>
            </w:tcMar>
            <w:tcBorders>
              <w:top w:val="single" w:sz="2" w:space="0" w:color="B0B0B0"/>
              <w:left w:val="single" w:sz="1" w:space="0" w:color="D8D8D8"/>
              <w:bottom w:val="single" w:sz="2" w:space="0" w:color="B0B0B0"/>
              <w:right w:val="single" w:sz="1" w:space="0" w:color="D8D8D8"/>
            </w:tcBorders>
          </w:tcPr>
          <w:p>
            <w:pPr>
              <w:jc w:val="left"/>
            </w:pPr>
            <w:r>
              <w:rPr>
                <w:rFonts w:ascii="Times New Roman" w:hAnsi="Times New Roman"/>
                <w:sz w:val="20"/>
              </w:rPr>
              <w:t>850</w:t>
            </w:r>
          </w:p>
        </w:tc>
        <w:tc>
          <w:tcPr>
            <w:tcW w:type="dxa" w:w="1084"/>
            <w:tcMar>
              <w:top w:w="80" w:type="dxa"/>
              <w:bottom w:w="80" w:type="dxa"/>
              <w:left w:w="120" w:type="dxa"/>
              <w:right w:w="120" w:type="dxa"/>
            </w:tcMar>
            <w:tcBorders>
              <w:top w:val="single" w:sz="2" w:space="0" w:color="B0B0B0"/>
              <w:left w:val="single" w:sz="1" w:space="0" w:color="D8D8D8"/>
              <w:bottom w:val="single" w:sz="2" w:space="0" w:color="B0B0B0"/>
              <w:right w:val="single" w:sz="1" w:space="0" w:color="D8D8D8"/>
            </w:tcBorders>
          </w:tcPr>
          <w:p>
            <w:pPr>
              <w:jc w:val="left"/>
            </w:pPr>
            <w:r>
              <w:rPr>
                <w:rFonts w:ascii="Times New Roman" w:hAnsi="Times New Roman"/>
                <w:sz w:val="20"/>
              </w:rPr>
              <w:t>Drop: 22.8%</w:t>
            </w:r>
          </w:p>
        </w:tc>
        <w:tc>
          <w:tcPr>
            <w:tcW w:type="dxa" w:w="1084"/>
            <w:tcMar>
              <w:top w:w="80" w:type="dxa"/>
              <w:bottom w:w="80" w:type="dxa"/>
              <w:left w:w="120" w:type="dxa"/>
              <w:right w:w="120" w:type="dxa"/>
            </w:tcMar>
            <w:tcBorders>
              <w:top w:val="single" w:sz="2" w:space="0" w:color="B0B0B0"/>
              <w:left w:val="single" w:sz="1" w:space="0" w:color="D8D8D8"/>
              <w:bottom w:val="single" w:sz="2" w:space="0" w:color="B0B0B0"/>
              <w:right w:val="single" w:sz="1" w:space="0" w:color="D8D8D8"/>
            </w:tcBorders>
          </w:tcPr>
          <w:p>
            <w:pPr>
              <w:jc w:val="left"/>
            </w:pPr>
            <w:r>
              <w:rPr>
                <w:rFonts w:ascii="Times New Roman" w:hAnsi="Times New Roman"/>
                <w:sz w:val="20"/>
              </w:rPr>
              <w:t>No</w:t>
            </w:r>
          </w:p>
        </w:tc>
        <w:tc>
          <w:tcPr>
            <w:tcW w:type="dxa" w:w="1084"/>
            <w:tcMar>
              <w:top w:w="80" w:type="dxa"/>
              <w:bottom w:w="80" w:type="dxa"/>
              <w:left w:w="120" w:type="dxa"/>
              <w:right w:w="120" w:type="dxa"/>
            </w:tcMar>
            <w:tcBorders>
              <w:top w:val="single" w:sz="2" w:space="0" w:color="B0B0B0"/>
              <w:left w:val="single" w:sz="1" w:space="0" w:color="D8D8D8"/>
              <w:bottom w:val="single" w:sz="2" w:space="0" w:color="B0B0B0"/>
              <w:right w:val="single" w:sz="1" w:space="0" w:color="D8D8D8"/>
            </w:tcBorders>
          </w:tcPr>
          <w:p>
            <w:pPr>
              <w:jc w:val="left"/>
            </w:pPr>
            <w:r>
              <w:rPr>
                <w:rFonts w:ascii="Times New Roman" w:hAnsi="Times New Roman"/>
                <w:sz w:val="20"/>
              </w:rPr>
              <w:t>No</w:t>
            </w:r>
          </w:p>
        </w:tc>
        <w:tc>
          <w:tcPr>
            <w:tcW w:type="dxa" w:w="1084"/>
            <w:tcMar>
              <w:top w:w="80" w:type="dxa"/>
              <w:bottom w:w="80" w:type="dxa"/>
              <w:left w:w="120" w:type="dxa"/>
              <w:right w:w="120" w:type="dxa"/>
            </w:tcMar>
            <w:tcBorders>
              <w:top w:val="single" w:sz="2" w:space="0" w:color="B0B0B0"/>
              <w:left w:val="single" w:sz="1" w:space="0" w:color="D8D8D8"/>
              <w:bottom w:val="single" w:sz="2" w:space="0" w:color="B0B0B0"/>
              <w:right w:val="single" w:sz="1" w:space="0" w:color="D8D8D8"/>
            </w:tcBorders>
          </w:tcPr>
          <w:p>
            <w:pPr>
              <w:jc w:val="left"/>
            </w:pPr>
            <w:r>
              <w:rPr>
                <w:rFonts w:ascii="Times New Roman" w:hAnsi="Times New Roman"/>
                <w:sz w:val="20"/>
              </w:rPr>
            </w:r>
          </w:p>
        </w:tc>
      </w:tr>
      <w:tr>
        <w:tc>
          <w:tcPr>
            <w:tcW w:type="dxa" w:w="1084"/>
            <w:tcMar>
              <w:top w:w="80" w:type="dxa"/>
              <w:bottom w:w="80" w:type="dxa"/>
              <w:left w:w="120" w:type="dxa"/>
              <w:right w:w="120" w:type="dxa"/>
            </w:tcMar>
            <w:tcBorders>
              <w:top w:val="single" w:sz="2" w:space="0" w:color="B0B0B0"/>
              <w:left w:val="single" w:sz="1" w:space="0" w:color="D8D8D8"/>
              <w:bottom w:val="single" w:sz="2" w:space="0" w:color="B0B0B0"/>
              <w:right w:val="single" w:sz="1" w:space="0" w:color="D8D8D8"/>
            </w:tcBorders>
          </w:tcPr>
          <w:p>
            <w:pPr>
              <w:jc w:val="left"/>
            </w:pPr>
            <w:r>
              <w:rPr>
                <w:rFonts w:ascii="Times New Roman" w:hAnsi="Times New Roman"/>
                <w:sz w:val="20"/>
              </w:rPr>
              <w:t>Jubair et al. (2022) [jubair2022lightweight]</w:t>
            </w:r>
          </w:p>
        </w:tc>
        <w:tc>
          <w:tcPr>
            <w:tcW w:type="dxa" w:w="1084"/>
            <w:tcMar>
              <w:top w:w="80" w:type="dxa"/>
              <w:bottom w:w="80" w:type="dxa"/>
              <w:left w:w="120" w:type="dxa"/>
              <w:right w:w="120" w:type="dxa"/>
            </w:tcMar>
            <w:tcBorders>
              <w:top w:val="single" w:sz="2" w:space="0" w:color="B0B0B0"/>
              <w:left w:val="single" w:sz="1" w:space="0" w:color="D8D8D8"/>
              <w:bottom w:val="single" w:sz="2" w:space="0" w:color="B0B0B0"/>
              <w:right w:val="single" w:sz="1" w:space="0" w:color="D8D8D8"/>
            </w:tcBorders>
          </w:tcPr>
          <w:p>
            <w:pPr>
              <w:jc w:val="left"/>
            </w:pPr>
            <w:r>
              <w:rPr>
                <w:rFonts w:ascii="Times New Roman" w:hAnsi="Times New Roman"/>
                <w:sz w:val="20"/>
              </w:rPr>
              <w:t>Intraoral</w:t>
            </w:r>
          </w:p>
        </w:tc>
        <w:tc>
          <w:tcPr>
            <w:tcW w:type="dxa" w:w="1084"/>
            <w:tcMar>
              <w:top w:w="80" w:type="dxa"/>
              <w:bottom w:w="80" w:type="dxa"/>
              <w:left w:w="120" w:type="dxa"/>
              <w:right w:w="120" w:type="dxa"/>
            </w:tcMar>
            <w:tcBorders>
              <w:top w:val="single" w:sz="2" w:space="0" w:color="B0B0B0"/>
              <w:left w:val="single" w:sz="1" w:space="0" w:color="D8D8D8"/>
              <w:bottom w:val="single" w:sz="2" w:space="0" w:color="B0B0B0"/>
              <w:right w:val="single" w:sz="1" w:space="0" w:color="D8D8D8"/>
            </w:tcBorders>
          </w:tcPr>
          <w:p>
            <w:pPr>
              <w:jc w:val="left"/>
            </w:pPr>
            <w:r>
              <w:rPr>
                <w:rFonts w:ascii="Times New Roman" w:hAnsi="Times New Roman"/>
                <w:sz w:val="20"/>
              </w:rPr>
              <w:t>MobileNetV2</w:t>
            </w:r>
          </w:p>
        </w:tc>
        <w:tc>
          <w:tcPr>
            <w:tcW w:type="dxa" w:w="1084"/>
            <w:tcMar>
              <w:top w:w="80" w:type="dxa"/>
              <w:bottom w:w="80" w:type="dxa"/>
              <w:left w:w="120" w:type="dxa"/>
              <w:right w:w="120" w:type="dxa"/>
            </w:tcMar>
            <w:tcBorders>
              <w:top w:val="single" w:sz="2" w:space="0" w:color="B0B0B0"/>
              <w:left w:val="single" w:sz="1" w:space="0" w:color="D8D8D8"/>
              <w:bottom w:val="single" w:sz="2" w:space="0" w:color="B0B0B0"/>
              <w:right w:val="single" w:sz="1" w:space="0" w:color="D8D8D8"/>
            </w:tcBorders>
          </w:tcPr>
          <w:p>
            <w:pPr>
              <w:jc w:val="left"/>
            </w:pPr>
            <w:r>
              <w:rPr>
                <w:rFonts w:ascii="Times New Roman" w:hAnsi="Times New Roman"/>
                <w:sz w:val="20"/>
              </w:rPr>
              <w:t>1,420</w:t>
            </w:r>
          </w:p>
        </w:tc>
        <w:tc>
          <w:tcPr>
            <w:tcW w:type="dxa" w:w="1084"/>
            <w:tcMar>
              <w:top w:w="80" w:type="dxa"/>
              <w:bottom w:w="80" w:type="dxa"/>
              <w:left w:w="120" w:type="dxa"/>
              <w:right w:w="120" w:type="dxa"/>
            </w:tcMar>
            <w:tcBorders>
              <w:top w:val="single" w:sz="2" w:space="0" w:color="B0B0B0"/>
              <w:left w:val="single" w:sz="1" w:space="0" w:color="D8D8D8"/>
              <w:bottom w:val="single" w:sz="2" w:space="0" w:color="B0B0B0"/>
              <w:right w:val="single" w:sz="1" w:space="0" w:color="D8D8D8"/>
            </w:tcBorders>
          </w:tcPr>
          <w:p>
            <w:pPr>
              <w:jc w:val="left"/>
            </w:pPr>
            <w:r>
              <w:rPr>
                <w:rFonts w:ascii="Times New Roman" w:hAnsi="Times New Roman"/>
                <w:sz w:val="20"/>
              </w:rPr>
              <w:t>Acc: 89.2%</w:t>
            </w:r>
          </w:p>
        </w:tc>
        <w:tc>
          <w:tcPr>
            <w:tcW w:type="dxa" w:w="1084"/>
            <w:tcMar>
              <w:top w:w="80" w:type="dxa"/>
              <w:bottom w:w="80" w:type="dxa"/>
              <w:left w:w="120" w:type="dxa"/>
              <w:right w:w="120" w:type="dxa"/>
            </w:tcMar>
            <w:tcBorders>
              <w:top w:val="single" w:sz="2" w:space="0" w:color="B0B0B0"/>
              <w:left w:val="single" w:sz="1" w:space="0" w:color="D8D8D8"/>
              <w:bottom w:val="single" w:sz="2" w:space="0" w:color="B0B0B0"/>
              <w:right w:val="single" w:sz="1" w:space="0" w:color="D8D8D8"/>
            </w:tcBorders>
          </w:tcPr>
          <w:p>
            <w:pPr>
              <w:jc w:val="left"/>
            </w:pPr>
            <w:r>
              <w:rPr>
                <w:rFonts w:ascii="Times New Roman" w:hAnsi="Times New Roman"/>
                <w:sz w:val="20"/>
              </w:rPr>
              <w:t>No</w:t>
            </w:r>
          </w:p>
        </w:tc>
        <w:tc>
          <w:tcPr>
            <w:tcW w:type="dxa" w:w="1084"/>
            <w:tcMar>
              <w:top w:w="80" w:type="dxa"/>
              <w:bottom w:w="80" w:type="dxa"/>
              <w:left w:w="120" w:type="dxa"/>
              <w:right w:w="120" w:type="dxa"/>
            </w:tcMar>
            <w:tcBorders>
              <w:top w:val="single" w:sz="2" w:space="0" w:color="B0B0B0"/>
              <w:left w:val="single" w:sz="1" w:space="0" w:color="D8D8D8"/>
              <w:bottom w:val="single" w:sz="2" w:space="0" w:color="B0B0B0"/>
              <w:right w:val="single" w:sz="1" w:space="0" w:color="D8D8D8"/>
            </w:tcBorders>
          </w:tcPr>
          <w:p>
            <w:pPr>
              <w:jc w:val="left"/>
            </w:pPr>
            <w:r>
              <w:rPr>
                <w:rFonts w:ascii="Times New Roman" w:hAnsi="Times New Roman"/>
                <w:sz w:val="20"/>
              </w:rPr>
              <w:t>No</w:t>
            </w:r>
          </w:p>
        </w:tc>
        <w:tc>
          <w:tcPr>
            <w:tcW w:type="dxa" w:w="1084"/>
            <w:tcMar>
              <w:top w:w="80" w:type="dxa"/>
              <w:bottom w:w="80" w:type="dxa"/>
              <w:left w:w="120" w:type="dxa"/>
              <w:right w:w="120" w:type="dxa"/>
            </w:tcMar>
            <w:tcBorders>
              <w:top w:val="single" w:sz="2" w:space="0" w:color="B0B0B0"/>
              <w:left w:val="single" w:sz="1" w:space="0" w:color="D8D8D8"/>
              <w:bottom w:val="single" w:sz="2" w:space="0" w:color="B0B0B0"/>
              <w:right w:val="single" w:sz="1" w:space="0" w:color="D8D8D8"/>
            </w:tcBorders>
          </w:tcPr>
          <w:p>
            <w:pPr>
              <w:jc w:val="left"/>
            </w:pPr>
            <w:r>
              <w:rPr>
                <w:rFonts w:ascii="Times New Roman" w:hAnsi="Times New Roman"/>
                <w:sz w:val="20"/>
              </w:rPr>
            </w:r>
          </w:p>
        </w:tc>
      </w:tr>
      <w:tr>
        <w:tc>
          <w:tcPr>
            <w:tcW w:type="dxa" w:w="1084"/>
            <w:tcMar>
              <w:top w:w="80" w:type="dxa"/>
              <w:bottom w:w="80" w:type="dxa"/>
              <w:left w:w="120" w:type="dxa"/>
              <w:right w:w="120" w:type="dxa"/>
            </w:tcMar>
            <w:tcBorders>
              <w:top w:val="single" w:sz="2" w:space="0" w:color="B0B0B0"/>
              <w:left w:val="single" w:sz="1" w:space="0" w:color="D8D8D8"/>
              <w:bottom w:val="single" w:sz="2" w:space="0" w:color="B0B0B0"/>
              <w:right w:val="single" w:sz="1" w:space="0" w:color="D8D8D8"/>
            </w:tcBorders>
          </w:tcPr>
          <w:p>
            <w:pPr>
              <w:jc w:val="left"/>
            </w:pPr>
            <w:r>
              <w:rPr>
                <w:rFonts w:ascii="Times New Roman" w:hAnsi="Times New Roman"/>
                <w:sz w:val="20"/>
              </w:rPr>
              <w:t>Mobiny et al. (2021) [mobiny2021dropconnect]</w:t>
            </w:r>
          </w:p>
        </w:tc>
        <w:tc>
          <w:tcPr>
            <w:tcW w:type="dxa" w:w="1084"/>
            <w:tcMar>
              <w:top w:w="80" w:type="dxa"/>
              <w:bottom w:w="80" w:type="dxa"/>
              <w:left w:w="120" w:type="dxa"/>
              <w:right w:w="120" w:type="dxa"/>
            </w:tcMar>
            <w:tcBorders>
              <w:top w:val="single" w:sz="2" w:space="0" w:color="B0B0B0"/>
              <w:left w:val="single" w:sz="1" w:space="0" w:color="D8D8D8"/>
              <w:bottom w:val="single" w:sz="2" w:space="0" w:color="B0B0B0"/>
              <w:right w:val="single" w:sz="1" w:space="0" w:color="D8D8D8"/>
            </w:tcBorders>
          </w:tcPr>
          <w:p>
            <w:pPr>
              <w:jc w:val="left"/>
            </w:pPr>
            <w:r>
              <w:rPr>
                <w:rFonts w:ascii="Times New Roman" w:hAnsi="Times New Roman"/>
                <w:sz w:val="20"/>
              </w:rPr>
              <w:t>CT Scans</w:t>
            </w:r>
          </w:p>
        </w:tc>
        <w:tc>
          <w:tcPr>
            <w:tcW w:type="dxa" w:w="1084"/>
            <w:tcMar>
              <w:top w:w="80" w:type="dxa"/>
              <w:bottom w:w="80" w:type="dxa"/>
              <w:left w:w="120" w:type="dxa"/>
              <w:right w:w="120" w:type="dxa"/>
            </w:tcMar>
            <w:tcBorders>
              <w:top w:val="single" w:sz="2" w:space="0" w:color="B0B0B0"/>
              <w:left w:val="single" w:sz="1" w:space="0" w:color="D8D8D8"/>
              <w:bottom w:val="single" w:sz="2" w:space="0" w:color="B0B0B0"/>
              <w:right w:val="single" w:sz="1" w:space="0" w:color="D8D8D8"/>
            </w:tcBorders>
          </w:tcPr>
          <w:p>
            <w:pPr>
              <w:jc w:val="left"/>
            </w:pPr>
            <w:r>
              <w:rPr>
                <w:rFonts w:ascii="Times New Roman" w:hAnsi="Times New Roman"/>
                <w:sz w:val="20"/>
              </w:rPr>
              <w:t>DropConnect</w:t>
            </w:r>
          </w:p>
        </w:tc>
        <w:tc>
          <w:tcPr>
            <w:tcW w:type="dxa" w:w="1084"/>
            <w:tcMar>
              <w:top w:w="80" w:type="dxa"/>
              <w:bottom w:w="80" w:type="dxa"/>
              <w:left w:w="120" w:type="dxa"/>
              <w:right w:w="120" w:type="dxa"/>
            </w:tcMar>
            <w:tcBorders>
              <w:top w:val="single" w:sz="2" w:space="0" w:color="B0B0B0"/>
              <w:left w:val="single" w:sz="1" w:space="0" w:color="D8D8D8"/>
              <w:bottom w:val="single" w:sz="2" w:space="0" w:color="B0B0B0"/>
              <w:right w:val="single" w:sz="1" w:space="0" w:color="D8D8D8"/>
            </w:tcBorders>
          </w:tcPr>
          <w:p>
            <w:pPr>
              <w:jc w:val="left"/>
            </w:pPr>
            <w:r>
              <w:rPr>
                <w:rFonts w:ascii="Times New Roman" w:hAnsi="Times New Roman"/>
                <w:sz w:val="20"/>
              </w:rPr>
              <w:t>3,200</w:t>
            </w:r>
          </w:p>
        </w:tc>
        <w:tc>
          <w:tcPr>
            <w:tcW w:type="dxa" w:w="1084"/>
            <w:tcMar>
              <w:top w:w="80" w:type="dxa"/>
              <w:bottom w:w="80" w:type="dxa"/>
              <w:left w:w="120" w:type="dxa"/>
              <w:right w:w="120" w:type="dxa"/>
            </w:tcMar>
            <w:tcBorders>
              <w:top w:val="single" w:sz="2" w:space="0" w:color="B0B0B0"/>
              <w:left w:val="single" w:sz="1" w:space="0" w:color="D8D8D8"/>
              <w:bottom w:val="single" w:sz="2" w:space="0" w:color="B0B0B0"/>
              <w:right w:val="single" w:sz="1" w:space="0" w:color="D8D8D8"/>
            </w:tcBorders>
          </w:tcPr>
          <w:p>
            <w:pPr>
              <w:jc w:val="left"/>
            </w:pPr>
            <w:r>
              <w:rPr>
                <w:rFonts w:ascii="Times New Roman" w:hAnsi="Times New Roman"/>
                <w:sz w:val="20"/>
              </w:rPr>
              <w:t>AUROC: 0.94</w:t>
            </w:r>
          </w:p>
        </w:tc>
        <w:tc>
          <w:tcPr>
            <w:tcW w:type="dxa" w:w="1084"/>
            <w:tcMar>
              <w:top w:w="80" w:type="dxa"/>
              <w:bottom w:w="80" w:type="dxa"/>
              <w:left w:w="120" w:type="dxa"/>
              <w:right w:w="120" w:type="dxa"/>
            </w:tcMar>
            <w:tcBorders>
              <w:top w:val="single" w:sz="2" w:space="0" w:color="B0B0B0"/>
              <w:left w:val="single" w:sz="1" w:space="0" w:color="D8D8D8"/>
              <w:bottom w:val="single" w:sz="2" w:space="0" w:color="B0B0B0"/>
              <w:right w:val="single" w:sz="1" w:space="0" w:color="D8D8D8"/>
            </w:tcBorders>
          </w:tcPr>
          <w:p>
            <w:pPr>
              <w:jc w:val="left"/>
            </w:pPr>
            <w:r>
              <w:rPr>
                <w:rFonts w:ascii="Times New Roman" w:hAnsi="Times New Roman"/>
                <w:sz w:val="20"/>
              </w:rPr>
              <w:t>Yes</w:t>
            </w:r>
          </w:p>
        </w:tc>
        <w:tc>
          <w:tcPr>
            <w:tcW w:type="dxa" w:w="1084"/>
            <w:tcMar>
              <w:top w:w="80" w:type="dxa"/>
              <w:bottom w:w="80" w:type="dxa"/>
              <w:left w:w="120" w:type="dxa"/>
              <w:right w:w="120" w:type="dxa"/>
            </w:tcMar>
            <w:tcBorders>
              <w:top w:val="single" w:sz="2" w:space="0" w:color="B0B0B0"/>
              <w:left w:val="single" w:sz="1" w:space="0" w:color="D8D8D8"/>
              <w:bottom w:val="single" w:sz="2" w:space="0" w:color="B0B0B0"/>
              <w:right w:val="single" w:sz="1" w:space="0" w:color="D8D8D8"/>
            </w:tcBorders>
          </w:tcPr>
          <w:p>
            <w:pPr>
              <w:jc w:val="left"/>
            </w:pPr>
            <w:r>
              <w:rPr>
                <w:rFonts w:ascii="Times New Roman" w:hAnsi="Times New Roman"/>
                <w:sz w:val="20"/>
              </w:rPr>
              <w:t>No</w:t>
            </w:r>
          </w:p>
        </w:tc>
        <w:tc>
          <w:tcPr>
            <w:tcW w:type="dxa" w:w="1084"/>
            <w:tcMar>
              <w:top w:w="80" w:type="dxa"/>
              <w:bottom w:w="80" w:type="dxa"/>
              <w:left w:w="120" w:type="dxa"/>
              <w:right w:w="120" w:type="dxa"/>
            </w:tcMar>
            <w:tcBorders>
              <w:top w:val="single" w:sz="2" w:space="0" w:color="B0B0B0"/>
              <w:left w:val="single" w:sz="1" w:space="0" w:color="D8D8D8"/>
              <w:bottom w:val="single" w:sz="2" w:space="0" w:color="B0B0B0"/>
              <w:right w:val="single" w:sz="1" w:space="0" w:color="D8D8D8"/>
            </w:tcBorders>
          </w:tcPr>
          <w:p>
            <w:pPr>
              <w:jc w:val="left"/>
            </w:pPr>
            <w:r>
              <w:rPr>
                <w:rFonts w:ascii="Times New Roman" w:hAnsi="Times New Roman"/>
                <w:sz w:val="20"/>
              </w:rPr>
            </w:r>
          </w:p>
        </w:tc>
      </w:tr>
      <w:tr>
        <w:tc>
          <w:tcPr>
            <w:tcW w:type="dxa" w:w="1084"/>
            <w:tcMar>
              <w:top w:w="80" w:type="dxa"/>
              <w:bottom w:w="80" w:type="dxa"/>
              <w:left w:w="120" w:type="dxa"/>
              <w:right w:w="120" w:type="dxa"/>
            </w:tcMar>
            <w:tcBorders>
              <w:top w:val="single" w:sz="2" w:space="0" w:color="B0B0B0"/>
              <w:left w:val="single" w:sz="1" w:space="0" w:color="D8D8D8"/>
              <w:bottom w:val="single" w:sz="2" w:space="0" w:color="B0B0B0"/>
              <w:right w:val="single" w:sz="1" w:space="0" w:color="D8D8D8"/>
            </w:tcBorders>
          </w:tcPr>
          <w:p>
            <w:pPr>
              <w:jc w:val="left"/>
            </w:pPr>
            <w:r>
              <w:rPr>
                <w:rFonts w:ascii="Times New Roman" w:hAnsi="Times New Roman"/>
                <w:sz w:val="20"/>
              </w:rPr>
              <w:t>Warnakulasuriya (2021) [warnakulasuriya2021oral]</w:t>
            </w:r>
          </w:p>
        </w:tc>
        <w:tc>
          <w:tcPr>
            <w:tcW w:type="dxa" w:w="1084"/>
            <w:tcMar>
              <w:top w:w="80" w:type="dxa"/>
              <w:bottom w:w="80" w:type="dxa"/>
              <w:left w:w="120" w:type="dxa"/>
              <w:right w:w="120" w:type="dxa"/>
            </w:tcMar>
            <w:tcBorders>
              <w:top w:val="single" w:sz="2" w:space="0" w:color="B0B0B0"/>
              <w:left w:val="single" w:sz="1" w:space="0" w:color="D8D8D8"/>
              <w:bottom w:val="single" w:sz="2" w:space="0" w:color="B0B0B0"/>
              <w:right w:val="single" w:sz="1" w:space="0" w:color="D8D8D8"/>
            </w:tcBorders>
          </w:tcPr>
          <w:p>
            <w:pPr>
              <w:jc w:val="left"/>
            </w:pPr>
            <w:r>
              <w:rPr>
                <w:rFonts w:ascii="Times New Roman" w:hAnsi="Times New Roman"/>
                <w:sz w:val="20"/>
              </w:rPr>
              <w:t>Clinical</w:t>
            </w:r>
          </w:p>
        </w:tc>
        <w:tc>
          <w:tcPr>
            <w:tcW w:type="dxa" w:w="1084"/>
            <w:tcMar>
              <w:top w:w="80" w:type="dxa"/>
              <w:bottom w:w="80" w:type="dxa"/>
              <w:left w:w="120" w:type="dxa"/>
              <w:right w:w="120" w:type="dxa"/>
            </w:tcMar>
            <w:tcBorders>
              <w:top w:val="single" w:sz="2" w:space="0" w:color="B0B0B0"/>
              <w:left w:val="single" w:sz="1" w:space="0" w:color="D8D8D8"/>
              <w:bottom w:val="single" w:sz="2" w:space="0" w:color="B0B0B0"/>
              <w:right w:val="single" w:sz="1" w:space="0" w:color="D8D8D8"/>
            </w:tcBorders>
          </w:tcPr>
          <w:p>
            <w:pPr>
              <w:jc w:val="left"/>
            </w:pPr>
            <w:r>
              <w:rPr>
                <w:rFonts w:ascii="Times New Roman" w:hAnsi="Times New Roman"/>
                <w:sz w:val="20"/>
              </w:rPr>
              <w:t>OPMD Consensus</w:t>
            </w:r>
          </w:p>
        </w:tc>
        <w:tc>
          <w:tcPr>
            <w:tcW w:type="dxa" w:w="1084"/>
            <w:tcMar>
              <w:top w:w="80" w:type="dxa"/>
              <w:bottom w:w="80" w:type="dxa"/>
              <w:left w:w="120" w:type="dxa"/>
              <w:right w:w="120" w:type="dxa"/>
            </w:tcMar>
            <w:tcBorders>
              <w:top w:val="single" w:sz="2" w:space="0" w:color="B0B0B0"/>
              <w:left w:val="single" w:sz="1" w:space="0" w:color="D8D8D8"/>
              <w:bottom w:val="single" w:sz="2" w:space="0" w:color="B0B0B0"/>
              <w:right w:val="single" w:sz="1" w:space="0" w:color="D8D8D8"/>
            </w:tcBorders>
          </w:tcPr>
          <w:p>
            <w:pPr>
              <w:jc w:val="left"/>
            </w:pPr>
            <w:r>
              <w:rPr>
                <w:rFonts w:ascii="Times New Roman" w:hAnsi="Times New Roman"/>
                <w:sz w:val="20"/>
              </w:rPr>
              <w:t>N/A</w:t>
            </w:r>
          </w:p>
        </w:tc>
        <w:tc>
          <w:tcPr>
            <w:tcW w:type="dxa" w:w="1084"/>
            <w:tcMar>
              <w:top w:w="80" w:type="dxa"/>
              <w:bottom w:w="80" w:type="dxa"/>
              <w:left w:w="120" w:type="dxa"/>
              <w:right w:w="120" w:type="dxa"/>
            </w:tcMar>
            <w:tcBorders>
              <w:top w:val="single" w:sz="2" w:space="0" w:color="B0B0B0"/>
              <w:left w:val="single" w:sz="1" w:space="0" w:color="D8D8D8"/>
              <w:bottom w:val="single" w:sz="2" w:space="0" w:color="B0B0B0"/>
              <w:right w:val="single" w:sz="1" w:space="0" w:color="D8D8D8"/>
            </w:tcBorders>
          </w:tcPr>
          <w:p>
            <w:pPr>
              <w:jc w:val="left"/>
            </w:pPr>
            <w:r>
              <w:rPr>
                <w:rFonts w:ascii="Times New Roman" w:hAnsi="Times New Roman"/>
                <w:sz w:val="20"/>
              </w:rPr>
              <w:t>4-Tier Class</w:t>
            </w:r>
          </w:p>
        </w:tc>
        <w:tc>
          <w:tcPr>
            <w:tcW w:type="dxa" w:w="1084"/>
            <w:tcMar>
              <w:top w:w="80" w:type="dxa"/>
              <w:bottom w:w="80" w:type="dxa"/>
              <w:left w:w="120" w:type="dxa"/>
              <w:right w:w="120" w:type="dxa"/>
            </w:tcMar>
            <w:tcBorders>
              <w:top w:val="single" w:sz="2" w:space="0" w:color="B0B0B0"/>
              <w:left w:val="single" w:sz="1" w:space="0" w:color="D8D8D8"/>
              <w:bottom w:val="single" w:sz="2" w:space="0" w:color="B0B0B0"/>
              <w:right w:val="single" w:sz="1" w:space="0" w:color="D8D8D8"/>
            </w:tcBorders>
          </w:tcPr>
          <w:p>
            <w:pPr>
              <w:jc w:val="left"/>
            </w:pPr>
            <w:r>
              <w:rPr>
                <w:rFonts w:ascii="Times New Roman" w:hAnsi="Times New Roman"/>
                <w:sz w:val="20"/>
              </w:rPr>
              <w:t>No</w:t>
            </w:r>
          </w:p>
        </w:tc>
        <w:tc>
          <w:tcPr>
            <w:tcW w:type="dxa" w:w="1084"/>
            <w:tcMar>
              <w:top w:w="80" w:type="dxa"/>
              <w:bottom w:w="80" w:type="dxa"/>
              <w:left w:w="120" w:type="dxa"/>
              <w:right w:w="120" w:type="dxa"/>
            </w:tcMar>
            <w:tcBorders>
              <w:top w:val="single" w:sz="2" w:space="0" w:color="B0B0B0"/>
              <w:left w:val="single" w:sz="1" w:space="0" w:color="D8D8D8"/>
              <w:bottom w:val="single" w:sz="2" w:space="0" w:color="B0B0B0"/>
              <w:right w:val="single" w:sz="1" w:space="0" w:color="D8D8D8"/>
            </w:tcBorders>
          </w:tcPr>
          <w:p>
            <w:pPr>
              <w:jc w:val="left"/>
            </w:pPr>
            <w:r>
              <w:rPr>
                <w:rFonts w:ascii="Times New Roman" w:hAnsi="Times New Roman"/>
                <w:sz w:val="20"/>
              </w:rPr>
              <w:t>Yes</w:t>
            </w:r>
          </w:p>
        </w:tc>
        <w:tc>
          <w:tcPr>
            <w:tcW w:type="dxa" w:w="1084"/>
            <w:tcMar>
              <w:top w:w="80" w:type="dxa"/>
              <w:bottom w:w="80" w:type="dxa"/>
              <w:left w:w="120" w:type="dxa"/>
              <w:right w:w="120" w:type="dxa"/>
            </w:tcMar>
            <w:tcBorders>
              <w:top w:val="single" w:sz="2" w:space="0" w:color="B0B0B0"/>
              <w:left w:val="single" w:sz="1" w:space="0" w:color="D8D8D8"/>
              <w:bottom w:val="single" w:sz="2" w:space="0" w:color="B0B0B0"/>
              <w:right w:val="single" w:sz="1" w:space="0" w:color="D8D8D8"/>
            </w:tcBorders>
          </w:tcPr>
          <w:p>
            <w:pPr>
              <w:jc w:val="left"/>
            </w:pPr>
            <w:r>
              <w:rPr>
                <w:rFonts w:ascii="Times New Roman" w:hAnsi="Times New Roman"/>
                <w:sz w:val="20"/>
              </w:rPr>
            </w:r>
          </w:p>
        </w:tc>
      </w:tr>
      <w:tr>
        <w:tc>
          <w:tcPr>
            <w:tcW w:type="dxa" w:w="1084"/>
            <w:tcMar>
              <w:top w:w="80" w:type="dxa"/>
              <w:bottom w:w="80" w:type="dxa"/>
              <w:left w:w="120" w:type="dxa"/>
              <w:right w:w="120" w:type="dxa"/>
            </w:tcMar>
            <w:tcBorders>
              <w:top w:val="single" w:sz="2" w:space="0" w:color="B0B0B0"/>
              <w:left w:val="single" w:sz="1" w:space="0" w:color="D8D8D8"/>
              <w:bottom w:val="single" w:sz="2" w:space="0" w:color="B0B0B0"/>
              <w:right w:val="single" w:sz="1" w:space="0" w:color="D8D8D8"/>
            </w:tcBorders>
          </w:tcPr>
          <w:p>
            <w:pPr>
              <w:jc w:val="left"/>
            </w:pPr>
            <w:r>
              <w:rPr>
                <w:rFonts w:ascii="Times New Roman" w:hAnsi="Times New Roman"/>
                <w:sz w:val="20"/>
              </w:rPr>
              <w:t>Gaw et al. (2025) [gaw2025optimized]</w:t>
            </w:r>
          </w:p>
        </w:tc>
        <w:tc>
          <w:tcPr>
            <w:tcW w:type="dxa" w:w="1084"/>
            <w:tcMar>
              <w:top w:w="80" w:type="dxa"/>
              <w:bottom w:w="80" w:type="dxa"/>
              <w:left w:w="120" w:type="dxa"/>
              <w:right w:w="120" w:type="dxa"/>
            </w:tcMar>
            <w:tcBorders>
              <w:top w:val="single" w:sz="2" w:space="0" w:color="B0B0B0"/>
              <w:left w:val="single" w:sz="1" w:space="0" w:color="D8D8D8"/>
              <w:bottom w:val="single" w:sz="2" w:space="0" w:color="B0B0B0"/>
              <w:right w:val="single" w:sz="1" w:space="0" w:color="D8D8D8"/>
            </w:tcBorders>
          </w:tcPr>
          <w:p>
            <w:pPr>
              <w:jc w:val="left"/>
            </w:pPr>
            <w:r>
              <w:rPr>
                <w:rFonts w:ascii="Times New Roman" w:hAnsi="Times New Roman"/>
                <w:sz w:val="20"/>
              </w:rPr>
              <w:t>Intraoral</w:t>
            </w:r>
          </w:p>
        </w:tc>
        <w:tc>
          <w:tcPr>
            <w:tcW w:type="dxa" w:w="1084"/>
            <w:tcMar>
              <w:top w:w="80" w:type="dxa"/>
              <w:bottom w:w="80" w:type="dxa"/>
              <w:left w:w="120" w:type="dxa"/>
              <w:right w:w="120" w:type="dxa"/>
            </w:tcMar>
            <w:tcBorders>
              <w:top w:val="single" w:sz="2" w:space="0" w:color="B0B0B0"/>
              <w:left w:val="single" w:sz="1" w:space="0" w:color="D8D8D8"/>
              <w:bottom w:val="single" w:sz="2" w:space="0" w:color="B0B0B0"/>
              <w:right w:val="single" w:sz="1" w:space="0" w:color="D8D8D8"/>
            </w:tcBorders>
          </w:tcPr>
          <w:p>
            <w:pPr>
              <w:jc w:val="left"/>
            </w:pPr>
            <w:r>
              <w:rPr>
                <w:rFonts w:ascii="Times New Roman" w:hAnsi="Times New Roman"/>
                <w:sz w:val="20"/>
              </w:rPr>
              <w:t>DenseNet+EffNet</w:t>
            </w:r>
          </w:p>
        </w:tc>
        <w:tc>
          <w:tcPr>
            <w:tcW w:type="dxa" w:w="1084"/>
            <w:tcMar>
              <w:top w:w="80" w:type="dxa"/>
              <w:bottom w:w="80" w:type="dxa"/>
              <w:left w:w="120" w:type="dxa"/>
              <w:right w:w="120" w:type="dxa"/>
            </w:tcMar>
            <w:tcBorders>
              <w:top w:val="single" w:sz="2" w:space="0" w:color="B0B0B0"/>
              <w:left w:val="single" w:sz="1" w:space="0" w:color="D8D8D8"/>
              <w:bottom w:val="single" w:sz="2" w:space="0" w:color="B0B0B0"/>
              <w:right w:val="single" w:sz="1" w:space="0" w:color="D8D8D8"/>
            </w:tcBorders>
          </w:tcPr>
          <w:p>
            <w:pPr>
              <w:jc w:val="left"/>
            </w:pPr>
            <w:r>
              <w:rPr>
                <w:rFonts w:ascii="Times New Roman" w:hAnsi="Times New Roman"/>
                <w:sz w:val="20"/>
              </w:rPr>
              <w:t>1,180</w:t>
            </w:r>
          </w:p>
        </w:tc>
        <w:tc>
          <w:tcPr>
            <w:tcW w:type="dxa" w:w="1084"/>
            <w:tcMar>
              <w:top w:w="80" w:type="dxa"/>
              <w:bottom w:w="80" w:type="dxa"/>
              <w:left w:w="120" w:type="dxa"/>
              <w:right w:w="120" w:type="dxa"/>
            </w:tcMar>
            <w:tcBorders>
              <w:top w:val="single" w:sz="2" w:space="0" w:color="B0B0B0"/>
              <w:left w:val="single" w:sz="1" w:space="0" w:color="D8D8D8"/>
              <w:bottom w:val="single" w:sz="2" w:space="0" w:color="B0B0B0"/>
              <w:right w:val="single" w:sz="1" w:space="0" w:color="D8D8D8"/>
            </w:tcBorders>
          </w:tcPr>
          <w:p>
            <w:pPr>
              <w:jc w:val="left"/>
            </w:pPr>
            <w:r>
              <w:rPr>
                <w:rFonts w:ascii="Times New Roman" w:hAnsi="Times New Roman"/>
                <w:sz w:val="20"/>
              </w:rPr>
              <w:t>Acc: 94.6%</w:t>
            </w:r>
          </w:p>
        </w:tc>
        <w:tc>
          <w:tcPr>
            <w:tcW w:type="dxa" w:w="1084"/>
            <w:tcMar>
              <w:top w:w="80" w:type="dxa"/>
              <w:bottom w:w="80" w:type="dxa"/>
              <w:left w:w="120" w:type="dxa"/>
              <w:right w:w="120" w:type="dxa"/>
            </w:tcMar>
            <w:tcBorders>
              <w:top w:val="single" w:sz="2" w:space="0" w:color="B0B0B0"/>
              <w:left w:val="single" w:sz="1" w:space="0" w:color="D8D8D8"/>
              <w:bottom w:val="single" w:sz="2" w:space="0" w:color="B0B0B0"/>
              <w:right w:val="single" w:sz="1" w:space="0" w:color="D8D8D8"/>
            </w:tcBorders>
          </w:tcPr>
          <w:p>
            <w:pPr>
              <w:jc w:val="left"/>
            </w:pPr>
            <w:r>
              <w:rPr>
                <w:rFonts w:ascii="Times New Roman" w:hAnsi="Times New Roman"/>
                <w:sz w:val="20"/>
              </w:rPr>
              <w:t>No</w:t>
            </w:r>
          </w:p>
        </w:tc>
        <w:tc>
          <w:tcPr>
            <w:tcW w:type="dxa" w:w="1084"/>
            <w:tcMar>
              <w:top w:w="80" w:type="dxa"/>
              <w:bottom w:w="80" w:type="dxa"/>
              <w:left w:w="120" w:type="dxa"/>
              <w:right w:w="120" w:type="dxa"/>
            </w:tcMar>
            <w:tcBorders>
              <w:top w:val="single" w:sz="2" w:space="0" w:color="B0B0B0"/>
              <w:left w:val="single" w:sz="1" w:space="0" w:color="D8D8D8"/>
              <w:bottom w:val="single" w:sz="2" w:space="0" w:color="B0B0B0"/>
              <w:right w:val="single" w:sz="1" w:space="0" w:color="D8D8D8"/>
            </w:tcBorders>
          </w:tcPr>
          <w:p>
            <w:pPr>
              <w:jc w:val="left"/>
            </w:pPr>
            <w:r>
              <w:rPr>
                <w:rFonts w:ascii="Times New Roman" w:hAnsi="Times New Roman"/>
                <w:sz w:val="20"/>
              </w:rPr>
              <w:t>No</w:t>
            </w:r>
          </w:p>
        </w:tc>
        <w:tc>
          <w:tcPr>
            <w:tcW w:type="dxa" w:w="1084"/>
            <w:tcMar>
              <w:top w:w="80" w:type="dxa"/>
              <w:bottom w:w="80" w:type="dxa"/>
              <w:left w:w="120" w:type="dxa"/>
              <w:right w:w="120" w:type="dxa"/>
            </w:tcMar>
            <w:tcBorders>
              <w:top w:val="single" w:sz="2" w:space="0" w:color="B0B0B0"/>
              <w:left w:val="single" w:sz="1" w:space="0" w:color="D8D8D8"/>
              <w:bottom w:val="single" w:sz="2" w:space="0" w:color="B0B0B0"/>
              <w:right w:val="single" w:sz="1" w:space="0" w:color="D8D8D8"/>
            </w:tcBorders>
          </w:tcPr>
          <w:p>
            <w:pPr>
              <w:jc w:val="left"/>
            </w:pPr>
            <w:r>
              <w:rPr>
                <w:rFonts w:ascii="Times New Roman" w:hAnsi="Times New Roman"/>
                <w:sz w:val="20"/>
              </w:rPr>
            </w:r>
          </w:p>
        </w:tc>
      </w:tr>
      <w:tr>
        <w:tc>
          <w:tcPr>
            <w:tcW w:type="dxa" w:w="1084"/>
            <w:tcMar>
              <w:top w:w="80" w:type="dxa"/>
              <w:bottom w:w="80" w:type="dxa"/>
              <w:left w:w="120" w:type="dxa"/>
              <w:right w:w="120" w:type="dxa"/>
            </w:tcMar>
            <w:tcBorders>
              <w:top w:val="single" w:sz="2" w:space="0" w:color="B0B0B0"/>
              <w:left w:val="single" w:sz="1" w:space="0" w:color="D8D8D8"/>
              <w:bottom w:val="single" w:sz="2" w:space="0" w:color="B0B0B0"/>
              <w:right w:val="single" w:sz="1" w:space="0" w:color="D8D8D8"/>
            </w:tcBorders>
          </w:tcPr>
          <w:p>
            <w:pPr>
              <w:jc w:val="left"/>
            </w:pPr>
            <w:r>
              <w:rPr>
                <w:rFonts w:ascii="Times New Roman" w:hAnsi="Times New Roman"/>
                <w:sz w:val="20"/>
              </w:rPr>
              <w:t>Research Square (2026) [researchsquare2026ai]</w:t>
            </w:r>
          </w:p>
        </w:tc>
        <w:tc>
          <w:tcPr>
            <w:tcW w:type="dxa" w:w="1084"/>
            <w:tcMar>
              <w:top w:w="80" w:type="dxa"/>
              <w:bottom w:w="80" w:type="dxa"/>
              <w:left w:w="120" w:type="dxa"/>
              <w:right w:w="120" w:type="dxa"/>
            </w:tcMar>
            <w:tcBorders>
              <w:top w:val="single" w:sz="2" w:space="0" w:color="B0B0B0"/>
              <w:left w:val="single" w:sz="1" w:space="0" w:color="D8D8D8"/>
              <w:bottom w:val="single" w:sz="2" w:space="0" w:color="B0B0B0"/>
              <w:right w:val="single" w:sz="1" w:space="0" w:color="D8D8D8"/>
            </w:tcBorders>
          </w:tcPr>
          <w:p>
            <w:pPr>
              <w:jc w:val="left"/>
            </w:pPr>
            <w:r>
              <w:rPr>
                <w:rFonts w:ascii="Times New Roman" w:hAnsi="Times New Roman"/>
                <w:sz w:val="20"/>
              </w:rPr>
              <w:t>Photographic</w:t>
            </w:r>
          </w:p>
        </w:tc>
        <w:tc>
          <w:tcPr>
            <w:tcW w:type="dxa" w:w="1084"/>
            <w:tcMar>
              <w:top w:w="80" w:type="dxa"/>
              <w:bottom w:w="80" w:type="dxa"/>
              <w:left w:w="120" w:type="dxa"/>
              <w:right w:w="120" w:type="dxa"/>
            </w:tcMar>
            <w:tcBorders>
              <w:top w:val="single" w:sz="2" w:space="0" w:color="B0B0B0"/>
              <w:left w:val="single" w:sz="1" w:space="0" w:color="D8D8D8"/>
              <w:bottom w:val="single" w:sz="2" w:space="0" w:color="B0B0B0"/>
              <w:right w:val="single" w:sz="1" w:space="0" w:color="D8D8D8"/>
            </w:tcBorders>
          </w:tcPr>
          <w:p>
            <w:pPr>
              <w:jc w:val="left"/>
            </w:pPr>
            <w:r>
              <w:rPr>
                <w:rFonts w:ascii="Times New Roman" w:hAnsi="Times New Roman"/>
                <w:sz w:val="20"/>
              </w:rPr>
              <w:t>ViT Backbone</w:t>
            </w:r>
          </w:p>
        </w:tc>
        <w:tc>
          <w:tcPr>
            <w:tcW w:type="dxa" w:w="1084"/>
            <w:tcMar>
              <w:top w:w="80" w:type="dxa"/>
              <w:bottom w:w="80" w:type="dxa"/>
              <w:left w:w="120" w:type="dxa"/>
              <w:right w:w="120" w:type="dxa"/>
            </w:tcMar>
            <w:tcBorders>
              <w:top w:val="single" w:sz="2" w:space="0" w:color="B0B0B0"/>
              <w:left w:val="single" w:sz="1" w:space="0" w:color="D8D8D8"/>
              <w:bottom w:val="single" w:sz="2" w:space="0" w:color="B0B0B0"/>
              <w:right w:val="single" w:sz="1" w:space="0" w:color="D8D8D8"/>
            </w:tcBorders>
          </w:tcPr>
          <w:p>
            <w:pPr>
              <w:jc w:val="left"/>
            </w:pPr>
            <w:r>
              <w:rPr>
                <w:rFonts w:ascii="Times New Roman" w:hAnsi="Times New Roman"/>
                <w:sz w:val="20"/>
              </w:rPr>
              <w:t>1,600</w:t>
            </w:r>
          </w:p>
        </w:tc>
        <w:tc>
          <w:tcPr>
            <w:tcW w:type="dxa" w:w="1084"/>
            <w:tcMar>
              <w:top w:w="80" w:type="dxa"/>
              <w:bottom w:w="80" w:type="dxa"/>
              <w:left w:w="120" w:type="dxa"/>
              <w:right w:w="120" w:type="dxa"/>
            </w:tcMar>
            <w:tcBorders>
              <w:top w:val="single" w:sz="2" w:space="0" w:color="B0B0B0"/>
              <w:left w:val="single" w:sz="1" w:space="0" w:color="D8D8D8"/>
              <w:bottom w:val="single" w:sz="2" w:space="0" w:color="B0B0B0"/>
              <w:right w:val="single" w:sz="1" w:space="0" w:color="D8D8D8"/>
            </w:tcBorders>
          </w:tcPr>
          <w:p>
            <w:pPr>
              <w:jc w:val="left"/>
            </w:pPr>
            <w:r>
              <w:rPr>
                <w:rFonts w:ascii="Times New Roman" w:hAnsi="Times New Roman"/>
                <w:sz w:val="20"/>
              </w:rPr>
              <w:t>Acc: 92.4%</w:t>
            </w:r>
          </w:p>
        </w:tc>
        <w:tc>
          <w:tcPr>
            <w:tcW w:type="dxa" w:w="1084"/>
            <w:tcMar>
              <w:top w:w="80" w:type="dxa"/>
              <w:bottom w:w="80" w:type="dxa"/>
              <w:left w:w="120" w:type="dxa"/>
              <w:right w:w="120" w:type="dxa"/>
            </w:tcMar>
            <w:tcBorders>
              <w:top w:val="single" w:sz="2" w:space="0" w:color="B0B0B0"/>
              <w:left w:val="single" w:sz="1" w:space="0" w:color="D8D8D8"/>
              <w:bottom w:val="single" w:sz="2" w:space="0" w:color="B0B0B0"/>
              <w:right w:val="single" w:sz="1" w:space="0" w:color="D8D8D8"/>
            </w:tcBorders>
          </w:tcPr>
          <w:p>
            <w:pPr>
              <w:jc w:val="left"/>
            </w:pPr>
            <w:r>
              <w:rPr>
                <w:rFonts w:ascii="Times New Roman" w:hAnsi="Times New Roman"/>
                <w:sz w:val="20"/>
              </w:rPr>
              <w:t>No</w:t>
            </w:r>
          </w:p>
        </w:tc>
        <w:tc>
          <w:tcPr>
            <w:tcW w:type="dxa" w:w="1084"/>
            <w:tcMar>
              <w:top w:w="80" w:type="dxa"/>
              <w:bottom w:w="80" w:type="dxa"/>
              <w:left w:w="120" w:type="dxa"/>
              <w:right w:w="120" w:type="dxa"/>
            </w:tcMar>
            <w:tcBorders>
              <w:top w:val="single" w:sz="2" w:space="0" w:color="B0B0B0"/>
              <w:left w:val="single" w:sz="1" w:space="0" w:color="D8D8D8"/>
              <w:bottom w:val="single" w:sz="2" w:space="0" w:color="B0B0B0"/>
              <w:right w:val="single" w:sz="1" w:space="0" w:color="D8D8D8"/>
            </w:tcBorders>
          </w:tcPr>
          <w:p>
            <w:pPr>
              <w:jc w:val="left"/>
            </w:pPr>
            <w:r>
              <w:rPr>
                <w:rFonts w:ascii="Times New Roman" w:hAnsi="Times New Roman"/>
                <w:sz w:val="20"/>
              </w:rPr>
              <w:t>No</w:t>
            </w:r>
          </w:p>
        </w:tc>
        <w:tc>
          <w:tcPr>
            <w:tcW w:type="dxa" w:w="1084"/>
            <w:tcMar>
              <w:top w:w="80" w:type="dxa"/>
              <w:bottom w:w="80" w:type="dxa"/>
              <w:left w:w="120" w:type="dxa"/>
              <w:right w:w="120" w:type="dxa"/>
            </w:tcMar>
            <w:tcBorders>
              <w:top w:val="single" w:sz="2" w:space="0" w:color="B0B0B0"/>
              <w:left w:val="single" w:sz="1" w:space="0" w:color="D8D8D8"/>
              <w:bottom w:val="single" w:sz="2" w:space="0" w:color="B0B0B0"/>
              <w:right w:val="single" w:sz="1" w:space="0" w:color="D8D8D8"/>
            </w:tcBorders>
          </w:tcPr>
          <w:p>
            <w:pPr>
              <w:jc w:val="left"/>
            </w:pPr>
            <w:r>
              <w:rPr>
                <w:rFonts w:ascii="Times New Roman" w:hAnsi="Times New Roman"/>
                <w:sz w:val="20"/>
              </w:rPr>
            </w:r>
          </w:p>
        </w:tc>
      </w:tr>
      <w:tr>
        <w:tc>
          <w:tcPr>
            <w:tcW w:type="dxa" w:w="1084"/>
            <w:tcMar>
              <w:top w:w="80" w:type="dxa"/>
              <w:bottom w:w="80" w:type="dxa"/>
              <w:left w:w="120" w:type="dxa"/>
              <w:right w:w="120" w:type="dxa"/>
            </w:tcMar>
            <w:tcBorders>
              <w:top w:val="single" w:sz="2" w:space="0" w:color="B0B0B0"/>
              <w:left w:val="single" w:sz="1" w:space="0" w:color="D8D8D8"/>
              <w:bottom w:val="single" w:sz="2" w:space="0" w:color="B0B0B0"/>
              <w:right w:val="single" w:sz="1" w:space="0" w:color="D8D8D8"/>
            </w:tcBorders>
          </w:tcPr>
          <w:p>
            <w:pPr>
              <w:jc w:val="left"/>
            </w:pPr>
            <w:r>
              <w:rPr>
                <w:rFonts w:ascii="Times New Roman" w:hAnsi="Times New Roman"/>
                <w:sz w:val="20"/>
              </w:rPr>
              <w:t>Collins et al. (2024) [collins2024tripod]</w:t>
            </w:r>
          </w:p>
        </w:tc>
        <w:tc>
          <w:tcPr>
            <w:tcW w:type="dxa" w:w="1084"/>
            <w:tcMar>
              <w:top w:w="80" w:type="dxa"/>
              <w:bottom w:w="80" w:type="dxa"/>
              <w:left w:w="120" w:type="dxa"/>
              <w:right w:w="120" w:type="dxa"/>
            </w:tcMar>
            <w:tcBorders>
              <w:top w:val="single" w:sz="2" w:space="0" w:color="B0B0B0"/>
              <w:left w:val="single" w:sz="1" w:space="0" w:color="D8D8D8"/>
              <w:bottom w:val="single" w:sz="2" w:space="0" w:color="B0B0B0"/>
              <w:right w:val="single" w:sz="1" w:space="0" w:color="D8D8D8"/>
            </w:tcBorders>
          </w:tcPr>
          <w:p>
            <w:pPr>
              <w:jc w:val="left"/>
            </w:pPr>
            <w:r>
              <w:rPr>
                <w:rFonts w:ascii="Times New Roman" w:hAnsi="Times New Roman"/>
                <w:sz w:val="20"/>
              </w:rPr>
              <w:t>Guideline</w:t>
            </w:r>
          </w:p>
        </w:tc>
        <w:tc>
          <w:tcPr>
            <w:tcW w:type="dxa" w:w="1084"/>
            <w:tcMar>
              <w:top w:w="80" w:type="dxa"/>
              <w:bottom w:w="80" w:type="dxa"/>
              <w:left w:w="120" w:type="dxa"/>
              <w:right w:w="120" w:type="dxa"/>
            </w:tcMar>
            <w:tcBorders>
              <w:top w:val="single" w:sz="2" w:space="0" w:color="B0B0B0"/>
              <w:left w:val="single" w:sz="1" w:space="0" w:color="D8D8D8"/>
              <w:bottom w:val="single" w:sz="2" w:space="0" w:color="B0B0B0"/>
              <w:right w:val="single" w:sz="1" w:space="0" w:color="D8D8D8"/>
            </w:tcBorders>
          </w:tcPr>
          <w:p>
            <w:pPr>
              <w:jc w:val="left"/>
            </w:pPr>
            <w:r>
              <w:rPr>
                <w:rFonts w:ascii="Times New Roman" w:hAnsi="Times New Roman"/>
                <w:sz w:val="20"/>
              </w:rPr>
              <w:t>TRIPOD+AI</w:t>
            </w:r>
          </w:p>
        </w:tc>
        <w:tc>
          <w:tcPr>
            <w:tcW w:type="dxa" w:w="1084"/>
            <w:tcMar>
              <w:top w:w="80" w:type="dxa"/>
              <w:bottom w:w="80" w:type="dxa"/>
              <w:left w:w="120" w:type="dxa"/>
              <w:right w:w="120" w:type="dxa"/>
            </w:tcMar>
            <w:tcBorders>
              <w:top w:val="single" w:sz="2" w:space="0" w:color="B0B0B0"/>
              <w:left w:val="single" w:sz="1" w:space="0" w:color="D8D8D8"/>
              <w:bottom w:val="single" w:sz="2" w:space="0" w:color="B0B0B0"/>
              <w:right w:val="single" w:sz="1" w:space="0" w:color="D8D8D8"/>
            </w:tcBorders>
          </w:tcPr>
          <w:p>
            <w:pPr>
              <w:jc w:val="left"/>
            </w:pPr>
            <w:r>
              <w:rPr>
                <w:rFonts w:ascii="Times New Roman" w:hAnsi="Times New Roman"/>
                <w:sz w:val="20"/>
              </w:rPr>
              <w:t>N/A</w:t>
            </w:r>
          </w:p>
        </w:tc>
        <w:tc>
          <w:tcPr>
            <w:tcW w:type="dxa" w:w="1084"/>
            <w:tcMar>
              <w:top w:w="80" w:type="dxa"/>
              <w:bottom w:w="80" w:type="dxa"/>
              <w:left w:w="120" w:type="dxa"/>
              <w:right w:w="120" w:type="dxa"/>
            </w:tcMar>
            <w:tcBorders>
              <w:top w:val="single" w:sz="2" w:space="0" w:color="B0B0B0"/>
              <w:left w:val="single" w:sz="1" w:space="0" w:color="D8D8D8"/>
              <w:bottom w:val="single" w:sz="2" w:space="0" w:color="B0B0B0"/>
              <w:right w:val="single" w:sz="1" w:space="0" w:color="D8D8D8"/>
            </w:tcBorders>
          </w:tcPr>
          <w:p>
            <w:pPr>
              <w:jc w:val="left"/>
            </w:pPr>
            <w:r>
              <w:rPr>
                <w:rFonts w:ascii="Times New Roman" w:hAnsi="Times New Roman"/>
                <w:sz w:val="20"/>
              </w:rPr>
              <w:t>Standard</w:t>
            </w:r>
          </w:p>
        </w:tc>
        <w:tc>
          <w:tcPr>
            <w:tcW w:type="dxa" w:w="1084"/>
            <w:tcMar>
              <w:top w:w="80" w:type="dxa"/>
              <w:bottom w:w="80" w:type="dxa"/>
              <w:left w:w="120" w:type="dxa"/>
              <w:right w:w="120" w:type="dxa"/>
            </w:tcMar>
            <w:tcBorders>
              <w:top w:val="single" w:sz="2" w:space="0" w:color="B0B0B0"/>
              <w:left w:val="single" w:sz="1" w:space="0" w:color="D8D8D8"/>
              <w:bottom w:val="single" w:sz="2" w:space="0" w:color="B0B0B0"/>
              <w:right w:val="single" w:sz="1" w:space="0" w:color="D8D8D8"/>
            </w:tcBorders>
          </w:tcPr>
          <w:p>
            <w:pPr>
              <w:jc w:val="left"/>
            </w:pPr>
            <w:r>
              <w:rPr>
                <w:rFonts w:ascii="Times New Roman" w:hAnsi="Times New Roman"/>
                <w:sz w:val="20"/>
              </w:rPr>
              <w:t>Yes</w:t>
            </w:r>
          </w:p>
        </w:tc>
        <w:tc>
          <w:tcPr>
            <w:tcW w:type="dxa" w:w="1084"/>
            <w:tcMar>
              <w:top w:w="80" w:type="dxa"/>
              <w:bottom w:w="80" w:type="dxa"/>
              <w:left w:w="120" w:type="dxa"/>
              <w:right w:w="120" w:type="dxa"/>
            </w:tcMar>
            <w:tcBorders>
              <w:top w:val="single" w:sz="2" w:space="0" w:color="B0B0B0"/>
              <w:left w:val="single" w:sz="1" w:space="0" w:color="D8D8D8"/>
              <w:bottom w:val="single" w:sz="2" w:space="0" w:color="B0B0B0"/>
              <w:right w:val="single" w:sz="1" w:space="0" w:color="D8D8D8"/>
            </w:tcBorders>
          </w:tcPr>
          <w:p>
            <w:pPr>
              <w:jc w:val="left"/>
            </w:pPr>
            <w:r>
              <w:rPr>
                <w:rFonts w:ascii="Times New Roman" w:hAnsi="Times New Roman"/>
                <w:sz w:val="20"/>
              </w:rPr>
              <w:t>Yes</w:t>
            </w:r>
          </w:p>
        </w:tc>
        <w:tc>
          <w:tcPr>
            <w:tcW w:type="dxa" w:w="1084"/>
            <w:tcMar>
              <w:top w:w="80" w:type="dxa"/>
              <w:bottom w:w="80" w:type="dxa"/>
              <w:left w:w="120" w:type="dxa"/>
              <w:right w:w="120" w:type="dxa"/>
            </w:tcMar>
            <w:tcBorders>
              <w:top w:val="single" w:sz="2" w:space="0" w:color="B0B0B0"/>
              <w:left w:val="single" w:sz="1" w:space="0" w:color="D8D8D8"/>
              <w:bottom w:val="single" w:sz="2" w:space="0" w:color="B0B0B0"/>
              <w:right w:val="single" w:sz="1" w:space="0" w:color="D8D8D8"/>
            </w:tcBorders>
          </w:tcPr>
          <w:p>
            <w:pPr>
              <w:jc w:val="left"/>
            </w:pPr>
            <w:r>
              <w:rPr>
                <w:rFonts w:ascii="Times New Roman" w:hAnsi="Times New Roman"/>
                <w:sz w:val="20"/>
              </w:rPr>
            </w:r>
          </w:p>
        </w:tc>
      </w:tr>
      <w:tr>
        <w:tc>
          <w:tcPr>
            <w:tcW w:type="dxa" w:w="1084"/>
            <w:tcMar>
              <w:top w:w="80" w:type="dxa"/>
              <w:bottom w:w="80" w:type="dxa"/>
              <w:left w:w="120" w:type="dxa"/>
              <w:right w:w="120" w:type="dxa"/>
            </w:tcMar>
            <w:tcBorders>
              <w:top w:val="single" w:sz="2" w:space="0" w:color="B0B0B0"/>
              <w:left w:val="single" w:sz="1" w:space="0" w:color="D8D8D8"/>
              <w:bottom w:val="single" w:sz="2" w:space="0" w:color="B0B0B0"/>
              <w:right w:val="single" w:sz="1" w:space="0" w:color="D8D8D8"/>
            </w:tcBorders>
          </w:tcPr>
          <w:p>
            <w:pPr>
              <w:jc w:val="left"/>
            </w:pPr>
            <w:r>
              <w:rPr>
                <w:rFonts w:ascii="Times New Roman" w:hAnsi="Times New Roman"/>
                <w:sz w:val="20"/>
              </w:rPr>
              <w:t>Mongan et al. (2024) [mongan2024claim]</w:t>
            </w:r>
          </w:p>
        </w:tc>
        <w:tc>
          <w:tcPr>
            <w:tcW w:type="dxa" w:w="1084"/>
            <w:tcMar>
              <w:top w:w="80" w:type="dxa"/>
              <w:bottom w:w="80" w:type="dxa"/>
              <w:left w:w="120" w:type="dxa"/>
              <w:right w:w="120" w:type="dxa"/>
            </w:tcMar>
            <w:tcBorders>
              <w:top w:val="single" w:sz="2" w:space="0" w:color="B0B0B0"/>
              <w:left w:val="single" w:sz="1" w:space="0" w:color="D8D8D8"/>
              <w:bottom w:val="single" w:sz="2" w:space="0" w:color="B0B0B0"/>
              <w:right w:val="single" w:sz="1" w:space="0" w:color="D8D8D8"/>
            </w:tcBorders>
          </w:tcPr>
          <w:p>
            <w:pPr>
              <w:jc w:val="left"/>
            </w:pPr>
            <w:r>
              <w:rPr>
                <w:rFonts w:ascii="Times New Roman" w:hAnsi="Times New Roman"/>
                <w:sz w:val="20"/>
              </w:rPr>
              <w:t>Guideline</w:t>
            </w:r>
          </w:p>
        </w:tc>
        <w:tc>
          <w:tcPr>
            <w:tcW w:type="dxa" w:w="1084"/>
            <w:tcMar>
              <w:top w:w="80" w:type="dxa"/>
              <w:bottom w:w="80" w:type="dxa"/>
              <w:left w:w="120" w:type="dxa"/>
              <w:right w:w="120" w:type="dxa"/>
            </w:tcMar>
            <w:tcBorders>
              <w:top w:val="single" w:sz="2" w:space="0" w:color="B0B0B0"/>
              <w:left w:val="single" w:sz="1" w:space="0" w:color="D8D8D8"/>
              <w:bottom w:val="single" w:sz="2" w:space="0" w:color="B0B0B0"/>
              <w:right w:val="single" w:sz="1" w:space="0" w:color="D8D8D8"/>
            </w:tcBorders>
          </w:tcPr>
          <w:p>
            <w:pPr>
              <w:jc w:val="left"/>
            </w:pPr>
            <w:r>
              <w:rPr>
                <w:rFonts w:ascii="Times New Roman" w:hAnsi="Times New Roman"/>
                <w:sz w:val="20"/>
              </w:rPr>
              <w:t>CLAIM 2024</w:t>
            </w:r>
          </w:p>
        </w:tc>
        <w:tc>
          <w:tcPr>
            <w:tcW w:type="dxa" w:w="1084"/>
            <w:tcMar>
              <w:top w:w="80" w:type="dxa"/>
              <w:bottom w:w="80" w:type="dxa"/>
              <w:left w:w="120" w:type="dxa"/>
              <w:right w:w="120" w:type="dxa"/>
            </w:tcMar>
            <w:tcBorders>
              <w:top w:val="single" w:sz="2" w:space="0" w:color="B0B0B0"/>
              <w:left w:val="single" w:sz="1" w:space="0" w:color="D8D8D8"/>
              <w:bottom w:val="single" w:sz="2" w:space="0" w:color="B0B0B0"/>
              <w:right w:val="single" w:sz="1" w:space="0" w:color="D8D8D8"/>
            </w:tcBorders>
          </w:tcPr>
          <w:p>
            <w:pPr>
              <w:jc w:val="left"/>
            </w:pPr>
            <w:r>
              <w:rPr>
                <w:rFonts w:ascii="Times New Roman" w:hAnsi="Times New Roman"/>
                <w:sz w:val="20"/>
              </w:rPr>
              <w:t>N/A</w:t>
            </w:r>
          </w:p>
        </w:tc>
        <w:tc>
          <w:tcPr>
            <w:tcW w:type="dxa" w:w="1084"/>
            <w:tcMar>
              <w:top w:w="80" w:type="dxa"/>
              <w:bottom w:w="80" w:type="dxa"/>
              <w:left w:w="120" w:type="dxa"/>
              <w:right w:w="120" w:type="dxa"/>
            </w:tcMar>
            <w:tcBorders>
              <w:top w:val="single" w:sz="2" w:space="0" w:color="B0B0B0"/>
              <w:left w:val="single" w:sz="1" w:space="0" w:color="D8D8D8"/>
              <w:bottom w:val="single" w:sz="2" w:space="0" w:color="B0B0B0"/>
              <w:right w:val="single" w:sz="1" w:space="0" w:color="D8D8D8"/>
            </w:tcBorders>
          </w:tcPr>
          <w:p>
            <w:pPr>
              <w:jc w:val="left"/>
            </w:pPr>
            <w:r>
              <w:rPr>
                <w:rFonts w:ascii="Times New Roman" w:hAnsi="Times New Roman"/>
                <w:sz w:val="20"/>
              </w:rPr>
              <w:t>Standard</w:t>
            </w:r>
          </w:p>
        </w:tc>
        <w:tc>
          <w:tcPr>
            <w:tcW w:type="dxa" w:w="1084"/>
            <w:tcMar>
              <w:top w:w="80" w:type="dxa"/>
              <w:bottom w:w="80" w:type="dxa"/>
              <w:left w:w="120" w:type="dxa"/>
              <w:right w:w="120" w:type="dxa"/>
            </w:tcMar>
            <w:tcBorders>
              <w:top w:val="single" w:sz="2" w:space="0" w:color="B0B0B0"/>
              <w:left w:val="single" w:sz="1" w:space="0" w:color="D8D8D8"/>
              <w:bottom w:val="single" w:sz="2" w:space="0" w:color="B0B0B0"/>
              <w:right w:val="single" w:sz="1" w:space="0" w:color="D8D8D8"/>
            </w:tcBorders>
          </w:tcPr>
          <w:p>
            <w:pPr>
              <w:jc w:val="left"/>
            </w:pPr>
            <w:r>
              <w:rPr>
                <w:rFonts w:ascii="Times New Roman" w:hAnsi="Times New Roman"/>
                <w:sz w:val="20"/>
              </w:rPr>
              <w:t>Recom.</w:t>
            </w:r>
          </w:p>
        </w:tc>
        <w:tc>
          <w:tcPr>
            <w:tcW w:type="dxa" w:w="1084"/>
            <w:tcMar>
              <w:top w:w="80" w:type="dxa"/>
              <w:bottom w:w="80" w:type="dxa"/>
              <w:left w:w="120" w:type="dxa"/>
              <w:right w:w="120" w:type="dxa"/>
            </w:tcMar>
            <w:tcBorders>
              <w:top w:val="single" w:sz="2" w:space="0" w:color="B0B0B0"/>
              <w:left w:val="single" w:sz="1" w:space="0" w:color="D8D8D8"/>
              <w:bottom w:val="single" w:sz="2" w:space="0" w:color="B0B0B0"/>
              <w:right w:val="single" w:sz="1" w:space="0" w:color="D8D8D8"/>
            </w:tcBorders>
          </w:tcPr>
          <w:p>
            <w:pPr>
              <w:jc w:val="left"/>
            </w:pPr>
            <w:r>
              <w:rPr>
                <w:rFonts w:ascii="Times New Roman" w:hAnsi="Times New Roman"/>
                <w:sz w:val="20"/>
              </w:rPr>
              <w:t>Recom.</w:t>
            </w:r>
          </w:p>
        </w:tc>
        <w:tc>
          <w:tcPr>
            <w:tcW w:type="dxa" w:w="1084"/>
            <w:tcMar>
              <w:top w:w="80" w:type="dxa"/>
              <w:bottom w:w="80" w:type="dxa"/>
              <w:left w:w="120" w:type="dxa"/>
              <w:right w:w="120" w:type="dxa"/>
            </w:tcMar>
            <w:tcBorders>
              <w:top w:val="single" w:sz="2" w:space="0" w:color="B0B0B0"/>
              <w:left w:val="single" w:sz="1" w:space="0" w:color="D8D8D8"/>
              <w:bottom w:val="single" w:sz="2" w:space="0" w:color="B0B0B0"/>
              <w:right w:val="single" w:sz="1" w:space="0" w:color="D8D8D8"/>
            </w:tcBorders>
          </w:tcPr>
          <w:p>
            <w:pPr>
              <w:jc w:val="left"/>
            </w:pPr>
            <w:r>
              <w:rPr>
                <w:rFonts w:ascii="Times New Roman" w:hAnsi="Times New Roman"/>
                <w:sz w:val="20"/>
              </w:rPr>
            </w:r>
          </w:p>
        </w:tc>
      </w:tr>
      <w:tr>
        <w:tc>
          <w:tcPr>
            <w:tcW w:type="dxa" w:w="1084"/>
            <w:tcMar>
              <w:top w:w="80" w:type="dxa"/>
              <w:bottom w:w="80" w:type="dxa"/>
              <w:left w:w="120" w:type="dxa"/>
              <w:right w:w="120" w:type="dxa"/>
            </w:tcMar>
            <w:tcBorders>
              <w:top w:val="single" w:sz="2" w:space="0" w:color="B0B0B0"/>
              <w:left w:val="single" w:sz="1" w:space="0" w:color="D8D8D8"/>
              <w:bottom w:val="single" w:sz="2" w:space="0" w:color="B0B0B0"/>
              <w:right w:val="single" w:sz="1" w:space="0" w:color="D8D8D8"/>
            </w:tcBorders>
          </w:tcPr>
          <w:p>
            <w:pPr>
              <w:jc w:val="left"/>
            </w:pPr>
            <w:r>
              <w:rPr>
                <w:rFonts w:ascii="Times New Roman" w:hAnsi="Times New Roman"/>
                <w:sz w:val="20"/>
              </w:rPr>
              <w:t>\textbf{Visionary Diagnostics (Ours)}</w:t>
            </w:r>
          </w:p>
        </w:tc>
        <w:tc>
          <w:tcPr>
            <w:tcW w:type="dxa" w:w="1084"/>
            <w:tcMar>
              <w:top w:w="80" w:type="dxa"/>
              <w:bottom w:w="80" w:type="dxa"/>
              <w:left w:w="120" w:type="dxa"/>
              <w:right w:w="120" w:type="dxa"/>
            </w:tcMar>
            <w:tcBorders>
              <w:top w:val="single" w:sz="2" w:space="0" w:color="B0B0B0"/>
              <w:left w:val="single" w:sz="1" w:space="0" w:color="D8D8D8"/>
              <w:bottom w:val="single" w:sz="2" w:space="0" w:color="B0B0B0"/>
              <w:right w:val="single" w:sz="1" w:space="0" w:color="D8D8D8"/>
            </w:tcBorders>
          </w:tcPr>
          <w:p>
            <w:pPr>
              <w:jc w:val="left"/>
            </w:pPr>
            <w:r>
              <w:rPr>
                <w:rFonts w:ascii="Times New Roman" w:hAnsi="Times New Roman"/>
                <w:sz w:val="20"/>
              </w:rPr>
              <w:t>\textbf{Multimodal Photographic}</w:t>
            </w:r>
          </w:p>
        </w:tc>
        <w:tc>
          <w:tcPr>
            <w:tcW w:type="dxa" w:w="1084"/>
            <w:tcMar>
              <w:top w:w="80" w:type="dxa"/>
              <w:bottom w:w="80" w:type="dxa"/>
              <w:left w:w="120" w:type="dxa"/>
              <w:right w:w="120" w:type="dxa"/>
            </w:tcMar>
            <w:tcBorders>
              <w:top w:val="single" w:sz="2" w:space="0" w:color="B0B0B0"/>
              <w:left w:val="single" w:sz="1" w:space="0" w:color="D8D8D8"/>
              <w:bottom w:val="single" w:sz="2" w:space="0" w:color="B0B0B0"/>
              <w:right w:val="single" w:sz="1" w:space="0" w:color="D8D8D8"/>
            </w:tcBorders>
          </w:tcPr>
          <w:p>
            <w:pPr>
              <w:jc w:val="left"/>
            </w:pPr>
            <w:r>
              <w:rPr>
                <w:rFonts w:ascii="Times New Roman" w:hAnsi="Times New Roman"/>
                <w:sz w:val="20"/>
              </w:rPr>
              <w:t>\textbf{MergedNet (4-Backbone Ensemble)}</w:t>
            </w:r>
          </w:p>
        </w:tc>
        <w:tc>
          <w:tcPr>
            <w:tcW w:type="dxa" w:w="1084"/>
            <w:tcMar>
              <w:top w:w="80" w:type="dxa"/>
              <w:bottom w:w="80" w:type="dxa"/>
              <w:left w:w="120" w:type="dxa"/>
              <w:right w:w="120" w:type="dxa"/>
            </w:tcMar>
            <w:tcBorders>
              <w:top w:val="single" w:sz="2" w:space="0" w:color="B0B0B0"/>
              <w:left w:val="single" w:sz="1" w:space="0" w:color="D8D8D8"/>
              <w:bottom w:val="single" w:sz="2" w:space="0" w:color="B0B0B0"/>
              <w:right w:val="single" w:sz="1" w:space="0" w:color="D8D8D8"/>
            </w:tcBorders>
          </w:tcPr>
          <w:p>
            <w:pPr>
              <w:jc w:val="left"/>
            </w:pPr>
            <w:r>
              <w:rPr>
                <w:rFonts w:ascii="Times New Roman" w:hAnsi="Times New Roman"/>
                <w:sz w:val="20"/>
              </w:rPr>
              <w:t>\textbf{1,200}</w:t>
            </w:r>
          </w:p>
        </w:tc>
        <w:tc>
          <w:tcPr>
            <w:tcW w:type="dxa" w:w="1084"/>
            <w:tcMar>
              <w:top w:w="80" w:type="dxa"/>
              <w:bottom w:w="80" w:type="dxa"/>
              <w:left w:w="120" w:type="dxa"/>
              <w:right w:w="120" w:type="dxa"/>
            </w:tcMar>
            <w:tcBorders>
              <w:top w:val="single" w:sz="2" w:space="0" w:color="B0B0B0"/>
              <w:left w:val="single" w:sz="1" w:space="0" w:color="D8D8D8"/>
              <w:bottom w:val="single" w:sz="2" w:space="0" w:color="B0B0B0"/>
              <w:right w:val="single" w:sz="1" w:space="0" w:color="D8D8D8"/>
            </w:tcBorders>
          </w:tcPr>
          <w:p>
            <w:pPr>
              <w:jc w:val="left"/>
            </w:pPr>
            <w:r>
              <w:rPr>
                <w:rFonts w:ascii="Times New Roman" w:hAnsi="Times New Roman"/>
                <w:sz w:val="20"/>
              </w:rPr>
              <w:t>\textbf{Acc: 99.92% Sens: 99.76% Spec: 100%}</w:t>
            </w:r>
          </w:p>
        </w:tc>
        <w:tc>
          <w:tcPr>
            <w:tcW w:type="dxa" w:w="1084"/>
            <w:tcMar>
              <w:top w:w="80" w:type="dxa"/>
              <w:bottom w:w="80" w:type="dxa"/>
              <w:left w:w="120" w:type="dxa"/>
              <w:right w:w="120" w:type="dxa"/>
            </w:tcMar>
            <w:tcBorders>
              <w:top w:val="single" w:sz="2" w:space="0" w:color="B0B0B0"/>
              <w:left w:val="single" w:sz="1" w:space="0" w:color="D8D8D8"/>
              <w:bottom w:val="single" w:sz="2" w:space="0" w:color="B0B0B0"/>
              <w:right w:val="single" w:sz="1" w:space="0" w:color="D8D8D8"/>
            </w:tcBorders>
          </w:tcPr>
          <w:p>
            <w:pPr>
              <w:jc w:val="left"/>
            </w:pPr>
            <w:r>
              <w:rPr>
                <w:rFonts w:ascii="Times New Roman" w:hAnsi="Times New Roman"/>
                <w:sz w:val="20"/>
              </w:rPr>
              <w:t>\textbf{Yes (15-Pass MC Dropout)}</w:t>
            </w:r>
          </w:p>
        </w:tc>
        <w:tc>
          <w:tcPr>
            <w:tcW w:type="dxa" w:w="1084"/>
            <w:tcMar>
              <w:top w:w="80" w:type="dxa"/>
              <w:bottom w:w="80" w:type="dxa"/>
              <w:left w:w="120" w:type="dxa"/>
              <w:right w:w="120" w:type="dxa"/>
            </w:tcMar>
            <w:tcBorders>
              <w:top w:val="single" w:sz="2" w:space="0" w:color="B0B0B0"/>
              <w:left w:val="single" w:sz="1" w:space="0" w:color="D8D8D8"/>
              <w:bottom w:val="single" w:sz="2" w:space="0" w:color="B0B0B0"/>
              <w:right w:val="single" w:sz="1" w:space="0" w:color="D8D8D8"/>
            </w:tcBorders>
          </w:tcPr>
          <w:p>
            <w:pPr>
              <w:jc w:val="left"/>
            </w:pPr>
            <w:r>
              <w:rPr>
                <w:rFonts w:ascii="Times New Roman" w:hAnsi="Times New Roman"/>
                <w:sz w:val="20"/>
              </w:rPr>
              <w:t>\textbf{Yes (Epidemiological Risk MLP)}</w:t>
            </w:r>
          </w:p>
        </w:tc>
        <w:tc>
          <w:tcPr>
            <w:tcW w:type="dxa" w:w="1084"/>
            <w:tcMar>
              <w:top w:w="80" w:type="dxa"/>
              <w:bottom w:w="80" w:type="dxa"/>
              <w:left w:w="120" w:type="dxa"/>
              <w:right w:w="120" w:type="dxa"/>
            </w:tcMar>
            <w:tcBorders>
              <w:top w:val="single" w:sz="2" w:space="0" w:color="B0B0B0"/>
              <w:left w:val="single" w:sz="1" w:space="0" w:color="D8D8D8"/>
              <w:bottom w:val="single" w:sz="2" w:space="0" w:color="B0B0B0"/>
              <w:right w:val="single" w:sz="1" w:space="0" w:color="D8D8D8"/>
            </w:tcBorders>
          </w:tcPr>
          <w:p>
            <w:pPr>
              <w:jc w:val="left"/>
            </w:pPr>
            <w:r>
              <w:rPr>
                <w:rFonts w:ascii="Times New Roman" w:hAnsi="Times New Roman"/>
                <w:sz w:val="20"/>
              </w:rPr>
            </w:r>
          </w:p>
        </w:tc>
      </w:tr>
    </w:tbl>
    <w:p>
      <w:pPr>
        <w:spacing w:before="80" w:after="160" w:line="360" w:lineRule="auto"/>
        <w:jc w:val="both"/>
      </w:pPr>
    </w:p>
    <w:p>
      <w:pPr>
        <w:spacing w:before="280" w:after="120" w:line="360" w:lineRule="auto"/>
        <w:jc w:val="left"/>
      </w:pPr>
      <w:r>
        <w:rPr>
          <w:rFonts w:ascii="Times New Roman" w:hAnsi="Times New Roman"/>
          <w:b/>
          <w:i w:val="0"/>
          <w:color w:val="0F234B"/>
          <w:sz w:val="28"/>
        </w:rPr>
        <w:t>Critical Identification of Research Gaps</w:t>
      </w:r>
    </w:p>
    <w:p>
      <w:pPr>
        <w:spacing w:before="40" w:after="120" w:line="360" w:lineRule="auto"/>
        <w:jc w:val="both"/>
      </w:pPr>
      <w:r>
        <w:rPr>
          <w:rFonts w:ascii="Times New Roman" w:hAnsi="Times New Roman"/>
          <w:b w:val="0"/>
          <w:i w:val="0"/>
          <w:sz w:val="24"/>
        </w:rPr>
        <w:t>Our systematic analysis of peer-reviewed literature reveals four major, persistent research gaps:</w:t>
      </w:r>
    </w:p>
    <w:p>
      <w:pPr>
        <w:spacing w:before="40" w:after="80" w:line="312" w:lineRule="auto"/>
        <w:ind w:left="576"/>
      </w:pPr>
      <w:r>
        <w:rPr>
          <w:rFonts w:ascii="Times New Roman" w:hAnsi="Times New Roman"/>
          <w:b/>
          <w:sz w:val="22"/>
        </w:rPr>
        <w:t xml:space="preserve">1. </w:t>
      </w:r>
      <w:r>
        <w:rPr>
          <w:rFonts w:ascii="Times New Roman" w:hAnsi="Times New Roman"/>
          <w:b/>
          <w:i w:val="0"/>
          <w:sz w:val="23"/>
        </w:rPr>
        <w:t>Absence of Epistemic Uncertainty Estimation in Oral Screening:</w:t>
      </w:r>
      <w:r>
        <w:rPr>
          <w:rFonts w:ascii="Times New Roman" w:hAnsi="Times New Roman"/>
          <w:b w:val="0"/>
          <w:i w:val="0"/>
          <w:sz w:val="23"/>
        </w:rPr>
        <w:t>Existing oral cancer models rely exclusively on uncalibrated point estimates from deterministic softmax layers. No published system implements Monte Carlo Dropout variational inference to compute formal predictive variance or provides an automated fail-safe threshold to divert ambiguous borderline lesions to specialist histopathological biopsy.</w:t>
      </w:r>
    </w:p>
    <w:p>
      <w:pPr>
        <w:spacing w:before="40" w:after="80" w:line="312" w:lineRule="auto"/>
        <w:ind w:left="576"/>
      </w:pPr>
      <w:r>
        <w:rPr>
          <w:rFonts w:ascii="Times New Roman" w:hAnsi="Times New Roman"/>
          <w:b/>
          <w:sz w:val="22"/>
        </w:rPr>
        <w:t xml:space="preserve">2. </w:t>
      </w:r>
      <w:r>
        <w:rPr>
          <w:rFonts w:ascii="Times New Roman" w:hAnsi="Times New Roman"/>
          <w:b/>
          <w:i w:val="0"/>
          <w:sz w:val="23"/>
        </w:rPr>
        <w:t>Failure to Integrate Behavioral and Epidemiological Risk Priors:</w:t>
      </w:r>
      <w:r>
        <w:rPr>
          <w:rFonts w:ascii="Times New Roman" w:hAnsi="Times New Roman"/>
          <w:b w:val="0"/>
          <w:i w:val="0"/>
          <w:sz w:val="23"/>
        </w:rPr>
        <w:t>Although clinical oncology universally recognizes that tobacco, betel quid, alcohol, and age drastically modify individual cancer risk, 100% of deployed oral AI screening tools operate in unimodal isolation, analyzing pixels while remaining blind to patient clinical risk profiles.</w:t>
      </w:r>
    </w:p>
    <w:p>
      <w:pPr>
        <w:spacing w:before="40" w:after="80" w:line="312" w:lineRule="auto"/>
        <w:ind w:left="576"/>
      </w:pPr>
      <w:r>
        <w:rPr>
          <w:rFonts w:ascii="Times New Roman" w:hAnsi="Times New Roman"/>
          <w:b/>
          <w:sz w:val="22"/>
        </w:rPr>
        <w:t xml:space="preserve">3. </w:t>
      </w:r>
      <w:r>
        <w:rPr>
          <w:rFonts w:ascii="Times New Roman" w:hAnsi="Times New Roman"/>
          <w:b/>
          <w:i w:val="0"/>
          <w:sz w:val="23"/>
        </w:rPr>
        <w:t>Inadequate Domain Invariance Against Uncontrolled Smartphone Photography:</w:t>
      </w:r>
      <w:r>
        <w:rPr>
          <w:rFonts w:ascii="Times New Roman" w:hAnsi="Times New Roman"/>
          <w:b w:val="0"/>
          <w:i w:val="0"/>
          <w:sz w:val="23"/>
        </w:rPr>
        <w:t>Intraoral imaging in rural primary care settings is severely degraded by camera sensor discrepancies, white balance drift, motion blur, and specular saliva glare. Prior works either ignore domain shift or apply basic spatial augmentations without addressing photometric CIELAB color constancy.</w:t>
      </w:r>
    </w:p>
    <w:p>
      <w:pPr>
        <w:spacing w:before="40" w:after="80" w:line="312" w:lineRule="auto"/>
        <w:ind w:left="576"/>
      </w:pPr>
      <w:r>
        <w:rPr>
          <w:rFonts w:ascii="Times New Roman" w:hAnsi="Times New Roman"/>
          <w:b/>
          <w:sz w:val="22"/>
        </w:rPr>
        <w:t xml:space="preserve">4. </w:t>
      </w:r>
      <w:r>
        <w:rPr>
          <w:rFonts w:ascii="Times New Roman" w:hAnsi="Times New Roman"/>
          <w:b/>
          <w:i w:val="0"/>
          <w:sz w:val="23"/>
        </w:rPr>
        <w:t>Lack of Clinical Interoperability and Standardized Healthcare Integration:</w:t>
      </w:r>
      <w:r>
        <w:rPr>
          <w:rFonts w:ascii="Times New Roman" w:hAnsi="Times New Roman"/>
          <w:b w:val="0"/>
          <w:i w:val="0"/>
          <w:sz w:val="23"/>
        </w:rPr>
        <w:t>Current academic models exist as standalone laboratory scripts (Jupyter notebooks or offline PyTorch scripts) lacking HL7 FHIR Release 4 interoperability, standardized LOINC/SNOMED-CT clinical coding, automated referral generation, or production-grade edge quantization for sub-120ms execution on commodity clinic hardware.</w:t>
      </w:r>
    </w:p>
    <w:p>
      <w:pPr>
        <w:spacing w:before="40" w:after="120" w:line="360" w:lineRule="auto"/>
        <w:jc w:val="both"/>
      </w:pPr>
      <w:r>
        <w:rPr>
          <w:rFonts w:ascii="Times New Roman" w:hAnsi="Times New Roman"/>
          <w:b w:val="0"/>
          <w:i w:val="0"/>
          <w:sz w:val="24"/>
        </w:rPr>
        <w:t>Visionary Diagnostics is designed to systematically bridge these four critical research gaps, establishing a new benchmark for academically rigorous, clinically actionable oral cancer triage.</w:t>
      </w:r>
    </w:p>
    <w:p>
      <w:r>
        <w:br w:type="page"/>
      </w:r>
    </w:p>
    <w:p>
      <w:pPr>
        <w:spacing w:before="360" w:after="360" w:line="360" w:lineRule="auto"/>
        <w:jc w:val="center"/>
      </w:pPr>
      <w:r>
        <w:rPr>
          <w:rFonts w:ascii="Times New Roman" w:hAnsi="Times New Roman"/>
          <w:b/>
          <w:i w:val="0"/>
          <w:color w:val="0A2D5A"/>
          <w:sz w:val="32"/>
        </w:rPr>
        <w:t>CHAPTER 3</w:t>
        <w:br/>
        <w:t>REQUIREMENT ENGINEERING</w:t>
      </w:r>
    </w:p>
    <w:p>
      <w:pPr>
        <w:spacing w:before="280" w:after="120" w:line="360" w:lineRule="auto"/>
        <w:jc w:val="left"/>
      </w:pPr>
      <w:r>
        <w:rPr>
          <w:rFonts w:ascii="Times New Roman" w:hAnsi="Times New Roman"/>
          <w:b/>
          <w:i w:val="0"/>
          <w:color w:val="0F234B"/>
          <w:sz w:val="28"/>
        </w:rPr>
        <w:t>Overview and IEEE 830-1998 Standard Compliance</w:t>
      </w:r>
    </w:p>
    <w:p>
      <w:pPr>
        <w:spacing w:before="40" w:after="120" w:line="360" w:lineRule="auto"/>
        <w:jc w:val="both"/>
      </w:pPr>
      <w:r>
        <w:rPr>
          <w:rFonts w:ascii="Times New Roman" w:hAnsi="Times New Roman"/>
          <w:b w:val="0"/>
          <w:i w:val="0"/>
          <w:sz w:val="24"/>
        </w:rPr>
        <w:t>This chapter establishes the formal Software Requirements Specification (SRS) for</w:t>
      </w:r>
      <w:r>
        <w:rPr>
          <w:rFonts w:ascii="Times New Roman" w:hAnsi="Times New Roman"/>
          <w:b/>
          <w:i w:val="0"/>
          <w:sz w:val="24"/>
        </w:rPr>
        <w:t>Visionary Diagnostics: AI-Powered Oral Cancer Detection System</w:t>
      </w:r>
      <w:r>
        <w:rPr>
          <w:rFonts w:ascii="Times New Roman" w:hAnsi="Times New Roman"/>
          <w:b w:val="0"/>
          <w:i w:val="0"/>
          <w:sz w:val="24"/>
        </w:rPr>
        <w:t>, structured in strict compliance with the</w:t>
      </w:r>
      <w:r>
        <w:rPr>
          <w:rFonts w:ascii="Times New Roman" w:hAnsi="Times New Roman"/>
          <w:b/>
          <w:i w:val="0"/>
          <w:sz w:val="24"/>
        </w:rPr>
        <w:t>IEEE 830-1998 Recommended Practice for Software Requirements Specifications</w:t>
      </w:r>
      <w:r>
        <w:rPr>
          <w:rFonts w:ascii="Times New Roman" w:hAnsi="Times New Roman"/>
          <w:b w:val="0"/>
          <w:i w:val="0"/>
          <w:sz w:val="24"/>
        </w:rPr>
        <w:t>and adhering to the biomedical AI reporting guidelines established by</w:t>
      </w:r>
      <w:r>
        <w:rPr>
          <w:rFonts w:ascii="Times New Roman" w:hAnsi="Times New Roman"/>
          <w:b/>
          <w:i w:val="0"/>
          <w:sz w:val="24"/>
        </w:rPr>
        <w:t>CLAIM 2024</w:t>
      </w:r>
      <w:r>
        <w:rPr>
          <w:rFonts w:ascii="Times New Roman" w:hAnsi="Times New Roman"/>
          <w:b w:val="0"/>
          <w:i w:val="0"/>
          <w:sz w:val="24"/>
        </w:rPr>
        <w:t>(Checklist for Artificial Intelligence in Medical Imaging) and</w:t>
      </w:r>
      <w:r>
        <w:rPr>
          <w:rFonts w:ascii="Times New Roman" w:hAnsi="Times New Roman"/>
          <w:b/>
          <w:i w:val="0"/>
          <w:sz w:val="24"/>
        </w:rPr>
        <w:t>TRIPOD+AI 2024</w:t>
      </w:r>
      <w:r>
        <w:rPr>
          <w:rFonts w:ascii="Times New Roman" w:hAnsi="Times New Roman"/>
          <w:b w:val="0"/>
          <w:i w:val="0"/>
          <w:sz w:val="24"/>
        </w:rPr>
        <w:t>(Transparent Reporting of a Multivariable Prediction Model for Individual Prognosis or Diagnosis).</w:t>
      </w:r>
    </w:p>
    <w:p>
      <w:pPr>
        <w:spacing w:before="40" w:after="120" w:line="360" w:lineRule="auto"/>
        <w:jc w:val="both"/>
      </w:pPr>
      <w:r>
        <w:rPr>
          <w:rFonts w:ascii="Times New Roman" w:hAnsi="Times New Roman"/>
          <w:b w:val="0"/>
          <w:i w:val="0"/>
          <w:sz w:val="24"/>
        </w:rPr>
        <w:t>The primary objective of this requirement engineering process is to delineate with mathematical and architectural precision the functional boundaries, operational constraints, performance thresholds, security mandates, and regulatory compliance criteria governing the system's design and deployment.</w:t>
      </w:r>
    </w:p>
    <w:p>
      <w:pPr>
        <w:spacing w:before="280" w:after="120" w:line="360" w:lineRule="auto"/>
        <w:jc w:val="left"/>
      </w:pPr>
      <w:r>
        <w:rPr>
          <w:rFonts w:ascii="Times New Roman" w:hAnsi="Times New Roman"/>
          <w:b/>
          <w:i w:val="0"/>
          <w:color w:val="0F234B"/>
          <w:sz w:val="28"/>
        </w:rPr>
        <w:t>Stakeholder Analysis and User Personas</w:t>
      </w:r>
    </w:p>
    <w:p>
      <w:pPr>
        <w:spacing w:before="40" w:after="120" w:line="360" w:lineRule="auto"/>
        <w:jc w:val="both"/>
      </w:pPr>
      <w:r>
        <w:rPr>
          <w:rFonts w:ascii="Times New Roman" w:hAnsi="Times New Roman"/>
          <w:b w:val="0"/>
          <w:i w:val="0"/>
          <w:sz w:val="24"/>
        </w:rPr>
        <w:t>The system is engineered to serve four distinct primary user personas operating across divergent clinical, community, and administrative environments:</w:t>
      </w:r>
    </w:p>
    <w:p>
      <w:pPr>
        <w:spacing w:before="40" w:after="80" w:line="312" w:lineRule="auto"/>
        <w:ind w:left="576"/>
      </w:pPr>
      <w:r>
        <w:rPr>
          <w:rFonts w:ascii="Times New Roman" w:hAnsi="Times New Roman"/>
          <w:b/>
          <w:sz w:val="22"/>
        </w:rPr>
        <w:t xml:space="preserve">1. </w:t>
      </w:r>
      <w:r>
        <w:rPr>
          <w:rFonts w:ascii="Times New Roman" w:hAnsi="Times New Roman"/>
          <w:b/>
          <w:i w:val="0"/>
          <w:sz w:val="23"/>
        </w:rPr>
        <w:t>Persona P1: Primary Care General Dental Practitioner (GDP):</w:t>
      </w:r>
      <w:r>
        <w:rPr>
          <w:rFonts w:ascii="Times New Roman" w:hAnsi="Times New Roman"/>
          <w:b w:val="0"/>
          <w:i w:val="0"/>
          <w:sz w:val="23"/>
        </w:rPr>
        <w:t>Clinicians operating in private dental practices or community clinics who encounter suspicious mucosal lesions during routine prophylaxis.</w:t>
      </w:r>
      <w:r>
        <w:rPr>
          <w:rFonts w:ascii="Times New Roman" w:hAnsi="Times New Roman"/>
          <w:b w:val="0"/>
          <w:i/>
          <w:sz w:val="23"/>
        </w:rPr>
        <w:t>Primary Need:</w:t>
      </w:r>
      <w:r>
        <w:rPr>
          <w:rFonts w:ascii="Times New Roman" w:hAnsi="Times New Roman"/>
          <w:b w:val="0"/>
          <w:i w:val="0"/>
          <w:sz w:val="23"/>
        </w:rPr>
        <w:t>High-specificity triage to avoid unnecessary painful incisional biopsies, accompanied by explainable Grad-CAM++ heatmaps to visually justify referral decisions to patients.</w:t>
      </w:r>
    </w:p>
    <w:p>
      <w:pPr>
        <w:spacing w:before="40" w:after="80" w:line="312" w:lineRule="auto"/>
        <w:ind w:left="576"/>
      </w:pPr>
      <w:r>
        <w:rPr>
          <w:rFonts w:ascii="Times New Roman" w:hAnsi="Times New Roman"/>
          <w:b/>
          <w:sz w:val="22"/>
        </w:rPr>
        <w:t xml:space="preserve">2. </w:t>
      </w:r>
      <w:r>
        <w:rPr>
          <w:rFonts w:ascii="Times New Roman" w:hAnsi="Times New Roman"/>
          <w:b/>
          <w:i w:val="0"/>
          <w:sz w:val="23"/>
        </w:rPr>
        <w:t>Persona P2: Accredited Social Health Activist (ASHA) / Rural Healthcare Worker:</w:t>
      </w:r>
      <w:r>
        <w:rPr>
          <w:rFonts w:ascii="Times New Roman" w:hAnsi="Times New Roman"/>
          <w:b w:val="0"/>
          <w:i w:val="0"/>
          <w:sz w:val="23"/>
        </w:rPr>
        <w:t>Frontline health workers conducting house-to-house screening camps in rural taluks using standard Android smartphones under variable natural lighting.</w:t>
      </w:r>
      <w:r>
        <w:rPr>
          <w:rFonts w:ascii="Times New Roman" w:hAnsi="Times New Roman"/>
          <w:b w:val="0"/>
          <w:i/>
          <w:sz w:val="23"/>
        </w:rPr>
        <w:t>Primary Need:</w:t>
      </w:r>
      <w:r>
        <w:rPr>
          <w:rFonts w:ascii="Times New Roman" w:hAnsi="Times New Roman"/>
          <w:b w:val="0"/>
          <w:i w:val="0"/>
          <w:sz w:val="23"/>
        </w:rPr>
        <w:t>Rapid automated image quality gating (blur detection), intuitive risk factor questionnaires, and zero-configuration offline/low-bandwidth PDF report generation.</w:t>
      </w:r>
    </w:p>
    <w:p>
      <w:pPr>
        <w:spacing w:before="40" w:after="80" w:line="312" w:lineRule="auto"/>
        <w:ind w:left="576"/>
      </w:pPr>
      <w:r>
        <w:rPr>
          <w:rFonts w:ascii="Times New Roman" w:hAnsi="Times New Roman"/>
          <w:b/>
          <w:sz w:val="22"/>
        </w:rPr>
        <w:t xml:space="preserve">3. </w:t>
      </w:r>
      <w:r>
        <w:rPr>
          <w:rFonts w:ascii="Times New Roman" w:hAnsi="Times New Roman"/>
          <w:b/>
          <w:i w:val="0"/>
          <w:sz w:val="23"/>
        </w:rPr>
        <w:t>Persona P3: Consultant Maxillofacial Oncologist / Oral Pathologist:</w:t>
      </w:r>
      <w:r>
        <w:rPr>
          <w:rFonts w:ascii="Times New Roman" w:hAnsi="Times New Roman"/>
          <w:b w:val="0"/>
          <w:i w:val="0"/>
          <w:sz w:val="23"/>
        </w:rPr>
        <w:t>Specialist surgeons at tertiary comprehensive cancer centers receiving secondary escalated referrals.</w:t>
      </w:r>
      <w:r>
        <w:rPr>
          <w:rFonts w:ascii="Times New Roman" w:hAnsi="Times New Roman"/>
          <w:b w:val="0"/>
          <w:i/>
          <w:sz w:val="23"/>
        </w:rPr>
        <w:t>Primary Need:</w:t>
      </w:r>
      <w:r>
        <w:rPr>
          <w:rFonts w:ascii="Times New Roman" w:hAnsi="Times New Roman"/>
          <w:b w:val="0"/>
          <w:i w:val="0"/>
          <w:sz w:val="23"/>
        </w:rPr>
        <w:t>Access to structured HL7 FHIR Release 4 diagnostic bundles containing exact Bayesian epistemic uncertainty variance (σ^2), clinical risk stratification percentages, and standardized LOINC/SNOMED-CT pathological codings.</w:t>
      </w:r>
    </w:p>
    <w:p>
      <w:pPr>
        <w:spacing w:before="40" w:after="80" w:line="312" w:lineRule="auto"/>
        <w:ind w:left="576"/>
      </w:pPr>
      <w:r>
        <w:rPr>
          <w:rFonts w:ascii="Times New Roman" w:hAnsi="Times New Roman"/>
          <w:b/>
          <w:sz w:val="22"/>
        </w:rPr>
        <w:t xml:space="preserve">4. </w:t>
      </w:r>
      <w:r>
        <w:rPr>
          <w:rFonts w:ascii="Times New Roman" w:hAnsi="Times New Roman"/>
          <w:b/>
          <w:i w:val="0"/>
          <w:sz w:val="23"/>
        </w:rPr>
        <w:t>Persona P4: Healthcare System Administrator / Compliance Auditor:</w:t>
      </w:r>
      <w:r>
        <w:rPr>
          <w:rFonts w:ascii="Times New Roman" w:hAnsi="Times New Roman"/>
          <w:b w:val="0"/>
          <w:i w:val="0"/>
          <w:sz w:val="23"/>
        </w:rPr>
        <w:t>Technical officers responsible for data governance, system security, and auditability.</w:t>
      </w:r>
      <w:r>
        <w:rPr>
          <w:rFonts w:ascii="Times New Roman" w:hAnsi="Times New Roman"/>
          <w:b w:val="0"/>
          <w:i/>
          <w:sz w:val="23"/>
        </w:rPr>
        <w:t>Primary Need:</w:t>
      </w:r>
      <w:r>
        <w:rPr>
          <w:rFonts w:ascii="Times New Roman" w:hAnsi="Times New Roman"/>
          <w:b w:val="0"/>
          <w:i w:val="0"/>
          <w:sz w:val="23"/>
        </w:rPr>
        <w:t>Tamper-evident session auditing, HIPAA/GDPR Article 9 cryptographic compliance, NIST SP 800-132 password hashing enforcement, and rate-limiting monitoring.</w:t>
      </w:r>
    </w:p>
    <w:p>
      <w:pPr>
        <w:spacing w:before="280" w:after="120" w:line="360" w:lineRule="auto"/>
        <w:jc w:val="left"/>
      </w:pPr>
      <w:r>
        <w:rPr>
          <w:rFonts w:ascii="Times New Roman" w:hAnsi="Times New Roman"/>
          <w:b/>
          <w:i w:val="0"/>
          <w:color w:val="0F234B"/>
          <w:sz w:val="28"/>
        </w:rPr>
        <w:t>Exhaustive Functional Requirements Specification</w:t>
      </w:r>
    </w:p>
    <w:p>
      <w:pPr>
        <w:spacing w:before="40" w:after="120" w:line="360" w:lineRule="auto"/>
        <w:jc w:val="both"/>
      </w:pPr>
      <w:r>
        <w:rPr>
          <w:rFonts w:ascii="Times New Roman" w:hAnsi="Times New Roman"/>
          <w:b w:val="0"/>
          <w:i w:val="0"/>
          <w:sz w:val="24"/>
        </w:rPr>
        <w:t>Rather than presenting compressed tabular summaries, this section provides an exhaustive, qualitative specification of the fifteen core functional requirements governing the Visionary Diagnostics platform. Each functional module is analyzed in depth, detailing clinical context, input parameter validations, processing workflows, and output state transitions.</w:t>
      </w:r>
    </w:p>
    <w:p>
      <w:pPr>
        <w:spacing w:before="200" w:after="80" w:line="360" w:lineRule="auto"/>
        <w:jc w:val="left"/>
      </w:pPr>
      <w:r>
        <w:rPr>
          <w:rFonts w:ascii="Times New Roman" w:hAnsi="Times New Roman"/>
          <w:b/>
          <w:i w:val="0"/>
          <w:color w:val="1E1E1E"/>
          <w:sz w:val="25"/>
        </w:rPr>
        <w:t>FR-01: Cryptographic User Authentication and Session Management</w:t>
      </w:r>
    </w:p>
    <w:p>
      <w:pPr>
        <w:spacing w:before="40" w:after="80" w:line="312" w:lineRule="auto"/>
        <w:ind w:left="576"/>
      </w:pPr>
      <w:r>
        <w:rPr>
          <w:rFonts w:ascii="Times New Roman" w:hAnsi="Times New Roman"/>
          <w:b/>
          <w:sz w:val="22"/>
        </w:rPr>
        <w:t xml:space="preserve">•   </w:t>
      </w:r>
      <w:r>
        <w:rPr>
          <w:rFonts w:ascii="Times New Roman" w:hAnsi="Times New Roman"/>
          <w:b/>
          <w:i w:val="0"/>
          <w:sz w:val="23"/>
        </w:rPr>
        <w:t>Clinical &amp; Engineering Rationale:</w:t>
      </w:r>
      <w:r>
        <w:rPr>
          <w:rFonts w:ascii="Times New Roman" w:hAnsi="Times New Roman"/>
          <w:b w:val="0"/>
          <w:i w:val="0"/>
          <w:sz w:val="23"/>
        </w:rPr>
        <w:t>Protection of patient screening records and provider auditability mandates robust identity verification adhering to federal healthcare security guidelines.</w:t>
      </w:r>
    </w:p>
    <w:p>
      <w:pPr>
        <w:spacing w:before="40" w:after="80" w:line="312" w:lineRule="auto"/>
        <w:ind w:left="576"/>
      </w:pPr>
      <w:r>
        <w:rPr>
          <w:rFonts w:ascii="Times New Roman" w:hAnsi="Times New Roman"/>
          <w:b/>
          <w:sz w:val="22"/>
        </w:rPr>
        <w:t xml:space="preserve">•   </w:t>
      </w:r>
      <w:r>
        <w:rPr>
          <w:rFonts w:ascii="Times New Roman" w:hAnsi="Times New Roman"/>
          <w:b/>
          <w:i w:val="0"/>
          <w:sz w:val="23"/>
        </w:rPr>
        <w:t>Input Parameters:</w:t>
      </w:r>
      <w:r>
        <w:rPr>
          <w:rFonts w:ascii="Times New Roman" w:hAnsi="Times New Roman"/>
          <w:b w:val="0"/>
          <w:i w:val="0"/>
          <w:sz w:val="23"/>
        </w:rPr>
        <w:t>User email address, plaintext password string, and optional registration profile metadata (full name, healthcare facility name, medical license registration number).</w:t>
      </w:r>
    </w:p>
    <w:p>
      <w:pPr>
        <w:spacing w:before="40" w:after="80" w:line="312" w:lineRule="auto"/>
        <w:ind w:left="576"/>
      </w:pPr>
      <w:r>
        <w:rPr>
          <w:rFonts w:ascii="Times New Roman" w:hAnsi="Times New Roman"/>
          <w:b/>
          <w:sz w:val="22"/>
        </w:rPr>
        <w:t xml:space="preserve">•   </w:t>
      </w:r>
      <w:r>
        <w:rPr>
          <w:rFonts w:ascii="Times New Roman" w:hAnsi="Times New Roman"/>
          <w:b/>
          <w:i w:val="0"/>
          <w:sz w:val="23"/>
        </w:rPr>
        <w:t>Processing Logic:</w:t>
      </w:r>
      <w:r>
        <w:rPr>
          <w:rFonts w:ascii="Times New Roman" w:hAnsi="Times New Roman"/>
          <w:b w:val="0"/>
          <w:i w:val="0"/>
          <w:sz w:val="23"/>
        </w:rPr>
        <w:t>The system validates input password complexity (minimum 8 characters, requiring alphanumeric and special characters). The plaintext password is salted with a 128-bit cryptographically secure random salt and transformed using PBKDF2-HMAC-SHA256 across 390,000 iterations in compliance with NIST SP 800-132. Upon successful authentication, the API issues a signed JSON Web Token (JWT) utilizing HMAC-SHA256 with an exact 60-minute expiration timestamp.</w:t>
      </w:r>
    </w:p>
    <w:p>
      <w:pPr>
        <w:spacing w:before="40" w:after="80" w:line="312" w:lineRule="auto"/>
        <w:ind w:left="576"/>
      </w:pPr>
      <w:r>
        <w:rPr>
          <w:rFonts w:ascii="Times New Roman" w:hAnsi="Times New Roman"/>
          <w:b/>
          <w:sz w:val="22"/>
        </w:rPr>
        <w:t xml:space="preserve">•   </w:t>
      </w:r>
      <w:r>
        <w:rPr>
          <w:rFonts w:ascii="Times New Roman" w:hAnsi="Times New Roman"/>
          <w:b/>
          <w:i w:val="0"/>
          <w:sz w:val="23"/>
        </w:rPr>
        <w:t>Outputs &amp; State Mutations:</w:t>
      </w:r>
      <w:r>
        <w:rPr>
          <w:rFonts w:ascii="Times New Roman" w:hAnsi="Times New Roman"/>
          <w:b w:val="0"/>
          <w:i w:val="0"/>
          <w:sz w:val="23"/>
        </w:rPr>
        <w:t>An authenticated HTTP bearer token is returned to the client application; a user session event is logged in the immutable audit ledger.</w:t>
      </w:r>
    </w:p>
    <w:p>
      <w:pPr>
        <w:spacing w:before="40" w:after="80" w:line="312" w:lineRule="auto"/>
        <w:ind w:left="576"/>
      </w:pPr>
      <w:r>
        <w:rPr>
          <w:rFonts w:ascii="Times New Roman" w:hAnsi="Times New Roman"/>
          <w:b/>
          <w:sz w:val="22"/>
        </w:rPr>
        <w:t xml:space="preserve">•   </w:t>
      </w:r>
      <w:r>
        <w:rPr>
          <w:rFonts w:ascii="Times New Roman" w:hAnsi="Times New Roman"/>
          <w:b/>
          <w:i w:val="0"/>
          <w:sz w:val="23"/>
        </w:rPr>
        <w:t>Exception Handling:</w:t>
      </w:r>
      <w:r>
        <w:rPr>
          <w:rFonts w:ascii="Times New Roman" w:hAnsi="Times New Roman"/>
          <w:b w:val="0"/>
          <w:i w:val="0"/>
          <w:sz w:val="23"/>
        </w:rPr>
        <w:t>Unmatched email or invalid credentials trigger an immediate HTTP 401 Unauthorized response without disclosing whether the email or password was defective, mitigating account enumeration attacks.</w:t>
      </w:r>
    </w:p>
    <w:p>
      <w:pPr>
        <w:spacing w:before="200" w:after="80" w:line="360" w:lineRule="auto"/>
        <w:jc w:val="left"/>
      </w:pPr>
      <w:r>
        <w:rPr>
          <w:rFonts w:ascii="Times New Roman" w:hAnsi="Times New Roman"/>
          <w:b/>
          <w:i w:val="0"/>
          <w:color w:val="1E1E1E"/>
          <w:sz w:val="25"/>
        </w:rPr>
        <w:t>FR-02: Role-Based Access Control (RBAC) Enforcement</w:t>
      </w:r>
    </w:p>
    <w:p>
      <w:pPr>
        <w:spacing w:before="40" w:after="80" w:line="312" w:lineRule="auto"/>
        <w:ind w:left="576"/>
      </w:pPr>
      <w:r>
        <w:rPr>
          <w:rFonts w:ascii="Times New Roman" w:hAnsi="Times New Roman"/>
          <w:b/>
          <w:sz w:val="22"/>
        </w:rPr>
        <w:t xml:space="preserve">•   </w:t>
      </w:r>
      <w:r>
        <w:rPr>
          <w:rFonts w:ascii="Times New Roman" w:hAnsi="Times New Roman"/>
          <w:b/>
          <w:i w:val="0"/>
          <w:sz w:val="23"/>
        </w:rPr>
        <w:t>Clinical &amp; Engineering Rationale:</w:t>
      </w:r>
      <w:r>
        <w:rPr>
          <w:rFonts w:ascii="Times New Roman" w:hAnsi="Times New Roman"/>
          <w:b w:val="0"/>
          <w:i w:val="0"/>
          <w:sz w:val="23"/>
        </w:rPr>
        <w:t>Healthcare operations require strict segregation of duties between general patients, field screening workers, attending dental surgeons, and system administrators.</w:t>
      </w:r>
    </w:p>
    <w:p>
      <w:pPr>
        <w:spacing w:before="40" w:after="80" w:line="312" w:lineRule="auto"/>
        <w:ind w:left="576"/>
      </w:pPr>
      <w:r>
        <w:rPr>
          <w:rFonts w:ascii="Times New Roman" w:hAnsi="Times New Roman"/>
          <w:b/>
          <w:sz w:val="22"/>
        </w:rPr>
        <w:t xml:space="preserve">•   </w:t>
      </w:r>
      <w:r>
        <w:rPr>
          <w:rFonts w:ascii="Times New Roman" w:hAnsi="Times New Roman"/>
          <w:b/>
          <w:i w:val="0"/>
          <w:sz w:val="23"/>
        </w:rPr>
        <w:t>Processing Logic:</w:t>
      </w:r>
      <w:r>
        <w:rPr>
          <w:rFonts w:ascii="Times New Roman" w:hAnsi="Times New Roman"/>
          <w:b w:val="0"/>
          <w:i w:val="0"/>
          <w:sz w:val="23"/>
        </w:rPr>
        <w:t>JWT claims encode user authorization tiers:</w:t>
      </w:r>
      <w:r>
        <w:rPr>
          <w:rFonts w:ascii="Consolas" w:hAnsi="Consolas"/>
          <w:color w:val="1E1E1E"/>
          <w:sz w:val="21"/>
        </w:rPr>
        <w:t>patient</w:t>
      </w:r>
      <w:r>
        <w:rPr>
          <w:rFonts w:ascii="Times New Roman" w:hAnsi="Times New Roman"/>
          <w:b w:val="0"/>
          <w:i w:val="0"/>
          <w:sz w:val="23"/>
        </w:rPr>
        <w:t>,</w:t>
      </w:r>
      <w:r>
        <w:rPr>
          <w:rFonts w:ascii="Consolas" w:hAnsi="Consolas"/>
          <w:color w:val="1E1E1E"/>
          <w:sz w:val="21"/>
        </w:rPr>
        <w:t>clinician</w:t>
      </w:r>
      <w:r>
        <w:rPr>
          <w:rFonts w:ascii="Times New Roman" w:hAnsi="Times New Roman"/>
          <w:b w:val="0"/>
          <w:i w:val="0"/>
          <w:sz w:val="23"/>
        </w:rPr>
        <w:t>, or</w:t>
      </w:r>
      <w:r>
        <w:rPr>
          <w:rFonts w:ascii="Consolas" w:hAnsi="Consolas"/>
          <w:color w:val="1E1E1E"/>
          <w:sz w:val="21"/>
        </w:rPr>
        <w:t>admin</w:t>
      </w:r>
      <w:r>
        <w:rPr>
          <w:rFonts w:ascii="Times New Roman" w:hAnsi="Times New Roman"/>
          <w:b w:val="0"/>
          <w:i w:val="0"/>
          <w:sz w:val="23"/>
        </w:rPr>
        <w:t>. Protected API endpoints verify bearer token claims via FastAPI dependency injection guards before dispatching service handlers.</w:t>
      </w:r>
    </w:p>
    <w:p>
      <w:pPr>
        <w:spacing w:before="40" w:after="80" w:line="312" w:lineRule="auto"/>
        <w:ind w:left="576"/>
      </w:pPr>
      <w:r>
        <w:rPr>
          <w:rFonts w:ascii="Times New Roman" w:hAnsi="Times New Roman"/>
          <w:b/>
          <w:sz w:val="22"/>
        </w:rPr>
        <w:t xml:space="preserve">•   </w:t>
      </w:r>
      <w:r>
        <w:rPr>
          <w:rFonts w:ascii="Times New Roman" w:hAnsi="Times New Roman"/>
          <w:b/>
          <w:i w:val="0"/>
          <w:sz w:val="23"/>
        </w:rPr>
        <w:t>Outputs &amp; Exceptions:</w:t>
      </w:r>
      <w:r>
        <w:rPr>
          <w:rFonts w:ascii="Times New Roman" w:hAnsi="Times New Roman"/>
          <w:b w:val="0"/>
          <w:i w:val="0"/>
          <w:sz w:val="23"/>
        </w:rPr>
        <w:t>Unauthorized access attempts outside assigned roles trigger an immediate HTTP 403 Forbidden exception and increment the security anomaly counter.</w:t>
      </w:r>
    </w:p>
    <w:p>
      <w:pPr>
        <w:spacing w:before="200" w:after="80" w:line="360" w:lineRule="auto"/>
        <w:jc w:val="left"/>
      </w:pPr>
      <w:r>
        <w:rPr>
          <w:rFonts w:ascii="Times New Roman" w:hAnsi="Times New Roman"/>
          <w:b/>
          <w:i w:val="0"/>
          <w:color w:val="1E1E1E"/>
          <w:sz w:val="25"/>
        </w:rPr>
        <w:t>FR-03: Clinical Photograph Ingestion and Sanitization</w:t>
      </w:r>
    </w:p>
    <w:p>
      <w:pPr>
        <w:spacing w:before="40" w:after="80" w:line="312" w:lineRule="auto"/>
        <w:ind w:left="576"/>
      </w:pPr>
      <w:r>
        <w:rPr>
          <w:rFonts w:ascii="Times New Roman" w:hAnsi="Times New Roman"/>
          <w:b/>
          <w:sz w:val="22"/>
        </w:rPr>
        <w:t xml:space="preserve">•   </w:t>
      </w:r>
      <w:r>
        <w:rPr>
          <w:rFonts w:ascii="Times New Roman" w:hAnsi="Times New Roman"/>
          <w:b/>
          <w:i w:val="0"/>
          <w:sz w:val="23"/>
        </w:rPr>
        <w:t>Clinical &amp; Engineering Rationale:</w:t>
      </w:r>
      <w:r>
        <w:rPr>
          <w:rFonts w:ascii="Times New Roman" w:hAnsi="Times New Roman"/>
          <w:b w:val="0"/>
          <w:i w:val="0"/>
          <w:sz w:val="23"/>
        </w:rPr>
        <w:t>Point-of-care mobile uploads arrive in disparate resolutions, orientations, and formats requiring automated standardization prior to neural tensor conversion.</w:t>
      </w:r>
    </w:p>
    <w:p>
      <w:pPr>
        <w:spacing w:before="40" w:after="80" w:line="312" w:lineRule="auto"/>
        <w:ind w:left="576"/>
      </w:pPr>
      <w:r>
        <w:rPr>
          <w:rFonts w:ascii="Times New Roman" w:hAnsi="Times New Roman"/>
          <w:b/>
          <w:sz w:val="22"/>
        </w:rPr>
        <w:t xml:space="preserve">•   </w:t>
      </w:r>
      <w:r>
        <w:rPr>
          <w:rFonts w:ascii="Times New Roman" w:hAnsi="Times New Roman"/>
          <w:b/>
          <w:i w:val="0"/>
          <w:sz w:val="23"/>
        </w:rPr>
        <w:t>Input Parameters:</w:t>
      </w:r>
      <w:r>
        <w:rPr>
          <w:rFonts w:ascii="Times New Roman" w:hAnsi="Times New Roman"/>
          <w:b w:val="0"/>
          <w:i w:val="0"/>
          <w:sz w:val="23"/>
        </w:rPr>
        <w:t>Multipart form-data payload containing image binary stream in JPEG, PNG, or WEBP format, constrained to a maximum payload size of 10 MB.</w:t>
      </w:r>
    </w:p>
    <w:p>
      <w:pPr>
        <w:spacing w:before="40" w:after="80" w:line="312" w:lineRule="auto"/>
        <w:ind w:left="576"/>
      </w:pPr>
      <w:r>
        <w:rPr>
          <w:rFonts w:ascii="Times New Roman" w:hAnsi="Times New Roman"/>
          <w:b/>
          <w:sz w:val="22"/>
        </w:rPr>
        <w:t xml:space="preserve">•   </w:t>
      </w:r>
      <w:r>
        <w:rPr>
          <w:rFonts w:ascii="Times New Roman" w:hAnsi="Times New Roman"/>
          <w:b/>
          <w:i w:val="0"/>
          <w:sz w:val="23"/>
        </w:rPr>
        <w:t>Processing Logic:</w:t>
      </w:r>
      <w:r>
        <w:rPr>
          <w:rFonts w:ascii="Times New Roman" w:hAnsi="Times New Roman"/>
          <w:b w:val="0"/>
          <w:i w:val="0"/>
          <w:sz w:val="23"/>
        </w:rPr>
        <w:t>Ingestion middleware inspects magic byte headers to verify authentic MIME type, preventing malicious executable disguised uploads. The Pillow library inspects EXIF metadata tags to detect camera orientation codes (tag</w:t>
      </w:r>
      <w:r>
        <w:rPr>
          <w:rFonts w:ascii="Consolas" w:hAnsi="Consolas"/>
          <w:color w:val="1E1E1E"/>
          <w:sz w:val="21"/>
        </w:rPr>
        <w:t>0x0112</w:t>
      </w:r>
      <w:r>
        <w:rPr>
          <w:rFonts w:ascii="Times New Roman" w:hAnsi="Times New Roman"/>
          <w:b w:val="0"/>
          <w:i w:val="0"/>
          <w:sz w:val="23"/>
        </w:rPr>
        <w:t>) and executes lossless affine rotations. Simultaneously, all sensitive EXIF tags (GPS coordinates, camera serial numbers, patient device IDs) are scrubbed from memory to enforce HIPAA de-identification.</w:t>
      </w:r>
    </w:p>
    <w:p>
      <w:pPr>
        <w:spacing w:before="40" w:after="80" w:line="312" w:lineRule="auto"/>
        <w:ind w:left="576"/>
      </w:pPr>
      <w:r>
        <w:rPr>
          <w:rFonts w:ascii="Times New Roman" w:hAnsi="Times New Roman"/>
          <w:b/>
          <w:sz w:val="22"/>
        </w:rPr>
        <w:t xml:space="preserve">•   </w:t>
      </w:r>
      <w:r>
        <w:rPr>
          <w:rFonts w:ascii="Times New Roman" w:hAnsi="Times New Roman"/>
          <w:b/>
          <w:i w:val="0"/>
          <w:sz w:val="23"/>
        </w:rPr>
        <w:t>Outputs:</w:t>
      </w:r>
      <w:r>
        <w:rPr>
          <w:rFonts w:ascii="Times New Roman" w:hAnsi="Times New Roman"/>
          <w:b w:val="0"/>
          <w:i w:val="0"/>
          <w:sz w:val="23"/>
        </w:rPr>
        <w:t>In-memory standardized RGB image tensor scaled to 224 × 224 pixels normalized to the range [0.0, 1.0].</w:t>
      </w:r>
    </w:p>
    <w:p>
      <w:pPr>
        <w:spacing w:before="200" w:after="80" w:line="360" w:lineRule="auto"/>
        <w:jc w:val="left"/>
      </w:pPr>
      <w:r>
        <w:rPr>
          <w:rFonts w:ascii="Times New Roman" w:hAnsi="Times New Roman"/>
          <w:b/>
          <w:i w:val="0"/>
          <w:color w:val="1E1E1E"/>
          <w:sz w:val="25"/>
        </w:rPr>
        <w:t>FR-04: Automated Laplacian-Variance Optical Quality Gating</w:t>
      </w:r>
    </w:p>
    <w:p>
      <w:pPr>
        <w:spacing w:before="40" w:after="80" w:line="312" w:lineRule="auto"/>
        <w:ind w:left="576"/>
      </w:pPr>
      <w:r>
        <w:rPr>
          <w:rFonts w:ascii="Times New Roman" w:hAnsi="Times New Roman"/>
          <w:b/>
          <w:sz w:val="22"/>
        </w:rPr>
        <w:t xml:space="preserve">•   </w:t>
      </w:r>
      <w:r>
        <w:rPr>
          <w:rFonts w:ascii="Times New Roman" w:hAnsi="Times New Roman"/>
          <w:b/>
          <w:i w:val="0"/>
          <w:sz w:val="23"/>
        </w:rPr>
        <w:t>Clinical &amp; Engineering Rationale:</w:t>
      </w:r>
      <w:r>
        <w:rPr>
          <w:rFonts w:ascii="Times New Roman" w:hAnsi="Times New Roman"/>
          <w:b w:val="0"/>
          <w:i w:val="0"/>
          <w:sz w:val="23"/>
        </w:rPr>
        <w:t>Deploying deep learning on blurred, out-of-focus, or motion-degraded photographs induces false feature activations. Blurry images must be intercepted before executing expensive neural inference.</w:t>
      </w:r>
    </w:p>
    <w:p>
      <w:pPr>
        <w:spacing w:before="40" w:after="80" w:line="312" w:lineRule="auto"/>
        <w:ind w:left="576"/>
      </w:pPr>
      <w:r>
        <w:rPr>
          <w:rFonts w:ascii="Times New Roman" w:hAnsi="Times New Roman"/>
          <w:b/>
          <w:sz w:val="22"/>
        </w:rPr>
        <w:t xml:space="preserve">•   </w:t>
      </w:r>
      <w:r>
        <w:rPr>
          <w:rFonts w:ascii="Times New Roman" w:hAnsi="Times New Roman"/>
          <w:b/>
          <w:i w:val="0"/>
          <w:sz w:val="23"/>
        </w:rPr>
        <w:t>Processing Logic:</w:t>
      </w:r>
      <w:r>
        <w:rPr>
          <w:rFonts w:ascii="Times New Roman" w:hAnsi="Times New Roman"/>
          <w:b w:val="0"/>
          <w:i w:val="0"/>
          <w:sz w:val="23"/>
        </w:rPr>
        <w:t>The input image luminance channel is convolved with a discrete 3× 3 Laplacian kernel. The second-order derivative variance σ^2_{\text{Lap}} is computed across all pixel coordinates. If σ^2_{\text{Lap}} &lt; 50.0, the photograph is classified as clinically degraded.</w:t>
      </w:r>
    </w:p>
    <w:p>
      <w:pPr>
        <w:spacing w:before="40" w:after="80" w:line="312" w:lineRule="auto"/>
        <w:ind w:left="576"/>
      </w:pPr>
      <w:r>
        <w:rPr>
          <w:rFonts w:ascii="Times New Roman" w:hAnsi="Times New Roman"/>
          <w:b/>
          <w:sz w:val="22"/>
        </w:rPr>
        <w:t xml:space="preserve">•   </w:t>
      </w:r>
      <w:r>
        <w:rPr>
          <w:rFonts w:ascii="Times New Roman" w:hAnsi="Times New Roman"/>
          <w:b/>
          <w:i w:val="0"/>
          <w:sz w:val="23"/>
        </w:rPr>
        <w:t>Outputs &amp; Exceptions:</w:t>
      </w:r>
      <w:r>
        <w:rPr>
          <w:rFonts w:ascii="Times New Roman" w:hAnsi="Times New Roman"/>
          <w:b w:val="0"/>
          <w:i w:val="0"/>
          <w:sz w:val="23"/>
        </w:rPr>
        <w:t>If the quality threshold is breached, the pipeline aborts inference and returns an HTTP 422 Unprocessable Entity status with clear qualitative clinical instructions advising the practitioner to stabilize the camera and re-capture under focused lighting.</w:t>
      </w:r>
    </w:p>
    <w:p>
      <w:pPr>
        <w:spacing w:before="200" w:after="80" w:line="360" w:lineRule="auto"/>
        <w:jc w:val="left"/>
      </w:pPr>
      <w:r>
        <w:rPr>
          <w:rFonts w:ascii="Times New Roman" w:hAnsi="Times New Roman"/>
          <w:b/>
          <w:i w:val="0"/>
          <w:color w:val="1E1E1E"/>
          <w:sz w:val="25"/>
        </w:rPr>
        <w:t>FR-05: Reinhard CIELAB Mucosal Optical Color Normalization</w:t>
      </w:r>
    </w:p>
    <w:p>
      <w:pPr>
        <w:spacing w:before="40" w:after="80" w:line="312" w:lineRule="auto"/>
        <w:ind w:left="576"/>
      </w:pPr>
      <w:r>
        <w:rPr>
          <w:rFonts w:ascii="Times New Roman" w:hAnsi="Times New Roman"/>
          <w:b/>
          <w:sz w:val="22"/>
        </w:rPr>
        <w:t xml:space="preserve">•   </w:t>
      </w:r>
      <w:r>
        <w:rPr>
          <w:rFonts w:ascii="Times New Roman" w:hAnsi="Times New Roman"/>
          <w:b/>
          <w:i w:val="0"/>
          <w:sz w:val="23"/>
        </w:rPr>
        <w:t>Clinical &amp; Engineering Rationale:</w:t>
      </w:r>
      <w:r>
        <w:rPr>
          <w:rFonts w:ascii="Times New Roman" w:hAnsi="Times New Roman"/>
          <w:b w:val="0"/>
          <w:i w:val="0"/>
          <w:sz w:val="23"/>
        </w:rPr>
        <w:t>Smartphone cameras from different manufacturers apply proprietary auto-white balance and saturation enhancements, shifting mucosal hues. CIELAB normalization standardizes mucosal color distributions against reference physiological benchmarks.</w:t>
      </w:r>
    </w:p>
    <w:p>
      <w:pPr>
        <w:spacing w:before="40" w:after="80" w:line="312" w:lineRule="auto"/>
        <w:ind w:left="576"/>
      </w:pPr>
      <w:r>
        <w:rPr>
          <w:rFonts w:ascii="Times New Roman" w:hAnsi="Times New Roman"/>
          <w:b/>
          <w:sz w:val="22"/>
        </w:rPr>
        <w:t xml:space="preserve">•   </w:t>
      </w:r>
      <w:r>
        <w:rPr>
          <w:rFonts w:ascii="Times New Roman" w:hAnsi="Times New Roman"/>
          <w:b/>
          <w:i w:val="0"/>
          <w:sz w:val="23"/>
        </w:rPr>
        <w:t>Processing Logic:</w:t>
      </w:r>
      <w:r>
        <w:rPr>
          <w:rFonts w:ascii="Times New Roman" w:hAnsi="Times New Roman"/>
          <w:b w:val="0"/>
          <w:i w:val="0"/>
          <w:sz w:val="23"/>
        </w:rPr>
        <w:t>sRGB pixel values are linearized to eliminate gamma distortion, converted to CIE XYZ using D65 reference white illuminants, and mapped to the non-linear CIELAB space. Mean and standard deviation parameters for the L^*, a^*, and b^* channels are aligned to standardized mucosal benchmarks (μ_L=142.5, σ_L=32.0; μ_a=158.2, σ_a=16.5; μ_b=134.8, σ_b=14.2). The normalized matrix is projected back to sRGB.</w:t>
      </w:r>
    </w:p>
    <w:p>
      <w:pPr>
        <w:spacing w:before="40" w:after="80" w:line="312" w:lineRule="auto"/>
        <w:ind w:left="576"/>
      </w:pPr>
      <w:r>
        <w:rPr>
          <w:rFonts w:ascii="Times New Roman" w:hAnsi="Times New Roman"/>
          <w:b/>
          <w:sz w:val="22"/>
        </w:rPr>
        <w:t xml:space="preserve">•   </w:t>
      </w:r>
      <w:r>
        <w:rPr>
          <w:rFonts w:ascii="Times New Roman" w:hAnsi="Times New Roman"/>
          <w:b/>
          <w:i w:val="0"/>
          <w:sz w:val="23"/>
        </w:rPr>
        <w:t>Outputs:</w:t>
      </w:r>
      <w:r>
        <w:rPr>
          <w:rFonts w:ascii="Times New Roman" w:hAnsi="Times New Roman"/>
          <w:b w:val="0"/>
          <w:i w:val="0"/>
          <w:sz w:val="23"/>
        </w:rPr>
        <w:t>Photometrically standardized image tensor invariant to ambient color temperature shifts.</w:t>
      </w:r>
    </w:p>
    <w:p>
      <w:pPr>
        <w:spacing w:before="200" w:after="80" w:line="360" w:lineRule="auto"/>
        <w:jc w:val="left"/>
      </w:pPr>
      <w:r>
        <w:rPr>
          <w:rFonts w:ascii="Times New Roman" w:hAnsi="Times New Roman"/>
          <w:b/>
          <w:i w:val="0"/>
          <w:color w:val="1E1E1E"/>
          <w:sz w:val="25"/>
        </w:rPr>
        <w:t>FR-06: Clinical Behavioral Risk Covariate Acquisition</w:t>
      </w:r>
    </w:p>
    <w:p>
      <w:pPr>
        <w:spacing w:before="40" w:after="80" w:line="312" w:lineRule="auto"/>
        <w:ind w:left="576"/>
      </w:pPr>
      <w:r>
        <w:rPr>
          <w:rFonts w:ascii="Times New Roman" w:hAnsi="Times New Roman"/>
          <w:b/>
          <w:sz w:val="22"/>
        </w:rPr>
        <w:t xml:space="preserve">•   </w:t>
      </w:r>
      <w:r>
        <w:rPr>
          <w:rFonts w:ascii="Times New Roman" w:hAnsi="Times New Roman"/>
          <w:b/>
          <w:i w:val="0"/>
          <w:sz w:val="23"/>
        </w:rPr>
        <w:t>Clinical &amp; Engineering Rationale:</w:t>
      </w:r>
      <w:r>
        <w:rPr>
          <w:rFonts w:ascii="Times New Roman" w:hAnsi="Times New Roman"/>
          <w:b w:val="0"/>
          <w:i w:val="0"/>
          <w:sz w:val="23"/>
        </w:rPr>
        <w:t>Neoplastic risk is fundamentally modulated by chemical carcinogen exposure. Image-only models lack contextual patient risk awareness.</w:t>
      </w:r>
    </w:p>
    <w:p>
      <w:pPr>
        <w:spacing w:before="40" w:after="80" w:line="312" w:lineRule="auto"/>
        <w:ind w:left="576"/>
      </w:pPr>
      <w:r>
        <w:rPr>
          <w:rFonts w:ascii="Times New Roman" w:hAnsi="Times New Roman"/>
          <w:b/>
          <w:sz w:val="22"/>
        </w:rPr>
        <w:t xml:space="preserve">•   </w:t>
      </w:r>
      <w:r>
        <w:rPr>
          <w:rFonts w:ascii="Times New Roman" w:hAnsi="Times New Roman"/>
          <w:b/>
          <w:i w:val="0"/>
          <w:sz w:val="23"/>
        </w:rPr>
        <w:t>Input Parameters:</w:t>
      </w:r>
      <w:r>
        <w:rPr>
          <w:rFonts w:ascii="Times New Roman" w:hAnsi="Times New Roman"/>
          <w:b w:val="0"/>
          <w:i w:val="0"/>
          <w:sz w:val="23"/>
        </w:rPr>
        <w:t>Structured questionnaire inputs: patient age (integer), tobacco usage duration and frequency, betel nut/areca quid chewing history, daily alcohol consumption units, and prior personal history of oral mucosal dysplasia.</w:t>
      </w:r>
    </w:p>
    <w:p>
      <w:pPr>
        <w:spacing w:before="40" w:after="80" w:line="312" w:lineRule="auto"/>
        <w:ind w:left="576"/>
      </w:pPr>
      <w:r>
        <w:rPr>
          <w:rFonts w:ascii="Times New Roman" w:hAnsi="Times New Roman"/>
          <w:b/>
          <w:sz w:val="22"/>
        </w:rPr>
        <w:t xml:space="preserve">•   </w:t>
      </w:r>
      <w:r>
        <w:rPr>
          <w:rFonts w:ascii="Times New Roman" w:hAnsi="Times New Roman"/>
          <w:b/>
          <w:i w:val="0"/>
          <w:sz w:val="23"/>
        </w:rPr>
        <w:t>Processing Logic:</w:t>
      </w:r>
      <w:r>
        <w:rPr>
          <w:rFonts w:ascii="Times New Roman" w:hAnsi="Times New Roman"/>
          <w:b w:val="0"/>
          <w:i w:val="0"/>
          <w:sz w:val="23"/>
        </w:rPr>
        <w:t>Form inputs are validated via Pydantic schemas, enforcing numeric boundaries and type integrity, and mapped into an 8-dimensional normalized clinical prior vector \mathbf{x}_{\text{clin}} ∈ [0.0, 1.0]^8.</w:t>
      </w:r>
    </w:p>
    <w:p>
      <w:pPr>
        <w:spacing w:before="200" w:after="80" w:line="360" w:lineRule="auto"/>
        <w:jc w:val="left"/>
      </w:pPr>
      <w:r>
        <w:rPr>
          <w:rFonts w:ascii="Times New Roman" w:hAnsi="Times New Roman"/>
          <w:b/>
          <w:i w:val="0"/>
          <w:color w:val="1E1E1E"/>
          <w:sz w:val="25"/>
        </w:rPr>
        <w:t>FR-07: MergedNet Multi-Backbone Ensemble Feature Extraction</w:t>
      </w:r>
    </w:p>
    <w:p>
      <w:pPr>
        <w:spacing w:before="40" w:after="80" w:line="312" w:lineRule="auto"/>
        <w:ind w:left="576"/>
      </w:pPr>
      <w:r>
        <w:rPr>
          <w:rFonts w:ascii="Times New Roman" w:hAnsi="Times New Roman"/>
          <w:b/>
          <w:sz w:val="22"/>
        </w:rPr>
        <w:t xml:space="preserve">•   </w:t>
      </w:r>
      <w:r>
        <w:rPr>
          <w:rFonts w:ascii="Times New Roman" w:hAnsi="Times New Roman"/>
          <w:b/>
          <w:i w:val="0"/>
          <w:sz w:val="23"/>
        </w:rPr>
        <w:t>Clinical &amp; Engineering Rationale:</w:t>
      </w:r>
      <w:r>
        <w:rPr>
          <w:rFonts w:ascii="Times New Roman" w:hAnsi="Times New Roman"/>
          <w:b w:val="0"/>
          <w:i w:val="0"/>
          <w:sz w:val="23"/>
        </w:rPr>
        <w:t>Complementary convolutional backbones extract multi-scale architectural representations spanning fine mucosal vascular erythema to macroscopic lesion borders.</w:t>
      </w:r>
    </w:p>
    <w:p>
      <w:pPr>
        <w:spacing w:before="40" w:after="80" w:line="312" w:lineRule="auto"/>
        <w:ind w:left="576"/>
      </w:pPr>
      <w:r>
        <w:rPr>
          <w:rFonts w:ascii="Times New Roman" w:hAnsi="Times New Roman"/>
          <w:b/>
          <w:sz w:val="22"/>
        </w:rPr>
        <w:t xml:space="preserve">•   </w:t>
      </w:r>
      <w:r>
        <w:rPr>
          <w:rFonts w:ascii="Times New Roman" w:hAnsi="Times New Roman"/>
          <w:b/>
          <w:i w:val="0"/>
          <w:sz w:val="23"/>
        </w:rPr>
        <w:t>Processing Logic:</w:t>
      </w:r>
      <w:r>
        <w:rPr>
          <w:rFonts w:ascii="Times New Roman" w:hAnsi="Times New Roman"/>
          <w:b w:val="0"/>
          <w:i w:val="0"/>
          <w:sz w:val="23"/>
        </w:rPr>
        <w:t>The normalized image tensor is propagated simultaneously through VGG-16 (512-dim), MobileNetV2 (1280-dim), EfficientNet-B0 (1280-dim), and ResNet-50 (2048-dim). The resulting feature vectors are concatenated into a unified 5,120-dimensional latent embedding \mathbf{z}_{\text{fused}}.</w:t>
      </w:r>
    </w:p>
    <w:p>
      <w:pPr>
        <w:spacing w:before="40" w:after="80" w:line="312" w:lineRule="auto"/>
        <w:ind w:left="576"/>
      </w:pPr>
      <w:r>
        <w:rPr>
          <w:rFonts w:ascii="Times New Roman" w:hAnsi="Times New Roman"/>
          <w:b/>
          <w:sz w:val="22"/>
        </w:rPr>
        <w:t xml:space="preserve">•   </w:t>
      </w:r>
      <w:r>
        <w:rPr>
          <w:rFonts w:ascii="Times New Roman" w:hAnsi="Times New Roman"/>
          <w:b/>
          <w:i w:val="0"/>
          <w:sz w:val="23"/>
        </w:rPr>
        <w:t>Outputs:</w:t>
      </w:r>
      <w:r>
        <w:rPr>
          <w:rFonts w:ascii="Times New Roman" w:hAnsi="Times New Roman"/>
          <w:b w:val="0"/>
          <w:i w:val="0"/>
          <w:sz w:val="23"/>
        </w:rPr>
        <w:t>Fused latent representation ready for classification head evaluation.</w:t>
      </w:r>
    </w:p>
    <w:p>
      <w:pPr>
        <w:spacing w:before="200" w:after="80" w:line="360" w:lineRule="auto"/>
        <w:jc w:val="left"/>
      </w:pPr>
      <w:r>
        <w:rPr>
          <w:rFonts w:ascii="Times New Roman" w:hAnsi="Times New Roman"/>
          <w:b/>
          <w:i w:val="0"/>
          <w:color w:val="1E1E1E"/>
          <w:sz w:val="25"/>
        </w:rPr>
        <w:t>FR-08: 8-Pass Test-Time Augmentation (TTA) Synthesis</w:t>
      </w:r>
    </w:p>
    <w:p>
      <w:pPr>
        <w:spacing w:before="40" w:after="80" w:line="312" w:lineRule="auto"/>
        <w:ind w:left="576"/>
      </w:pPr>
      <w:r>
        <w:rPr>
          <w:rFonts w:ascii="Times New Roman" w:hAnsi="Times New Roman"/>
          <w:b/>
          <w:sz w:val="22"/>
        </w:rPr>
        <w:t xml:space="preserve">•   </w:t>
      </w:r>
      <w:r>
        <w:rPr>
          <w:rFonts w:ascii="Times New Roman" w:hAnsi="Times New Roman"/>
          <w:b/>
          <w:i w:val="0"/>
          <w:sz w:val="23"/>
        </w:rPr>
        <w:t>Clinical &amp; Engineering Rationale:</w:t>
      </w:r>
      <w:r>
        <w:rPr>
          <w:rFonts w:ascii="Times New Roman" w:hAnsi="Times New Roman"/>
          <w:b w:val="0"/>
          <w:i w:val="0"/>
          <w:sz w:val="23"/>
        </w:rPr>
        <w:t>Eliminates camera perspective, rotational, and zoom bias during handheld smartphone screening.</w:t>
      </w:r>
    </w:p>
    <w:p>
      <w:pPr>
        <w:spacing w:before="40" w:after="80" w:line="312" w:lineRule="auto"/>
        <w:ind w:left="576"/>
      </w:pPr>
      <w:r>
        <w:rPr>
          <w:rFonts w:ascii="Times New Roman" w:hAnsi="Times New Roman"/>
          <w:b/>
          <w:sz w:val="22"/>
        </w:rPr>
        <w:t xml:space="preserve">•   </w:t>
      </w:r>
      <w:r>
        <w:rPr>
          <w:rFonts w:ascii="Times New Roman" w:hAnsi="Times New Roman"/>
          <w:b/>
          <w:i w:val="0"/>
          <w:sz w:val="23"/>
        </w:rPr>
        <w:t>Processing Logic:</w:t>
      </w:r>
      <w:r>
        <w:rPr>
          <w:rFonts w:ascii="Times New Roman" w:hAnsi="Times New Roman"/>
          <w:b w:val="0"/>
          <w:i w:val="0"/>
          <w:sz w:val="23"/>
        </w:rPr>
        <w:t>Eight deterministic geometric transformations (identity, horizontal flip, vertical flip, 90^\circ rotation, 180^\circ rotation, 270^\circ rotation, 1.05× zoom, 0.95× zoom) are generated in-memory. Each augmented view is processed through the feature extractor, and predicted posterior probability distributions are averaged across all views.</w:t>
      </w:r>
    </w:p>
    <w:p>
      <w:pPr>
        <w:spacing w:before="200" w:after="80" w:line="360" w:lineRule="auto"/>
        <w:jc w:val="left"/>
      </w:pPr>
      <w:r>
        <w:rPr>
          <w:rFonts w:ascii="Times New Roman" w:hAnsi="Times New Roman"/>
          <w:b/>
          <w:i w:val="0"/>
          <w:color w:val="1E1E1E"/>
          <w:sz w:val="25"/>
        </w:rPr>
        <w:t>FR-09: Monte Carlo Dropout Bayesian Uncertainty Quantification</w:t>
      </w:r>
    </w:p>
    <w:p>
      <w:pPr>
        <w:spacing w:before="40" w:after="80" w:line="312" w:lineRule="auto"/>
        <w:ind w:left="576"/>
      </w:pPr>
      <w:r>
        <w:rPr>
          <w:rFonts w:ascii="Times New Roman" w:hAnsi="Times New Roman"/>
          <w:b/>
          <w:sz w:val="22"/>
        </w:rPr>
        <w:t xml:space="preserve">•   </w:t>
      </w:r>
      <w:r>
        <w:rPr>
          <w:rFonts w:ascii="Times New Roman" w:hAnsi="Times New Roman"/>
          <w:b/>
          <w:i w:val="0"/>
          <w:sz w:val="23"/>
        </w:rPr>
        <w:t>Clinical &amp; Engineering Rationale:</w:t>
      </w:r>
      <w:r>
        <w:rPr>
          <w:rFonts w:ascii="Times New Roman" w:hAnsi="Times New Roman"/>
          <w:b w:val="0"/>
          <w:i w:val="0"/>
          <w:sz w:val="23"/>
        </w:rPr>
        <w:t>Prevents overconfident misdiagnosis on atypical, rare, or out-of-distribution mucosal pathology.</w:t>
      </w:r>
    </w:p>
    <w:p>
      <w:pPr>
        <w:spacing w:before="40" w:after="80" w:line="312" w:lineRule="auto"/>
        <w:ind w:left="576"/>
      </w:pPr>
      <w:r>
        <w:rPr>
          <w:rFonts w:ascii="Times New Roman" w:hAnsi="Times New Roman"/>
          <w:b/>
          <w:sz w:val="22"/>
        </w:rPr>
        <w:t xml:space="preserve">•   </w:t>
      </w:r>
      <w:r>
        <w:rPr>
          <w:rFonts w:ascii="Times New Roman" w:hAnsi="Times New Roman"/>
          <w:b/>
          <w:i w:val="0"/>
          <w:sz w:val="23"/>
        </w:rPr>
        <w:t>Processing Logic:</w:t>
      </w:r>
      <w:r>
        <w:rPr>
          <w:rFonts w:ascii="Times New Roman" w:hAnsi="Times New Roman"/>
          <w:b w:val="0"/>
          <w:i w:val="0"/>
          <w:sz w:val="23"/>
        </w:rPr>
        <w:t>Dropout layers in the classification head (p_1 = 0.35, p_2 = 0.20) remain active during test mode. The network executes T = 15 stochastic forward passes. The predictive mean probability \hat{μ} and epistemic variance σ^2_{\text{epistemic}} are computed across all variational realizations.</w:t>
      </w:r>
    </w:p>
    <w:p>
      <w:pPr>
        <w:spacing w:before="40" w:after="80" w:line="312" w:lineRule="auto"/>
        <w:ind w:left="576"/>
      </w:pPr>
      <w:r>
        <w:rPr>
          <w:rFonts w:ascii="Times New Roman" w:hAnsi="Times New Roman"/>
          <w:b/>
          <w:sz w:val="22"/>
        </w:rPr>
        <w:t xml:space="preserve">•   </w:t>
      </w:r>
      <w:r>
        <w:rPr>
          <w:rFonts w:ascii="Times New Roman" w:hAnsi="Times New Roman"/>
          <w:b/>
          <w:i w:val="0"/>
          <w:sz w:val="23"/>
        </w:rPr>
        <w:t>Outputs:</w:t>
      </w:r>
      <w:r>
        <w:rPr>
          <w:rFonts w:ascii="Times New Roman" w:hAnsi="Times New Roman"/>
          <w:b w:val="0"/>
          <w:i w:val="0"/>
          <w:sz w:val="23"/>
        </w:rPr>
        <w:t>Formally calibrated posterior predictive distribution with explicit uncertainty variance.</w:t>
      </w:r>
    </w:p>
    <w:p>
      <w:pPr>
        <w:spacing w:before="200" w:after="80" w:line="360" w:lineRule="auto"/>
        <w:jc w:val="left"/>
      </w:pPr>
      <w:r>
        <w:rPr>
          <w:rFonts w:ascii="Times New Roman" w:hAnsi="Times New Roman"/>
          <w:b/>
          <w:i w:val="0"/>
          <w:color w:val="1E1E1E"/>
          <w:sz w:val="25"/>
        </w:rPr>
        <w:t>FR-10: Automated Specialist Escalation and Uncertainty Gating</w:t>
      </w:r>
    </w:p>
    <w:p>
      <w:pPr>
        <w:spacing w:before="40" w:after="80" w:line="312" w:lineRule="auto"/>
        <w:ind w:left="576"/>
      </w:pPr>
      <w:r>
        <w:rPr>
          <w:rFonts w:ascii="Times New Roman" w:hAnsi="Times New Roman"/>
          <w:b/>
          <w:sz w:val="22"/>
        </w:rPr>
        <w:t xml:space="preserve">•   </w:t>
      </w:r>
      <w:r>
        <w:rPr>
          <w:rFonts w:ascii="Times New Roman" w:hAnsi="Times New Roman"/>
          <w:b/>
          <w:i w:val="0"/>
          <w:sz w:val="23"/>
        </w:rPr>
        <w:t>Clinical &amp; Engineering Rationale:</w:t>
      </w:r>
      <w:r>
        <w:rPr>
          <w:rFonts w:ascii="Times New Roman" w:hAnsi="Times New Roman"/>
          <w:b w:val="0"/>
          <w:i w:val="0"/>
          <w:sz w:val="23"/>
        </w:rPr>
        <w:t>Guarantees clinical safety by automatically deferring borderline cases rather than forcing uncalibrated binary labels.</w:t>
      </w:r>
    </w:p>
    <w:p>
      <w:pPr>
        <w:spacing w:before="40" w:after="80" w:line="312" w:lineRule="auto"/>
        <w:ind w:left="576"/>
      </w:pPr>
      <w:r>
        <w:rPr>
          <w:rFonts w:ascii="Times New Roman" w:hAnsi="Times New Roman"/>
          <w:b/>
          <w:sz w:val="22"/>
        </w:rPr>
        <w:t xml:space="preserve">•   </w:t>
      </w:r>
      <w:r>
        <w:rPr>
          <w:rFonts w:ascii="Times New Roman" w:hAnsi="Times New Roman"/>
          <w:b/>
          <w:i w:val="0"/>
          <w:sz w:val="23"/>
        </w:rPr>
        <w:t>Processing Logic:</w:t>
      </w:r>
      <w:r>
        <w:rPr>
          <w:rFonts w:ascii="Times New Roman" w:hAnsi="Times New Roman"/>
          <w:b w:val="0"/>
          <w:i w:val="0"/>
          <w:sz w:val="23"/>
        </w:rPr>
        <w:t>If the computed epistemic variance σ^2 &gt; 0.015, the automated binary classification verdict is suppressed. The system assigns a special diagnostic category:</w:t>
      </w:r>
      <w:r>
        <w:rPr>
          <w:rFonts w:ascii="Times New Roman" w:hAnsi="Times New Roman"/>
          <w:b w:val="0"/>
          <w:i/>
          <w:sz w:val="23"/>
        </w:rPr>
        <w:t>"Uncertain – Deferred to Specialist"</w:t>
      </w:r>
      <w:r>
        <w:rPr>
          <w:rFonts w:ascii="Times New Roman" w:hAnsi="Times New Roman"/>
          <w:b w:val="0"/>
          <w:i w:val="0"/>
          <w:sz w:val="23"/>
        </w:rPr>
        <w:t>, accompanied by an amber clinical alert and urgent referral instructions.</w:t>
      </w:r>
    </w:p>
    <w:p>
      <w:pPr>
        <w:spacing w:before="200" w:after="80" w:line="360" w:lineRule="auto"/>
        <w:jc w:val="left"/>
      </w:pPr>
      <w:r>
        <w:rPr>
          <w:rFonts w:ascii="Times New Roman" w:hAnsi="Times New Roman"/>
          <w:b/>
          <w:i w:val="0"/>
          <w:color w:val="1E1E1E"/>
          <w:sz w:val="25"/>
        </w:rPr>
        <w:t>FR-11: Multimodal Cross-Attention Risk Prior Fusion</w:t>
      </w:r>
    </w:p>
    <w:p>
      <w:pPr>
        <w:spacing w:before="40" w:after="80" w:line="312" w:lineRule="auto"/>
        <w:ind w:left="576"/>
      </w:pPr>
      <w:r>
        <w:rPr>
          <w:rFonts w:ascii="Times New Roman" w:hAnsi="Times New Roman"/>
          <w:b/>
          <w:sz w:val="22"/>
        </w:rPr>
        <w:t xml:space="preserve">•   </w:t>
      </w:r>
      <w:r>
        <w:rPr>
          <w:rFonts w:ascii="Times New Roman" w:hAnsi="Times New Roman"/>
          <w:b/>
          <w:i w:val="0"/>
          <w:sz w:val="23"/>
        </w:rPr>
        <w:t>Clinical &amp; Engineering Rationale:</w:t>
      </w:r>
      <w:r>
        <w:rPr>
          <w:rFonts w:ascii="Times New Roman" w:hAnsi="Times New Roman"/>
          <w:b w:val="0"/>
          <w:i w:val="0"/>
          <w:sz w:val="23"/>
        </w:rPr>
        <w:t>TRIPOD+AI guidelines mandate the mathematical synthesis of clinical predictors with algorithmic image representations.</w:t>
      </w:r>
    </w:p>
    <w:p>
      <w:pPr>
        <w:spacing w:before="40" w:after="80" w:line="312" w:lineRule="auto"/>
        <w:ind w:left="576"/>
      </w:pPr>
      <w:r>
        <w:rPr>
          <w:rFonts w:ascii="Times New Roman" w:hAnsi="Times New Roman"/>
          <w:b/>
          <w:sz w:val="22"/>
        </w:rPr>
        <w:t xml:space="preserve">•   </w:t>
      </w:r>
      <w:r>
        <w:rPr>
          <w:rFonts w:ascii="Times New Roman" w:hAnsi="Times New Roman"/>
          <w:b/>
          <w:i w:val="0"/>
          <w:sz w:val="23"/>
        </w:rPr>
        <w:t>Processing Logic:</w:t>
      </w:r>
      <w:r>
        <w:rPr>
          <w:rFonts w:ascii="Times New Roman" w:hAnsi="Times New Roman"/>
          <w:b w:val="0"/>
          <w:i w:val="0"/>
          <w:sz w:val="23"/>
        </w:rPr>
        <w:t>Patient clinical risk covariates are evaluated through a calibrated Multi-Layer Perceptron assigning established epidemiological weights: tobacco history (+35%), areca nut/betel quid exposure (+30%), patient age ≥ 60 (+30%), alcohol consumption (+20%), and prior dysplasia history (+25%). Cross-attention dynamically modulates visual logits, elevating triage urgency in high-risk demographic cohorts.</w:t>
      </w:r>
    </w:p>
    <w:p>
      <w:pPr>
        <w:spacing w:before="200" w:after="80" w:line="360" w:lineRule="auto"/>
        <w:jc w:val="left"/>
      </w:pPr>
      <w:r>
        <w:rPr>
          <w:rFonts w:ascii="Times New Roman" w:hAnsi="Times New Roman"/>
          <w:b/>
          <w:i w:val="0"/>
          <w:color w:val="1E1E1E"/>
          <w:sz w:val="25"/>
        </w:rPr>
        <w:t>FR-12: Explainable AI Grad-CAM++ Saliency Heatmap Generation</w:t>
      </w:r>
    </w:p>
    <w:p>
      <w:pPr>
        <w:spacing w:before="40" w:after="80" w:line="312" w:lineRule="auto"/>
        <w:ind w:left="576"/>
      </w:pPr>
      <w:r>
        <w:rPr>
          <w:rFonts w:ascii="Times New Roman" w:hAnsi="Times New Roman"/>
          <w:b/>
          <w:sz w:val="22"/>
        </w:rPr>
        <w:t xml:space="preserve">•   </w:t>
      </w:r>
      <w:r>
        <w:rPr>
          <w:rFonts w:ascii="Times New Roman" w:hAnsi="Times New Roman"/>
          <w:b/>
          <w:i w:val="0"/>
          <w:sz w:val="23"/>
        </w:rPr>
        <w:t>Clinical &amp; Engineering Rationale:</w:t>
      </w:r>
      <w:r>
        <w:rPr>
          <w:rFonts w:ascii="Times New Roman" w:hAnsi="Times New Roman"/>
          <w:b w:val="0"/>
          <w:i w:val="0"/>
          <w:sz w:val="23"/>
        </w:rPr>
        <w:t>Pathologists and dentists require transparent spatial verification to validate that the neural network attends to genuine dysplastic margins rather than teeth or dental retractors.</w:t>
      </w:r>
    </w:p>
    <w:p>
      <w:pPr>
        <w:spacing w:before="40" w:after="80" w:line="312" w:lineRule="auto"/>
        <w:ind w:left="576"/>
      </w:pPr>
      <w:r>
        <w:rPr>
          <w:rFonts w:ascii="Times New Roman" w:hAnsi="Times New Roman"/>
          <w:b/>
          <w:sz w:val="22"/>
        </w:rPr>
        <w:t xml:space="preserve">•   </w:t>
      </w:r>
      <w:r>
        <w:rPr>
          <w:rFonts w:ascii="Times New Roman" w:hAnsi="Times New Roman"/>
          <w:b/>
          <w:i w:val="0"/>
          <w:sz w:val="23"/>
        </w:rPr>
        <w:t>Processing Logic:</w:t>
      </w:r>
      <w:r>
        <w:rPr>
          <w:rFonts w:ascii="Times New Roman" w:hAnsi="Times New Roman"/>
          <w:b w:val="0"/>
          <w:i w:val="0"/>
          <w:sz w:val="23"/>
        </w:rPr>
        <w:t>The system computes higher-order positive gradients of the target class score with respect to penultimate convolutional activation maps. The resulting spatial attribution matrix is normalized to [0.0, 1.0], color-mapped using a jet/thermal spectrum (red denoting maximal malignancy focus, blue denoting background), and blended over the original clinical photograph with 50% alpha transparency.</w:t>
      </w:r>
    </w:p>
    <w:p>
      <w:pPr>
        <w:spacing w:before="200" w:after="80" w:line="360" w:lineRule="auto"/>
        <w:jc w:val="left"/>
      </w:pPr>
      <w:r>
        <w:rPr>
          <w:rFonts w:ascii="Times New Roman" w:hAnsi="Times New Roman"/>
          <w:b/>
          <w:i w:val="0"/>
          <w:color w:val="1E1E1E"/>
          <w:sz w:val="25"/>
        </w:rPr>
        <w:t>FR-13: HL7 FHIR Release 4 Diagnostic Interoperability Export</w:t>
      </w:r>
    </w:p>
    <w:p>
      <w:pPr>
        <w:spacing w:before="40" w:after="80" w:line="312" w:lineRule="auto"/>
        <w:ind w:left="576"/>
      </w:pPr>
      <w:r>
        <w:rPr>
          <w:rFonts w:ascii="Times New Roman" w:hAnsi="Times New Roman"/>
          <w:b/>
          <w:sz w:val="22"/>
        </w:rPr>
        <w:t xml:space="preserve">•   </w:t>
      </w:r>
      <w:r>
        <w:rPr>
          <w:rFonts w:ascii="Times New Roman" w:hAnsi="Times New Roman"/>
          <w:b/>
          <w:i w:val="0"/>
          <w:sz w:val="23"/>
        </w:rPr>
        <w:t>Clinical &amp; Engineering Rationale:</w:t>
      </w:r>
      <w:r>
        <w:rPr>
          <w:rFonts w:ascii="Times New Roman" w:hAnsi="Times New Roman"/>
          <w:b w:val="0"/>
          <w:i w:val="0"/>
          <w:sz w:val="23"/>
        </w:rPr>
        <w:t>Hospital Electronic Health Record (EHR) integration requires compliant international healthcare messaging schemas.</w:t>
      </w:r>
    </w:p>
    <w:p>
      <w:pPr>
        <w:spacing w:before="40" w:after="80" w:line="312" w:lineRule="auto"/>
        <w:ind w:left="576"/>
      </w:pPr>
      <w:r>
        <w:rPr>
          <w:rFonts w:ascii="Times New Roman" w:hAnsi="Times New Roman"/>
          <w:b/>
          <w:sz w:val="22"/>
        </w:rPr>
        <w:t xml:space="preserve">•   </w:t>
      </w:r>
      <w:r>
        <w:rPr>
          <w:rFonts w:ascii="Times New Roman" w:hAnsi="Times New Roman"/>
          <w:b/>
          <w:i w:val="0"/>
          <w:sz w:val="23"/>
        </w:rPr>
        <w:t>Processing Logic:</w:t>
      </w:r>
      <w:r>
        <w:rPr>
          <w:rFonts w:ascii="Times New Roman" w:hAnsi="Times New Roman"/>
          <w:b w:val="0"/>
          <w:i w:val="0"/>
          <w:sz w:val="23"/>
        </w:rPr>
        <w:t>The</w:t>
      </w:r>
      <w:r>
        <w:rPr>
          <w:rFonts w:ascii="Consolas" w:hAnsi="Consolas"/>
          <w:color w:val="1E1E1E"/>
          <w:sz w:val="21"/>
        </w:rPr>
        <w:t>fhir_exporter</w:t>
      </w:r>
      <w:r>
        <w:rPr>
          <w:rFonts w:ascii="Times New Roman" w:hAnsi="Times New Roman"/>
          <w:b w:val="0"/>
          <w:i w:val="0"/>
          <w:sz w:val="23"/>
        </w:rPr>
        <w:t>service serializes screening metadata into a structured JSON Bundle (type: collection) containing</w:t>
      </w:r>
      <w:r>
        <w:rPr>
          <w:rFonts w:ascii="Consolas" w:hAnsi="Consolas"/>
          <w:color w:val="1E1E1E"/>
          <w:sz w:val="21"/>
        </w:rPr>
        <w:t>Patient</w:t>
      </w:r>
      <w:r>
        <w:rPr>
          <w:rFonts w:ascii="Times New Roman" w:hAnsi="Times New Roman"/>
          <w:b w:val="0"/>
          <w:i w:val="0"/>
          <w:sz w:val="23"/>
        </w:rPr>
        <w:t>,</w:t>
      </w:r>
      <w:r>
        <w:rPr>
          <w:rFonts w:ascii="Consolas" w:hAnsi="Consolas"/>
          <w:color w:val="1E1E1E"/>
          <w:sz w:val="21"/>
        </w:rPr>
        <w:t>Practitioner</w:t>
      </w:r>
      <w:r>
        <w:rPr>
          <w:rFonts w:ascii="Times New Roman" w:hAnsi="Times New Roman"/>
          <w:b w:val="0"/>
          <w:i w:val="0"/>
          <w:sz w:val="23"/>
        </w:rPr>
        <w:t>,</w:t>
      </w:r>
      <w:r>
        <w:rPr>
          <w:rFonts w:ascii="Consolas" w:hAnsi="Consolas"/>
          <w:color w:val="1E1E1E"/>
          <w:sz w:val="21"/>
        </w:rPr>
        <w:t>Observation</w:t>
      </w:r>
      <w:r>
        <w:rPr>
          <w:rFonts w:ascii="Times New Roman" w:hAnsi="Times New Roman"/>
          <w:b w:val="0"/>
          <w:i w:val="0"/>
          <w:sz w:val="23"/>
        </w:rPr>
        <w:t>(Diagnosis with LOINC</w:t>
      </w:r>
      <w:r>
        <w:rPr>
          <w:rFonts w:ascii="Consolas" w:hAnsi="Consolas"/>
          <w:color w:val="1E1E1E"/>
          <w:sz w:val="21"/>
        </w:rPr>
        <w:t>81247-9</w:t>
      </w:r>
      <w:r>
        <w:rPr>
          <w:rFonts w:ascii="Times New Roman" w:hAnsi="Times New Roman"/>
          <w:b w:val="0"/>
          <w:i w:val="0"/>
          <w:sz w:val="23"/>
        </w:rPr>
        <w:t>and SNOMED-CT</w:t>
      </w:r>
      <w:r>
        <w:rPr>
          <w:rFonts w:ascii="Consolas" w:hAnsi="Consolas"/>
          <w:color w:val="1E1E1E"/>
          <w:sz w:val="21"/>
        </w:rPr>
        <w:t>35917007</w:t>
      </w:r>
      <w:r>
        <w:rPr>
          <w:rFonts w:ascii="Times New Roman" w:hAnsi="Times New Roman"/>
          <w:b w:val="0"/>
          <w:i w:val="0"/>
          <w:sz w:val="23"/>
        </w:rPr>
        <w:t>), and</w:t>
      </w:r>
      <w:r>
        <w:rPr>
          <w:rFonts w:ascii="Consolas" w:hAnsi="Consolas"/>
          <w:color w:val="1E1E1E"/>
          <w:sz w:val="21"/>
        </w:rPr>
        <w:t>ServiceRequest</w:t>
      </w:r>
      <w:r>
        <w:rPr>
          <w:rFonts w:ascii="Times New Roman" w:hAnsi="Times New Roman"/>
          <w:b w:val="0"/>
          <w:i w:val="0"/>
          <w:sz w:val="23"/>
        </w:rPr>
        <w:t>(Specialist Biopsy Referral).</w:t>
      </w:r>
    </w:p>
    <w:p>
      <w:pPr>
        <w:spacing w:before="200" w:after="80" w:line="360" w:lineRule="auto"/>
        <w:jc w:val="left"/>
      </w:pPr>
      <w:r>
        <w:rPr>
          <w:rFonts w:ascii="Times New Roman" w:hAnsi="Times New Roman"/>
          <w:b/>
          <w:i w:val="0"/>
          <w:color w:val="1E1E1E"/>
          <w:sz w:val="25"/>
        </w:rPr>
        <w:t>FR-14: Automated Downloadable Clinical PDF Report Synthesis</w:t>
      </w:r>
    </w:p>
    <w:p>
      <w:pPr>
        <w:spacing w:before="40" w:after="80" w:line="312" w:lineRule="auto"/>
        <w:ind w:left="576"/>
      </w:pPr>
      <w:r>
        <w:rPr>
          <w:rFonts w:ascii="Times New Roman" w:hAnsi="Times New Roman"/>
          <w:b/>
          <w:sz w:val="22"/>
        </w:rPr>
        <w:t xml:space="preserve">•   </w:t>
      </w:r>
      <w:r>
        <w:rPr>
          <w:rFonts w:ascii="Times New Roman" w:hAnsi="Times New Roman"/>
          <w:b/>
          <w:i w:val="0"/>
          <w:sz w:val="23"/>
        </w:rPr>
        <w:t>Clinical &amp; Engineering Rationale:</w:t>
      </w:r>
      <w:r>
        <w:rPr>
          <w:rFonts w:ascii="Times New Roman" w:hAnsi="Times New Roman"/>
          <w:b w:val="0"/>
          <w:i w:val="0"/>
          <w:sz w:val="23"/>
        </w:rPr>
        <w:t>Enables physical documentation in rural health centers lacking continuous internet connectivity or digital EHR terminals.</w:t>
      </w:r>
    </w:p>
    <w:p>
      <w:pPr>
        <w:spacing w:before="40" w:after="80" w:line="312" w:lineRule="auto"/>
        <w:ind w:left="576"/>
      </w:pPr>
      <w:r>
        <w:rPr>
          <w:rFonts w:ascii="Times New Roman" w:hAnsi="Times New Roman"/>
          <w:b/>
          <w:sz w:val="22"/>
        </w:rPr>
        <w:t xml:space="preserve">•   </w:t>
      </w:r>
      <w:r>
        <w:rPr>
          <w:rFonts w:ascii="Times New Roman" w:hAnsi="Times New Roman"/>
          <w:b/>
          <w:i w:val="0"/>
          <w:sz w:val="23"/>
        </w:rPr>
        <w:t>Processing Logic:</w:t>
      </w:r>
      <w:r>
        <w:rPr>
          <w:rFonts w:ascii="Times New Roman" w:hAnsi="Times New Roman"/>
          <w:b w:val="0"/>
          <w:i w:val="0"/>
          <w:sz w:val="23"/>
        </w:rPr>
        <w:t>Client-side rendering utilizing</w:t>
      </w:r>
      <w:r>
        <w:rPr>
          <w:rFonts w:ascii="Consolas" w:hAnsi="Consolas"/>
          <w:color w:val="1E1E1E"/>
          <w:sz w:val="21"/>
        </w:rPr>
        <w:t>jsPDF</w:t>
      </w:r>
      <w:r>
        <w:rPr>
          <w:rFonts w:ascii="Times New Roman" w:hAnsi="Times New Roman"/>
          <w:b w:val="0"/>
          <w:i w:val="0"/>
          <w:sz w:val="23"/>
        </w:rPr>
        <w:t>and</w:t>
      </w:r>
      <w:r>
        <w:rPr>
          <w:rFonts w:ascii="Consolas" w:hAnsi="Consolas"/>
          <w:color w:val="1E1E1E"/>
          <w:sz w:val="21"/>
        </w:rPr>
        <w:t>html2canvas</w:t>
      </w:r>
      <w:r>
        <w:rPr>
          <w:rFonts w:ascii="Times New Roman" w:hAnsi="Times New Roman"/>
          <w:b w:val="0"/>
          <w:i w:val="0"/>
          <w:sz w:val="23"/>
        </w:rPr>
        <w:t>compiles patient demographic indicators, original photographic views, Grad-CAM++ heatmap overlays, calibrated probability scores, epistemic variance metrics, and attending clinician signature blocks into a vector-rendered PDF document.</w:t>
      </w:r>
    </w:p>
    <w:p>
      <w:pPr>
        <w:spacing w:before="200" w:after="80" w:line="360" w:lineRule="auto"/>
        <w:jc w:val="left"/>
      </w:pPr>
      <w:r>
        <w:rPr>
          <w:rFonts w:ascii="Times New Roman" w:hAnsi="Times New Roman"/>
          <w:b/>
          <w:i w:val="0"/>
          <w:color w:val="1E1E1E"/>
          <w:sz w:val="25"/>
        </w:rPr>
        <w:t>FR-15: Immutable Cryptographic Audit Trail Logging</w:t>
      </w:r>
    </w:p>
    <w:p>
      <w:pPr>
        <w:spacing w:before="40" w:after="80" w:line="312" w:lineRule="auto"/>
        <w:ind w:left="576"/>
      </w:pPr>
      <w:r>
        <w:rPr>
          <w:rFonts w:ascii="Times New Roman" w:hAnsi="Times New Roman"/>
          <w:b/>
          <w:sz w:val="22"/>
        </w:rPr>
        <w:t xml:space="preserve">•   </w:t>
      </w:r>
      <w:r>
        <w:rPr>
          <w:rFonts w:ascii="Times New Roman" w:hAnsi="Times New Roman"/>
          <w:b/>
          <w:i w:val="0"/>
          <w:sz w:val="23"/>
        </w:rPr>
        <w:t>Clinical &amp; Engineering Rationale:</w:t>
      </w:r>
      <w:r>
        <w:rPr>
          <w:rFonts w:ascii="Times New Roman" w:hAnsi="Times New Roman"/>
          <w:b w:val="0"/>
          <w:i w:val="0"/>
          <w:sz w:val="23"/>
        </w:rPr>
        <w:t>HIPAA and medico-legal liability require a tamper-evident audit ledger tracking every diagnostic decision.</w:t>
      </w:r>
    </w:p>
    <w:p>
      <w:pPr>
        <w:spacing w:before="40" w:after="80" w:line="312" w:lineRule="auto"/>
        <w:ind w:left="576"/>
      </w:pPr>
      <w:r>
        <w:rPr>
          <w:rFonts w:ascii="Times New Roman" w:hAnsi="Times New Roman"/>
          <w:b/>
          <w:sz w:val="22"/>
        </w:rPr>
        <w:t xml:space="preserve">•   </w:t>
      </w:r>
      <w:r>
        <w:rPr>
          <w:rFonts w:ascii="Times New Roman" w:hAnsi="Times New Roman"/>
          <w:b/>
          <w:i w:val="0"/>
          <w:sz w:val="23"/>
        </w:rPr>
        <w:t>Processing Logic:</w:t>
      </w:r>
      <w:r>
        <w:rPr>
          <w:rFonts w:ascii="Times New Roman" w:hAnsi="Times New Roman"/>
          <w:b w:val="0"/>
          <w:i w:val="0"/>
          <w:sz w:val="23"/>
        </w:rPr>
        <w:t>Every screening transaction records the authenticated user ID, client IP address, transaction timestamp (UTC ISO-8601), HTTP response status code, and diagnostic outcome in the relational</w:t>
      </w:r>
      <w:r>
        <w:rPr>
          <w:rFonts w:ascii="Consolas" w:hAnsi="Consolas"/>
          <w:color w:val="1E1E1E"/>
          <w:sz w:val="21"/>
        </w:rPr>
        <w:t>audit_logs</w:t>
      </w:r>
      <w:r>
        <w:rPr>
          <w:rFonts w:ascii="Times New Roman" w:hAnsi="Times New Roman"/>
          <w:b w:val="0"/>
          <w:i w:val="0"/>
          <w:sz w:val="23"/>
        </w:rPr>
        <w:t>table with automated append-only constraints.</w:t>
      </w:r>
    </w:p>
    <w:p>
      <w:pPr>
        <w:spacing w:before="280" w:after="120" w:line="360" w:lineRule="auto"/>
        <w:jc w:val="left"/>
      </w:pPr>
      <w:r>
        <w:rPr>
          <w:rFonts w:ascii="Times New Roman" w:hAnsi="Times New Roman"/>
          <w:b/>
          <w:i w:val="0"/>
          <w:color w:val="0F234B"/>
          <w:sz w:val="28"/>
        </w:rPr>
        <w:t>Qualitative Non-Functional Requirements Specification</w:t>
      </w:r>
    </w:p>
    <w:p>
      <w:pPr>
        <w:spacing w:before="40" w:after="120" w:line="360" w:lineRule="auto"/>
        <w:jc w:val="both"/>
      </w:pPr>
      <w:r>
        <w:rPr>
          <w:rFonts w:ascii="Times New Roman" w:hAnsi="Times New Roman"/>
          <w:b w:val="0"/>
          <w:i w:val="0"/>
          <w:sz w:val="24"/>
        </w:rPr>
        <w:t>The non-functional attributes of Visionary Diagnostics define the operational boundaries and performance thresholds necessary for clinical viability:</w:t>
      </w:r>
    </w:p>
    <w:p>
      <w:pPr>
        <w:spacing w:before="40" w:after="80" w:line="312" w:lineRule="auto"/>
        <w:ind w:left="576"/>
      </w:pPr>
      <w:r>
        <w:rPr>
          <w:rFonts w:ascii="Times New Roman" w:hAnsi="Times New Roman"/>
          <w:b/>
          <w:sz w:val="22"/>
        </w:rPr>
        <w:t xml:space="preserve">1. </w:t>
      </w:r>
      <w:r>
        <w:rPr>
          <w:rFonts w:ascii="Times New Roman" w:hAnsi="Times New Roman"/>
          <w:b/>
          <w:i w:val="0"/>
          <w:sz w:val="23"/>
        </w:rPr>
        <w:t>Sub-150ms End-to-End Latency Target:</w:t>
      </w:r>
      <w:r>
        <w:rPr>
          <w:rFonts w:ascii="Times New Roman" w:hAnsi="Times New Roman"/>
          <w:b w:val="0"/>
          <w:i w:val="0"/>
          <w:sz w:val="23"/>
        </w:rPr>
        <w:t>To prevent clinical workflow disruption during busy outpatient clinic hours, the complete computational chain—from image receipt through Reinhard normalization, 8-pass TTA, 15-pass MC Dropout, and risk fusion—must terminate within an upper bound of 150\text{ ms} on standard cloud vCPUs.</w:t>
      </w:r>
    </w:p>
    <w:p>
      <w:pPr>
        <w:spacing w:before="40" w:after="80" w:line="312" w:lineRule="auto"/>
        <w:ind w:left="576"/>
      </w:pPr>
      <w:r>
        <w:rPr>
          <w:rFonts w:ascii="Times New Roman" w:hAnsi="Times New Roman"/>
          <w:b/>
          <w:sz w:val="22"/>
        </w:rPr>
        <w:t xml:space="preserve">2. </w:t>
      </w:r>
      <w:r>
        <w:rPr>
          <w:rFonts w:ascii="Times New Roman" w:hAnsi="Times New Roman"/>
          <w:b/>
          <w:i w:val="0"/>
          <w:sz w:val="23"/>
        </w:rPr>
        <w:t>Throughput Scalability and Peak Load Resilience:</w:t>
      </w:r>
      <w:r>
        <w:rPr>
          <w:rFonts w:ascii="Times New Roman" w:hAnsi="Times New Roman"/>
          <w:b w:val="0"/>
          <w:i w:val="0"/>
          <w:sz w:val="23"/>
        </w:rPr>
        <w:t>The API gateway must sustain a minimum processing capacity of 50 requests per second with horizontal worker scaling, ensuring stability during community mass-screening camps where dozens of field workers submit images simultaneously.</w:t>
      </w:r>
    </w:p>
    <w:p>
      <w:pPr>
        <w:spacing w:before="40" w:after="80" w:line="312" w:lineRule="auto"/>
        <w:ind w:left="576"/>
      </w:pPr>
      <w:r>
        <w:rPr>
          <w:rFonts w:ascii="Times New Roman" w:hAnsi="Times New Roman"/>
          <w:b/>
          <w:sz w:val="22"/>
        </w:rPr>
        <w:t xml:space="preserve">3. </w:t>
      </w:r>
      <w:r>
        <w:rPr>
          <w:rFonts w:ascii="Times New Roman" w:hAnsi="Times New Roman"/>
          <w:b/>
          <w:i w:val="0"/>
          <w:sz w:val="23"/>
        </w:rPr>
        <w:t>Clinical Safety Sensitivity Mandate (≥ 99.5%):</w:t>
      </w:r>
      <w:r>
        <w:rPr>
          <w:rFonts w:ascii="Times New Roman" w:hAnsi="Times New Roman"/>
          <w:b w:val="0"/>
          <w:i w:val="0"/>
          <w:sz w:val="23"/>
        </w:rPr>
        <w:t>In oncological triage, a false negative represents a catastrophic clinical outcome. The system architecture is constrained to achieve an empirical sensitivity exceeding 99.5%, guaranteeing that malignant lesions are never overlooked.</w:t>
      </w:r>
    </w:p>
    <w:p>
      <w:pPr>
        <w:spacing w:before="40" w:after="80" w:line="312" w:lineRule="auto"/>
        <w:ind w:left="576"/>
      </w:pPr>
      <w:r>
        <w:rPr>
          <w:rFonts w:ascii="Times New Roman" w:hAnsi="Times New Roman"/>
          <w:b/>
          <w:sz w:val="22"/>
        </w:rPr>
        <w:t xml:space="preserve">4. </w:t>
      </w:r>
      <w:r>
        <w:rPr>
          <w:rFonts w:ascii="Times New Roman" w:hAnsi="Times New Roman"/>
          <w:b/>
          <w:i w:val="0"/>
          <w:sz w:val="23"/>
        </w:rPr>
        <w:t>Zero False-Positive Referral Guarantee via Epistemic Gating:</w:t>
      </w:r>
      <w:r>
        <w:rPr>
          <w:rFonts w:ascii="Times New Roman" w:hAnsi="Times New Roman"/>
          <w:b w:val="0"/>
          <w:i w:val="0"/>
          <w:sz w:val="23"/>
        </w:rPr>
        <w:t>To minimize healthcare expenditure and prevent unnecessary surgical trauma, the system must achieve 100.0% specificity by diverting ambiguous specimens to specialist review rather than issuing false-positive cancer labels.</w:t>
      </w:r>
    </w:p>
    <w:p>
      <w:pPr>
        <w:spacing w:before="40" w:after="80" w:line="312" w:lineRule="auto"/>
        <w:ind w:left="576"/>
      </w:pPr>
      <w:r>
        <w:rPr>
          <w:rFonts w:ascii="Times New Roman" w:hAnsi="Times New Roman"/>
          <w:b/>
          <w:sz w:val="22"/>
        </w:rPr>
        <w:t xml:space="preserve">5. </w:t>
      </w:r>
      <w:r>
        <w:rPr>
          <w:rFonts w:ascii="Times New Roman" w:hAnsi="Times New Roman"/>
          <w:b/>
          <w:i w:val="0"/>
          <w:sz w:val="23"/>
        </w:rPr>
        <w:t>High-Availability Uptime SLA (99.9%):</w:t>
      </w:r>
      <w:r>
        <w:rPr>
          <w:rFonts w:ascii="Times New Roman" w:hAnsi="Times New Roman"/>
          <w:b w:val="0"/>
          <w:i w:val="0"/>
          <w:sz w:val="23"/>
        </w:rPr>
        <w:t>Production services deployed on containerized PaaS infrastructure must deliver 99.9% continuous uptime, supported by automated liveness probes (`/api/v1/health`) and autonomous container restart policies.</w:t>
      </w:r>
    </w:p>
    <w:p>
      <w:pPr>
        <w:spacing w:before="40" w:after="80" w:line="312" w:lineRule="auto"/>
        <w:ind w:left="576"/>
      </w:pPr>
      <w:r>
        <w:rPr>
          <w:rFonts w:ascii="Times New Roman" w:hAnsi="Times New Roman"/>
          <w:b/>
          <w:sz w:val="22"/>
        </w:rPr>
        <w:t xml:space="preserve">6. </w:t>
      </w:r>
      <w:r>
        <w:rPr>
          <w:rFonts w:ascii="Times New Roman" w:hAnsi="Times New Roman"/>
          <w:b/>
          <w:i w:val="0"/>
          <w:sz w:val="23"/>
        </w:rPr>
        <w:t>NIST SP 800-132 Cryptographic Security Standard:</w:t>
      </w:r>
      <w:r>
        <w:rPr>
          <w:rFonts w:ascii="Times New Roman" w:hAnsi="Times New Roman"/>
          <w:b w:val="0"/>
          <w:i w:val="0"/>
          <w:sz w:val="23"/>
        </w:rPr>
        <w:t>All user credentials must be protected using PBKDF2 with HMAC-SHA256 across 390,000 iterations and 128-bit salts, rendering brute-force dictionary attacks computationally infeasible.</w:t>
      </w:r>
    </w:p>
    <w:p>
      <w:pPr>
        <w:spacing w:before="40" w:after="80" w:line="312" w:lineRule="auto"/>
        <w:ind w:left="576"/>
      </w:pPr>
      <w:r>
        <w:rPr>
          <w:rFonts w:ascii="Times New Roman" w:hAnsi="Times New Roman"/>
          <w:b/>
          <w:sz w:val="22"/>
        </w:rPr>
        <w:t xml:space="preserve">7. </w:t>
      </w:r>
      <w:r>
        <w:rPr>
          <w:rFonts w:ascii="Times New Roman" w:hAnsi="Times New Roman"/>
          <w:b/>
          <w:i w:val="0"/>
          <w:sz w:val="23"/>
        </w:rPr>
        <w:t>Healthcare Privacy Compliance (HIPAA &amp; GDPR Article 9):</w:t>
      </w:r>
      <w:r>
        <w:rPr>
          <w:rFonts w:ascii="Times New Roman" w:hAnsi="Times New Roman"/>
          <w:b w:val="0"/>
          <w:i w:val="0"/>
          <w:sz w:val="23"/>
        </w:rPr>
        <w:t>All photographic media must be stripped of EXIF device markers and geolocation metadata prior to storage. Relational databases must enforce AES-256 encryption at rest and TLS 1.3 encryption in transit.</w:t>
      </w:r>
    </w:p>
    <w:p>
      <w:pPr>
        <w:spacing w:before="40" w:after="80" w:line="312" w:lineRule="auto"/>
        <w:ind w:left="576"/>
      </w:pPr>
      <w:r>
        <w:rPr>
          <w:rFonts w:ascii="Times New Roman" w:hAnsi="Times New Roman"/>
          <w:b/>
          <w:sz w:val="22"/>
        </w:rPr>
        <w:t xml:space="preserve">8. </w:t>
      </w:r>
      <w:r>
        <w:rPr>
          <w:rFonts w:ascii="Times New Roman" w:hAnsi="Times New Roman"/>
          <w:b/>
          <w:i w:val="0"/>
          <w:sz w:val="23"/>
        </w:rPr>
        <w:t>Standardized Healthcare Interoperability:</w:t>
      </w:r>
      <w:r>
        <w:rPr>
          <w:rFonts w:ascii="Times New Roman" w:hAnsi="Times New Roman"/>
          <w:b w:val="0"/>
          <w:i w:val="0"/>
          <w:sz w:val="23"/>
        </w:rPr>
        <w:t>All diagnostic payloads must conform to HL7 FHIR Release 4 standards, ensuring immediate plug-and-play compatibility with hospital information systems (HIS) across India and internationally.</w:t>
      </w:r>
    </w:p>
    <w:p>
      <w:pPr>
        <w:spacing w:before="40" w:after="80" w:line="312" w:lineRule="auto"/>
        <w:ind w:left="576"/>
      </w:pPr>
      <w:r>
        <w:rPr>
          <w:rFonts w:ascii="Times New Roman" w:hAnsi="Times New Roman"/>
          <w:b/>
          <w:sz w:val="22"/>
        </w:rPr>
        <w:t xml:space="preserve">9. </w:t>
      </w:r>
      <w:r>
        <w:rPr>
          <w:rFonts w:ascii="Times New Roman" w:hAnsi="Times New Roman"/>
          <w:b/>
          <w:i w:val="0"/>
          <w:sz w:val="23"/>
        </w:rPr>
        <w:t>Universal Responsive UI Design:</w:t>
      </w:r>
      <w:r>
        <w:rPr>
          <w:rFonts w:ascii="Times New Roman" w:hAnsi="Times New Roman"/>
          <w:b w:val="0"/>
          <w:i w:val="0"/>
          <w:sz w:val="23"/>
        </w:rPr>
        <w:t>The client interface must render seamlessly across screens ranging from 320 px (budget Android smartphones) to 3840 px (high-resolution surgical monitors), featuring high-contrast dark surgical modes for low-light operatory suites.</w:t>
      </w:r>
    </w:p>
    <w:p>
      <w:pPr>
        <w:spacing w:before="40" w:after="80" w:line="312" w:lineRule="auto"/>
        <w:ind w:left="576"/>
      </w:pPr>
      <w:r>
        <w:rPr>
          <w:rFonts w:ascii="Times New Roman" w:hAnsi="Times New Roman"/>
          <w:b/>
          <w:sz w:val="22"/>
        </w:rPr>
        <w:t xml:space="preserve">10. </w:t>
      </w:r>
      <w:r>
        <w:rPr>
          <w:rFonts w:ascii="Times New Roman" w:hAnsi="Times New Roman"/>
          <w:b/>
          <w:i w:val="0"/>
          <w:sz w:val="23"/>
        </w:rPr>
        <w:t>Bandwidth Optimization for Rural Operation:</w:t>
      </w:r>
      <w:r>
        <w:rPr>
          <w:rFonts w:ascii="Times New Roman" w:hAnsi="Times New Roman"/>
          <w:b w:val="0"/>
          <w:i w:val="0"/>
          <w:sz w:val="23"/>
        </w:rPr>
        <w:t>Uploaded images are restricted to 10 MB, with client-side downsampling ensuring reliable transmission over constrained 3G/4G rural cellular connections.</w:t>
      </w:r>
    </w:p>
    <w:p>
      <w:pPr>
        <w:spacing w:before="280" w:after="120" w:line="360" w:lineRule="auto"/>
        <w:jc w:val="left"/>
      </w:pPr>
      <w:r>
        <w:rPr>
          <w:rFonts w:ascii="Times New Roman" w:hAnsi="Times New Roman"/>
          <w:b/>
          <w:i w:val="0"/>
          <w:color w:val="0F234B"/>
          <w:sz w:val="28"/>
        </w:rPr>
        <w:t>Hardware and Software Operational Profiles</w:t>
      </w:r>
    </w:p>
    <w:p>
      <w:pPr>
        <w:spacing w:before="40" w:after="120" w:line="360" w:lineRule="auto"/>
        <w:jc w:val="both"/>
      </w:pPr>
      <w:r>
        <w:rPr>
          <w:rFonts w:ascii="Times New Roman" w:hAnsi="Times New Roman"/>
          <w:b w:val="0"/>
          <w:i w:val="0"/>
          <w:sz w:val="24"/>
        </w:rPr>
        <w:t>Rather than presenting static tables, this section provides detailed qualitative descriptions of the hardware and software engineering environments supporting the system lifecycle.</w:t>
      </w:r>
    </w:p>
    <w:p>
      <w:pPr>
        <w:spacing w:before="200" w:after="80" w:line="360" w:lineRule="auto"/>
        <w:jc w:val="left"/>
      </w:pPr>
      <w:r>
        <w:rPr>
          <w:rFonts w:ascii="Times New Roman" w:hAnsi="Times New Roman"/>
          <w:b/>
          <w:i w:val="0"/>
          <w:color w:val="1E1E1E"/>
          <w:sz w:val="25"/>
        </w:rPr>
        <w:t>Deep Learning Training and Research Environment</w:t>
      </w:r>
    </w:p>
    <w:p>
      <w:pPr>
        <w:spacing w:before="40" w:after="120" w:line="360" w:lineRule="auto"/>
        <w:jc w:val="both"/>
      </w:pPr>
      <w:r>
        <w:rPr>
          <w:rFonts w:ascii="Times New Roman" w:hAnsi="Times New Roman"/>
          <w:b w:val="0"/>
          <w:i w:val="0"/>
          <w:sz w:val="24"/>
        </w:rPr>
        <w:t>Model training and neural architecture search were conducted on high-performance workstation hardware. Compute was driven by an Intel Core i7-13700H processor with 16 physical cores (24 threads) and 32 GB of high-speed DDR5 system memory clocked at 5200 MHz. Neural network tensor acceleration was executed on an NVIDIA GeForce RTX 4070 Laptop GPU equipped with 8 GB of GDDR6 video memory and third-generation Tensor Cores. Storage infrastructure utilized a 1 TB NVMe PCIe 4.0 solid-state drive delivering sequential read/write bandwidths exceeding 5,000 MB/s, guaranteeing zero I/O starvation during multi-worker photographic batch loading.</w:t>
      </w:r>
    </w:p>
    <w:p>
      <w:pPr>
        <w:spacing w:before="200" w:after="80" w:line="360" w:lineRule="auto"/>
        <w:jc w:val="left"/>
      </w:pPr>
      <w:r>
        <w:rPr>
          <w:rFonts w:ascii="Times New Roman" w:hAnsi="Times New Roman"/>
          <w:b/>
          <w:i w:val="0"/>
          <w:color w:val="1E1E1E"/>
          <w:sz w:val="25"/>
        </w:rPr>
        <w:t>Cloud Production Deployment and Edge Serving Environment</w:t>
      </w:r>
    </w:p>
    <w:p>
      <w:pPr>
        <w:spacing w:before="40" w:after="120" w:line="360" w:lineRule="auto"/>
        <w:jc w:val="both"/>
      </w:pPr>
      <w:r>
        <w:rPr>
          <w:rFonts w:ascii="Times New Roman" w:hAnsi="Times New Roman"/>
          <w:b w:val="0"/>
          <w:i w:val="0"/>
          <w:sz w:val="24"/>
        </w:rPr>
        <w:t>In production, the backend is containerized via Docker and deployed on Render.com PaaS infrastructure. The serving environment allocates a quad-core Intel Xeon Scalable vCPU processor operating at 2.0 GHz with 4,096 MB of high-speed ECC registered RAM. Unlike typical heavy deep learning deployments that require costly dedicated cloud GPUs, Visionary Diagnostics executes entirely on CPU compute by leveraging ONNX Runtime INT8 quantization. This architectural optimization reduces operational server costs by over 80% while delivering sub-120ms inference latency.</w:t>
      </w:r>
    </w:p>
    <w:p>
      <w:pPr>
        <w:spacing w:before="200" w:after="80" w:line="360" w:lineRule="auto"/>
        <w:jc w:val="left"/>
      </w:pPr>
      <w:r>
        <w:rPr>
          <w:rFonts w:ascii="Times New Roman" w:hAnsi="Times New Roman"/>
          <w:b/>
          <w:i w:val="0"/>
          <w:color w:val="1E1E1E"/>
          <w:sz w:val="25"/>
        </w:rPr>
        <w:t>Client Web Browser Operating Environment</w:t>
      </w:r>
    </w:p>
    <w:p>
      <w:pPr>
        <w:spacing w:before="40" w:after="120" w:line="360" w:lineRule="auto"/>
        <w:jc w:val="both"/>
      </w:pPr>
      <w:r>
        <w:rPr>
          <w:rFonts w:ascii="Times New Roman" w:hAnsi="Times New Roman"/>
          <w:b w:val="0"/>
          <w:i w:val="0"/>
          <w:sz w:val="24"/>
        </w:rPr>
        <w:t>The client application requires zero installation, executing directly within standard modern web browsers on Android, iOS, Windows, and macOS devices. The minimal client hardware profile requires a dual-core mobile processor with at least 2 GB of available RAM and an integrated camera with a minimum resolution of 8.0 megapixels equipped with an autofocus macro-lens and LED illumination flash. Supported browsers include Chromium 110+, Safari 15+, and Mozilla Firefox 112+ with WebAssembly and HTML5 Canvas support enabled.</w:t>
      </w:r>
    </w:p>
    <w:p>
      <w:pPr>
        <w:spacing w:before="200" w:after="80" w:line="360" w:lineRule="auto"/>
        <w:jc w:val="left"/>
      </w:pPr>
      <w:r>
        <w:rPr>
          <w:rFonts w:ascii="Times New Roman" w:hAnsi="Times New Roman"/>
          <w:b/>
          <w:i w:val="0"/>
          <w:color w:val="1E1E1E"/>
          <w:sz w:val="25"/>
        </w:rPr>
        <w:t>Software Stack and Library Architecture</w:t>
      </w:r>
    </w:p>
    <w:p>
      <w:pPr>
        <w:spacing w:before="40" w:after="120" w:line="360" w:lineRule="auto"/>
        <w:jc w:val="both"/>
      </w:pPr>
      <w:r>
        <w:rPr>
          <w:rFonts w:ascii="Times New Roman" w:hAnsi="Times New Roman"/>
          <w:b w:val="0"/>
          <w:i w:val="0"/>
          <w:sz w:val="24"/>
        </w:rPr>
        <w:t>The software ecosystem is constructed on Python 3.11.9, selected for its enhanced runtime performance and native exception group handling. The web tier is powered by FastAPI 0.110.0 executing on the Uvicorn 0.28.0 ASGI server, providing native asynchronous non-blocking request concurrency. Neural network graphs are authored in PyTorch 2.2.1 and Torchvision 0.17.1, with model optimization executed via ONNX Runtime 1.17.1. Photographic matrix manipulations, discrete Laplacian convolutions, and Reinhard CIELAB color transformations are implemented in OpenCV-Python 4.9.0 and Pillow 10.2.0. The relational persistence layer is managed by SQLAlchemy 2.0.28 ORM connecting to SQLite for local development and PostgreSQL for production cloud hosting. Cryptographic security is governed by PyJWT 2.8.0 and Passlib 1.7.4. The client user interface is authored in React 18.2.0, utilizing Tailwind CSS 3.4.1 for utility-first styling and Framer Motion 11.0.8 for smooth clinical transitions.</w:t>
      </w:r>
    </w:p>
    <w:p>
      <w:pPr>
        <w:spacing w:before="280" w:after="120" w:line="360" w:lineRule="auto"/>
        <w:jc w:val="left"/>
      </w:pPr>
      <w:r>
        <w:rPr>
          <w:rFonts w:ascii="Times New Roman" w:hAnsi="Times New Roman"/>
          <w:b/>
          <w:i w:val="0"/>
          <w:color w:val="0F234B"/>
          <w:sz w:val="28"/>
        </w:rPr>
        <w:t>Conceptual Analysis and Formal UML Modeling</w:t>
      </w:r>
    </w:p>
    <w:p>
      <w:pPr>
        <w:spacing w:before="40" w:after="120" w:line="360" w:lineRule="auto"/>
        <w:jc w:val="both"/>
      </w:pPr>
      <w:r>
        <w:rPr>
          <w:rFonts w:ascii="Times New Roman" w:hAnsi="Times New Roman"/>
          <w:b w:val="0"/>
          <w:i w:val="0"/>
          <w:sz w:val="24"/>
        </w:rPr>
        <w:t>To translate requirements into formal object-oriented structures, this section provides comprehensive UML diagrams detailing functional interactions and workflows.</w:t>
      </w:r>
    </w:p>
    <w:p>
      <w:pPr>
        <w:spacing w:before="200" w:after="80" w:line="360" w:lineRule="auto"/>
        <w:jc w:val="left"/>
      </w:pPr>
      <w:r>
        <w:rPr>
          <w:rFonts w:ascii="Times New Roman" w:hAnsi="Times New Roman"/>
          <w:b/>
          <w:i w:val="0"/>
          <w:color w:val="1E1E1E"/>
          <w:sz w:val="25"/>
        </w:rPr>
        <w:t>UML Use Case Diagram and Actor Analysis</w:t>
      </w:r>
    </w:p>
    <w:p>
      <w:pPr>
        <w:spacing w:before="40" w:after="120" w:line="360" w:lineRule="auto"/>
        <w:jc w:val="both"/>
      </w:pPr>
      <w:r>
        <w:rPr>
          <w:rFonts w:ascii="Times New Roman" w:hAnsi="Times New Roman"/>
          <w:b w:val="0"/>
          <w:i w:val="0"/>
          <w:sz w:val="24"/>
        </w:rPr>
        <w:t>Figure fig:use_case_diagram depicts the comprehensive UML Use Case Diagram for the Visionary Diagnostics platform, illustrating the interaction boundaries between the five primary actor archetypes and the ten core system use cases.</w:t>
      </w:r>
    </w:p>
    <w:p>
      <w:pPr>
        <w:spacing w:before="160" w:after="80"/>
        <w:jc w:val="center"/>
      </w:pPr>
      <w:r>
        <w:drawing>
          <wp:inline xmlns:a="http://schemas.openxmlformats.org/drawingml/2006/main" xmlns:pic="http://schemas.openxmlformats.org/drawingml/2006/picture">
            <wp:extent cx="5120640" cy="2905885"/>
            <wp:docPr id="3" name="Picture 3"/>
            <wp:cNvGraphicFramePr>
              <a:graphicFrameLocks noChangeAspect="1"/>
            </wp:cNvGraphicFramePr>
            <a:graphic>
              <a:graphicData uri="http://schemas.openxmlformats.org/drawingml/2006/picture">
                <pic:pic>
                  <pic:nvPicPr>
                    <pic:cNvPr id="0" name="use_case_diagram.png"/>
                    <pic:cNvPicPr/>
                  </pic:nvPicPr>
                  <pic:blipFill>
                    <a:blip r:embed="rId13"/>
                    <a:stretch>
                      <a:fillRect/>
                    </a:stretch>
                  </pic:blipFill>
                  <pic:spPr>
                    <a:xfrm>
                      <a:off x="0" y="0"/>
                      <a:ext cx="5120640" cy="2905885"/>
                    </a:xfrm>
                    <a:prstGeom prst="rect"/>
                  </pic:spPr>
                </pic:pic>
              </a:graphicData>
            </a:graphic>
          </wp:inline>
        </w:drawing>
      </w:r>
    </w:p>
    <w:p>
      <w:pPr>
        <w:spacing w:before="40" w:after="200" w:line="360" w:lineRule="auto"/>
        <w:jc w:val="center"/>
      </w:pPr>
      <w:r>
        <w:rPr>
          <w:rFonts w:ascii="Times New Roman" w:hAnsi="Times New Roman"/>
          <w:b w:val="0"/>
          <w:i/>
          <w:color w:val="0A2D5A"/>
          <w:sz w:val="21"/>
        </w:rPr>
        <w:t>Figure: UML Use Case Diagram Depicting Actor Roles and Core Diagnostic Boundary Interactions</w:t>
      </w:r>
    </w:p>
    <w:p>
      <w:pPr>
        <w:spacing w:before="200" w:after="80" w:line="360" w:lineRule="auto"/>
        <w:jc w:val="left"/>
      </w:pPr>
      <w:r>
        <w:rPr>
          <w:rFonts w:ascii="Times New Roman" w:hAnsi="Times New Roman"/>
          <w:b/>
          <w:i w:val="0"/>
          <w:color w:val="1E1E1E"/>
          <w:sz w:val="25"/>
        </w:rPr>
        <w:t>Detailed Narrative Specification for Core Diagnostic Use Case (UC-05)</w:t>
      </w:r>
    </w:p>
    <w:p>
      <w:pPr>
        <w:spacing w:before="40" w:after="120" w:line="360" w:lineRule="auto"/>
        <w:jc w:val="both"/>
      </w:pPr>
      <w:r>
        <w:rPr>
          <w:rFonts w:ascii="Times New Roman" w:hAnsi="Times New Roman"/>
          <w:b w:val="0"/>
          <w:i w:val="0"/>
          <w:sz w:val="24"/>
        </w:rPr>
        <w:t>The core operational interaction of the system is</w:t>
      </w:r>
      <w:r>
        <w:rPr>
          <w:rFonts w:ascii="Times New Roman" w:hAnsi="Times New Roman"/>
          <w:b/>
          <w:i w:val="0"/>
          <w:sz w:val="24"/>
        </w:rPr>
        <w:t>UC-05: Execute Quality-Gated Bayesian Multi-Backbone Inference and Risk Fusion</w:t>
      </w:r>
      <w:r>
        <w:rPr>
          <w:rFonts w:ascii="Times New Roman" w:hAnsi="Times New Roman"/>
          <w:b w:val="0"/>
          <w:i w:val="0"/>
          <w:sz w:val="24"/>
        </w:rPr>
        <w:t>:</w:t>
      </w:r>
    </w:p>
    <w:p>
      <w:pPr>
        <w:spacing w:before="40" w:after="80" w:line="312" w:lineRule="auto"/>
        <w:ind w:left="576"/>
      </w:pPr>
      <w:r>
        <w:rPr>
          <w:rFonts w:ascii="Times New Roman" w:hAnsi="Times New Roman"/>
          <w:b/>
          <w:sz w:val="22"/>
        </w:rPr>
        <w:t xml:space="preserve">•   </w:t>
      </w:r>
      <w:r>
        <w:rPr>
          <w:rFonts w:ascii="Times New Roman" w:hAnsi="Times New Roman"/>
          <w:b/>
          <w:i w:val="0"/>
          <w:sz w:val="23"/>
        </w:rPr>
        <w:t>Primary Actors:</w:t>
      </w:r>
      <w:r>
        <w:rPr>
          <w:rFonts w:ascii="Times New Roman" w:hAnsi="Times New Roman"/>
          <w:b w:val="0"/>
          <w:i w:val="0"/>
          <w:sz w:val="23"/>
        </w:rPr>
        <w:t>General Dental Practitioners, ASHA Community Health Workers, Registered Outpatients.</w:t>
      </w:r>
    </w:p>
    <w:p>
      <w:pPr>
        <w:spacing w:before="40" w:after="80" w:line="312" w:lineRule="auto"/>
        <w:ind w:left="576"/>
      </w:pPr>
      <w:r>
        <w:rPr>
          <w:rFonts w:ascii="Times New Roman" w:hAnsi="Times New Roman"/>
          <w:b/>
          <w:sz w:val="22"/>
        </w:rPr>
        <w:t xml:space="preserve">•   </w:t>
      </w:r>
      <w:r>
        <w:rPr>
          <w:rFonts w:ascii="Times New Roman" w:hAnsi="Times New Roman"/>
          <w:b/>
          <w:i w:val="0"/>
          <w:sz w:val="23"/>
        </w:rPr>
        <w:t>Preconditions:</w:t>
      </w:r>
      <w:r>
        <w:rPr>
          <w:rFonts w:ascii="Times New Roman" w:hAnsi="Times New Roman"/>
          <w:b w:val="0"/>
          <w:i w:val="0"/>
          <w:sz w:val="23"/>
        </w:rPr>
        <w:t>The user possesses an active authenticated session validated by a valid JWT bearer token.</w:t>
      </w:r>
    </w:p>
    <w:p>
      <w:pPr>
        <w:spacing w:before="40" w:after="80" w:line="312" w:lineRule="auto"/>
        <w:ind w:left="576"/>
      </w:pPr>
      <w:r>
        <w:rPr>
          <w:rFonts w:ascii="Times New Roman" w:hAnsi="Times New Roman"/>
          <w:b/>
          <w:sz w:val="22"/>
        </w:rPr>
        <w:t xml:space="preserve">•   </w:t>
      </w:r>
      <w:r>
        <w:rPr>
          <w:rFonts w:ascii="Times New Roman" w:hAnsi="Times New Roman"/>
          <w:b/>
          <w:i w:val="0"/>
          <w:sz w:val="23"/>
        </w:rPr>
        <w:t>Normal Event Flow:</w:t>
      </w:r>
    </w:p>
    <w:p>
      <w:pPr>
        <w:spacing w:before="40" w:after="80" w:line="312" w:lineRule="auto"/>
        <w:ind w:left="576"/>
      </w:pPr>
      <w:r>
        <w:rPr>
          <w:rFonts w:ascii="Times New Roman" w:hAnsi="Times New Roman"/>
          <w:b/>
          <w:sz w:val="22"/>
        </w:rPr>
        <w:t xml:space="preserve">•   </w:t>
      </w:r>
      <w:r>
        <w:rPr>
          <w:rFonts w:ascii="Times New Roman" w:hAnsi="Times New Roman"/>
          <w:b w:val="0"/>
          <w:i w:val="0"/>
          <w:sz w:val="23"/>
        </w:rPr>
        <w:t>The client application packages the intraoral photograph and structured clinical survey data into a multipart HTTP POST request dispatched to `/api/v1/predict`.</w:t>
      </w:r>
    </w:p>
    <w:p>
      <w:pPr>
        <w:spacing w:before="40" w:after="80" w:line="312" w:lineRule="auto"/>
        <w:ind w:left="576"/>
      </w:pPr>
      <w:r>
        <w:rPr>
          <w:rFonts w:ascii="Times New Roman" w:hAnsi="Times New Roman"/>
          <w:b/>
          <w:sz w:val="22"/>
        </w:rPr>
        <w:t xml:space="preserve">•   </w:t>
      </w:r>
      <w:r>
        <w:rPr>
          <w:rFonts w:ascii="Times New Roman" w:hAnsi="Times New Roman"/>
          <w:b w:val="0"/>
          <w:i w:val="0"/>
          <w:sz w:val="23"/>
        </w:rPr>
        <w:t>The API gateway validates token authenticity, payload size, and image MIME type.</w:t>
      </w:r>
    </w:p>
    <w:p>
      <w:pPr>
        <w:spacing w:before="40" w:after="80" w:line="312" w:lineRule="auto"/>
        <w:ind w:left="576"/>
      </w:pPr>
      <w:r>
        <w:rPr>
          <w:rFonts w:ascii="Times New Roman" w:hAnsi="Times New Roman"/>
          <w:b/>
          <w:sz w:val="22"/>
        </w:rPr>
        <w:t xml:space="preserve">•   </w:t>
      </w:r>
      <w:r>
        <w:rPr>
          <w:rFonts w:ascii="Times New Roman" w:hAnsi="Times New Roman"/>
          <w:b w:val="0"/>
          <w:i w:val="0"/>
          <w:sz w:val="23"/>
        </w:rPr>
        <w:t>The Laplacian edge sharpness filter computes variance σ^2_{\text{Lap}}, verifying score ≥ 50.0.</w:t>
      </w:r>
    </w:p>
    <w:p>
      <w:pPr>
        <w:spacing w:before="40" w:after="80" w:line="312" w:lineRule="auto"/>
        <w:ind w:left="576"/>
      </w:pPr>
      <w:r>
        <w:rPr>
          <w:rFonts w:ascii="Times New Roman" w:hAnsi="Times New Roman"/>
          <w:b/>
          <w:sz w:val="22"/>
        </w:rPr>
        <w:t xml:space="preserve">•   </w:t>
      </w:r>
      <w:r>
        <w:rPr>
          <w:rFonts w:ascii="Times New Roman" w:hAnsi="Times New Roman"/>
          <w:b w:val="0"/>
          <w:i w:val="0"/>
          <w:sz w:val="23"/>
        </w:rPr>
        <w:t>The Reinhard CIELAB normalization engine standardizes mucosal color moments against target clinical benchmarks.</w:t>
      </w:r>
    </w:p>
    <w:p>
      <w:pPr>
        <w:spacing w:before="40" w:after="80" w:line="312" w:lineRule="auto"/>
        <w:ind w:left="576"/>
      </w:pPr>
      <w:r>
        <w:rPr>
          <w:rFonts w:ascii="Times New Roman" w:hAnsi="Times New Roman"/>
          <w:b/>
          <w:sz w:val="22"/>
        </w:rPr>
        <w:t xml:space="preserve">•   </w:t>
      </w:r>
      <w:r>
        <w:rPr>
          <w:rFonts w:ascii="Times New Roman" w:hAnsi="Times New Roman"/>
          <w:b w:val="0"/>
          <w:i w:val="0"/>
          <w:sz w:val="23"/>
        </w:rPr>
        <w:t>The 8-pass TTA engine generates eight geometric tensor variations in memory.</w:t>
      </w:r>
    </w:p>
    <w:p>
      <w:pPr>
        <w:spacing w:before="40" w:after="80" w:line="312" w:lineRule="auto"/>
        <w:ind w:left="576"/>
      </w:pPr>
      <w:r>
        <w:rPr>
          <w:rFonts w:ascii="Times New Roman" w:hAnsi="Times New Roman"/>
          <w:b/>
          <w:sz w:val="22"/>
        </w:rPr>
        <w:t xml:space="preserve">•   </w:t>
      </w:r>
      <w:r>
        <w:rPr>
          <w:rFonts w:ascii="Times New Roman" w:hAnsi="Times New Roman"/>
          <w:b w:val="0"/>
          <w:i w:val="0"/>
          <w:sz w:val="23"/>
        </w:rPr>
        <w:t>MergedNet propagates all tensors through the 4-backbone ensemble, executing 15 stochastic Monte Carlo Dropout passes with active variational dropout.</w:t>
      </w:r>
    </w:p>
    <w:p>
      <w:pPr>
        <w:spacing w:before="40" w:after="80" w:line="312" w:lineRule="auto"/>
        <w:ind w:left="576"/>
      </w:pPr>
      <w:r>
        <w:rPr>
          <w:rFonts w:ascii="Times New Roman" w:hAnsi="Times New Roman"/>
          <w:b/>
          <w:sz w:val="22"/>
        </w:rPr>
        <w:t xml:space="preserve">•   </w:t>
      </w:r>
      <w:r>
        <w:rPr>
          <w:rFonts w:ascii="Times New Roman" w:hAnsi="Times New Roman"/>
          <w:b w:val="0"/>
          <w:i w:val="0"/>
          <w:sz w:val="23"/>
        </w:rPr>
        <w:t>The Bayesian inference engine evaluates predictive mean probability \hat{μ} and epistemic variance σ^2.</w:t>
      </w:r>
    </w:p>
    <w:p>
      <w:pPr>
        <w:spacing w:before="40" w:after="80" w:line="312" w:lineRule="auto"/>
        <w:ind w:left="576"/>
      </w:pPr>
      <w:r>
        <w:rPr>
          <w:rFonts w:ascii="Times New Roman" w:hAnsi="Times New Roman"/>
          <w:b/>
          <w:sz w:val="22"/>
        </w:rPr>
        <w:t xml:space="preserve">•   </w:t>
      </w:r>
      <w:r>
        <w:rPr>
          <w:rFonts w:ascii="Times New Roman" w:hAnsi="Times New Roman"/>
          <w:b w:val="0"/>
          <w:i w:val="0"/>
          <w:sz w:val="23"/>
        </w:rPr>
        <w:t>The system verifies that variance σ^2 ≤ 0.015, confirming confident diagnostic classification.</w:t>
      </w:r>
    </w:p>
    <w:p>
      <w:pPr>
        <w:spacing w:before="40" w:after="80" w:line="312" w:lineRule="auto"/>
        <w:ind w:left="576"/>
      </w:pPr>
      <w:r>
        <w:rPr>
          <w:rFonts w:ascii="Times New Roman" w:hAnsi="Times New Roman"/>
          <w:b/>
          <w:sz w:val="22"/>
        </w:rPr>
        <w:t xml:space="preserve">•   </w:t>
      </w:r>
      <w:r>
        <w:rPr>
          <w:rFonts w:ascii="Times New Roman" w:hAnsi="Times New Roman"/>
          <w:b w:val="0"/>
          <w:i w:val="0"/>
          <w:sz w:val="23"/>
        </w:rPr>
        <w:t>The multimodal cross-attention network modulates visual logits with patient epidemiological risk factor weights.</w:t>
      </w:r>
    </w:p>
    <w:p>
      <w:pPr>
        <w:spacing w:before="40" w:after="80" w:line="312" w:lineRule="auto"/>
        <w:ind w:left="576"/>
      </w:pPr>
      <w:r>
        <w:rPr>
          <w:rFonts w:ascii="Times New Roman" w:hAnsi="Times New Roman"/>
          <w:b/>
          <w:sz w:val="22"/>
        </w:rPr>
        <w:t xml:space="preserve">•   </w:t>
      </w:r>
      <w:r>
        <w:rPr>
          <w:rFonts w:ascii="Times New Roman" w:hAnsi="Times New Roman"/>
          <w:b w:val="0"/>
          <w:i w:val="0"/>
          <w:sz w:val="23"/>
        </w:rPr>
        <w:t>Grad-CAM++ generates a class-discriminative spatial attention heatmap overlay.</w:t>
      </w:r>
    </w:p>
    <w:p>
      <w:pPr>
        <w:spacing w:before="40" w:after="80" w:line="312" w:lineRule="auto"/>
        <w:ind w:left="576"/>
      </w:pPr>
      <w:r>
        <w:rPr>
          <w:rFonts w:ascii="Times New Roman" w:hAnsi="Times New Roman"/>
          <w:b/>
          <w:sz w:val="22"/>
        </w:rPr>
        <w:t xml:space="preserve">•   </w:t>
      </w:r>
      <w:r>
        <w:rPr>
          <w:rFonts w:ascii="Times New Roman" w:hAnsi="Times New Roman"/>
          <w:b w:val="0"/>
          <w:i w:val="0"/>
          <w:sz w:val="23"/>
        </w:rPr>
        <w:t>The diagnostic verdict, confidence score, risk tier, and heatmap are stored in the database, and an HL7 FHIR R4 bundle is created.</w:t>
      </w:r>
    </w:p>
    <w:p>
      <w:pPr>
        <w:spacing w:before="40" w:after="80" w:line="312" w:lineRule="auto"/>
        <w:ind w:left="576"/>
      </w:pPr>
      <w:r>
        <w:rPr>
          <w:rFonts w:ascii="Times New Roman" w:hAnsi="Times New Roman"/>
          <w:b/>
          <w:sz w:val="22"/>
        </w:rPr>
        <w:t xml:space="preserve">•   </w:t>
      </w:r>
      <w:r>
        <w:rPr>
          <w:rFonts w:ascii="Times New Roman" w:hAnsi="Times New Roman"/>
          <w:b w:val="0"/>
          <w:i w:val="0"/>
          <w:sz w:val="23"/>
        </w:rPr>
        <w:t>Formatted JSON telemetry is returned to the client interface within 150\text{ ms}.</w:t>
      </w:r>
    </w:p>
    <w:p>
      <w:pPr>
        <w:spacing w:before="40" w:after="80" w:line="312" w:lineRule="auto"/>
        <w:ind w:left="576"/>
      </w:pPr>
      <w:r>
        <w:rPr>
          <w:rFonts w:ascii="Times New Roman" w:hAnsi="Times New Roman"/>
          <w:b/>
          <w:sz w:val="22"/>
        </w:rPr>
        <w:t xml:space="preserve">•   </w:t>
      </w:r>
      <w:r>
        <w:rPr>
          <w:rFonts w:ascii="Times New Roman" w:hAnsi="Times New Roman"/>
          <w:b/>
          <w:i w:val="0"/>
          <w:sz w:val="23"/>
        </w:rPr>
        <w:t>Alternative Event Flows:</w:t>
      </w:r>
    </w:p>
    <w:p>
      <w:pPr>
        <w:spacing w:before="40" w:after="80" w:line="312" w:lineRule="auto"/>
        <w:ind w:left="576"/>
      </w:pPr>
      <w:r>
        <w:rPr>
          <w:rFonts w:ascii="Times New Roman" w:hAnsi="Times New Roman"/>
          <w:b/>
          <w:sz w:val="22"/>
        </w:rPr>
        <w:t xml:space="preserve">•   </w:t>
      </w:r>
      <w:r>
        <w:rPr>
          <w:rFonts w:ascii="Times New Roman" w:hAnsi="Times New Roman"/>
          <w:b w:val="0"/>
          <w:i/>
          <w:sz w:val="23"/>
        </w:rPr>
        <w:t>Flow 3a (Blur Rejection):</w:t>
      </w:r>
      <w:r>
        <w:rPr>
          <w:rFonts w:ascii="Times New Roman" w:hAnsi="Times New Roman"/>
          <w:b w:val="0"/>
          <w:i w:val="0"/>
          <w:sz w:val="23"/>
        </w:rPr>
        <w:t>If the Laplacian sharpness score is &lt; 50.0, the pipeline immediately terminates inference, logs a quality failure event, and returns HTTP 422 with guided re-capture instructions.</w:t>
      </w:r>
    </w:p>
    <w:p>
      <w:pPr>
        <w:spacing w:before="40" w:after="80" w:line="312" w:lineRule="auto"/>
        <w:ind w:left="576"/>
      </w:pPr>
      <w:r>
        <w:rPr>
          <w:rFonts w:ascii="Times New Roman" w:hAnsi="Times New Roman"/>
          <w:b/>
          <w:sz w:val="22"/>
        </w:rPr>
        <w:t xml:space="preserve">•   </w:t>
      </w:r>
      <w:r>
        <w:rPr>
          <w:rFonts w:ascii="Times New Roman" w:hAnsi="Times New Roman"/>
          <w:b w:val="0"/>
          <w:i/>
          <w:sz w:val="23"/>
        </w:rPr>
        <w:t>Flow 8a (Uncertainty Escalation):</w:t>
      </w:r>
      <w:r>
        <w:rPr>
          <w:rFonts w:ascii="Times New Roman" w:hAnsi="Times New Roman"/>
          <w:b w:val="0"/>
          <w:i w:val="0"/>
          <w:sz w:val="23"/>
        </w:rPr>
        <w:t>If epistemic variance exceeds 0.015, the model suppresses the automated binary verdict, flags the case as</w:t>
      </w:r>
      <w:r>
        <w:rPr>
          <w:rFonts w:ascii="Times New Roman" w:hAnsi="Times New Roman"/>
          <w:b w:val="0"/>
          <w:i/>
          <w:sz w:val="23"/>
        </w:rPr>
        <w:t>"Uncertain – Refer to Specialist"</w:t>
      </w:r>
      <w:r>
        <w:rPr>
          <w:rFonts w:ascii="Times New Roman" w:hAnsi="Times New Roman"/>
          <w:b w:val="0"/>
          <w:i w:val="0"/>
          <w:sz w:val="23"/>
        </w:rPr>
        <w:t>, generates an urgent oncology referral ticket, and displays an amber cautionary banner.</w:t>
      </w:r>
    </w:p>
    <w:p>
      <w:pPr>
        <w:spacing w:before="40" w:after="120" w:line="360" w:lineRule="auto"/>
        <w:jc w:val="both"/>
      </w:pPr>
    </w:p>
    <w:p>
      <w:pPr>
        <w:spacing w:before="200" w:after="80" w:line="360" w:lineRule="auto"/>
        <w:jc w:val="left"/>
      </w:pPr>
      <w:r>
        <w:rPr>
          <w:rFonts w:ascii="Times New Roman" w:hAnsi="Times New Roman"/>
          <w:b/>
          <w:i w:val="0"/>
          <w:color w:val="1E1E1E"/>
          <w:sz w:val="25"/>
        </w:rPr>
        <w:t>UML Activity Diagram for Clinical Triage Workflow</w:t>
      </w:r>
    </w:p>
    <w:p>
      <w:pPr>
        <w:spacing w:before="40" w:after="120" w:line="360" w:lineRule="auto"/>
        <w:jc w:val="both"/>
      </w:pPr>
      <w:r>
        <w:rPr>
          <w:rFonts w:ascii="Times New Roman" w:hAnsi="Times New Roman"/>
          <w:b w:val="0"/>
          <w:i w:val="0"/>
          <w:sz w:val="24"/>
        </w:rPr>
        <w:t>Figure fig:activity_workflow models the dynamic execution flow of the diagnostic triage pipeline, capturing conditional branching, optical gating, and specialist escalation pathways.</w:t>
      </w:r>
    </w:p>
    <w:p>
      <w:pPr>
        <w:spacing w:before="160" w:after="80"/>
        <w:jc w:val="center"/>
      </w:pPr>
      <w:r>
        <w:drawing>
          <wp:inline xmlns:a="http://schemas.openxmlformats.org/drawingml/2006/main" xmlns:pic="http://schemas.openxmlformats.org/drawingml/2006/picture">
            <wp:extent cx="5120640" cy="4077547"/>
            <wp:docPr id="4" name="Picture 4"/>
            <wp:cNvGraphicFramePr>
              <a:graphicFrameLocks noChangeAspect="1"/>
            </wp:cNvGraphicFramePr>
            <a:graphic>
              <a:graphicData uri="http://schemas.openxmlformats.org/drawingml/2006/picture">
                <pic:pic>
                  <pic:nvPicPr>
                    <pic:cNvPr id="0" name="activity_workflow.png"/>
                    <pic:cNvPicPr/>
                  </pic:nvPicPr>
                  <pic:blipFill>
                    <a:blip r:embed="rId14"/>
                    <a:stretch>
                      <a:fillRect/>
                    </a:stretch>
                  </pic:blipFill>
                  <pic:spPr>
                    <a:xfrm>
                      <a:off x="0" y="0"/>
                      <a:ext cx="5120640" cy="4077547"/>
                    </a:xfrm>
                    <a:prstGeom prst="rect"/>
                  </pic:spPr>
                </pic:pic>
              </a:graphicData>
            </a:graphic>
          </wp:inline>
        </w:drawing>
      </w:r>
    </w:p>
    <w:p>
      <w:pPr>
        <w:spacing w:before="40" w:after="200" w:line="360" w:lineRule="auto"/>
        <w:jc w:val="center"/>
      </w:pPr>
      <w:r>
        <w:rPr>
          <w:rFonts w:ascii="Times New Roman" w:hAnsi="Times New Roman"/>
          <w:b w:val="0"/>
          <w:i/>
          <w:color w:val="0A2D5A"/>
          <w:sz w:val="21"/>
        </w:rPr>
        <w:t>Figure: UML Activity Diagram Illustrating Quality Gating, MC Dropout Inference, and Escalation Decision Logic</w:t>
      </w:r>
    </w:p>
    <w:p>
      <w:pPr>
        <w:spacing w:before="280" w:after="120" w:line="360" w:lineRule="auto"/>
        <w:jc w:val="left"/>
      </w:pPr>
      <w:r>
        <w:rPr>
          <w:rFonts w:ascii="Times New Roman" w:hAnsi="Times New Roman"/>
          <w:b/>
          <w:i w:val="0"/>
          <w:color w:val="0F234B"/>
          <w:sz w:val="28"/>
        </w:rPr>
        <w:t>Clinical Data Governance and Regulatory Compliance</w:t>
      </w:r>
    </w:p>
    <w:p>
      <w:pPr>
        <w:spacing w:before="40" w:after="120" w:line="360" w:lineRule="auto"/>
        <w:jc w:val="both"/>
      </w:pPr>
      <w:r>
        <w:rPr>
          <w:rFonts w:ascii="Times New Roman" w:hAnsi="Times New Roman"/>
          <w:b w:val="0"/>
          <w:i w:val="0"/>
          <w:sz w:val="24"/>
        </w:rPr>
        <w:t>To satisfy stringent medical software standards, Visionary Diagnostics implements a comprehensive clinical data governance framework conforming to three major regulatory pillars:</w:t>
      </w:r>
    </w:p>
    <w:p>
      <w:pPr>
        <w:spacing w:before="40" w:after="80" w:line="312" w:lineRule="auto"/>
        <w:ind w:left="576"/>
      </w:pPr>
      <w:r>
        <w:rPr>
          <w:rFonts w:ascii="Times New Roman" w:hAnsi="Times New Roman"/>
          <w:b/>
          <w:sz w:val="22"/>
        </w:rPr>
        <w:t xml:space="preserve">1. </w:t>
      </w:r>
      <w:r>
        <w:rPr>
          <w:rFonts w:ascii="Times New Roman" w:hAnsi="Times New Roman"/>
          <w:b/>
          <w:i w:val="0"/>
          <w:sz w:val="23"/>
        </w:rPr>
        <w:t>HIPAA Compliance and Protected Health Information (PHI) Sanitization:</w:t>
      </w:r>
      <w:r>
        <w:rPr>
          <w:rFonts w:ascii="Times New Roman" w:hAnsi="Times New Roman"/>
          <w:b w:val="0"/>
          <w:i w:val="0"/>
          <w:sz w:val="23"/>
        </w:rPr>
        <w:t>Under HIPAA Privacy and Security Rules (45 CFR Part 160 and Part 164), all uploaded photographic media undergo automated cryptographic anonymization. Patient names and national identifiers are stripped at ingestion, replaced by synthetic random UUIDs (`pat-xxxxxxxx-xxxx`). EXIF photographic metadata (GPS geolocation coordinates, device serial numbers, capture timestamps) is permanently scrubbed in memory before disk serialization.</w:t>
      </w:r>
    </w:p>
    <w:p>
      <w:pPr>
        <w:spacing w:before="40" w:after="80" w:line="312" w:lineRule="auto"/>
        <w:ind w:left="576"/>
      </w:pPr>
      <w:r>
        <w:rPr>
          <w:rFonts w:ascii="Times New Roman" w:hAnsi="Times New Roman"/>
          <w:b/>
          <w:sz w:val="22"/>
        </w:rPr>
        <w:t xml:space="preserve">2. </w:t>
      </w:r>
      <w:r>
        <w:rPr>
          <w:rFonts w:ascii="Times New Roman" w:hAnsi="Times New Roman"/>
          <w:b/>
          <w:i w:val="0"/>
          <w:sz w:val="23"/>
        </w:rPr>
        <w:t>Indian Digital Personal Data Protection (DPDP) Act 2023 Conformance:</w:t>
      </w:r>
      <w:r>
        <w:rPr>
          <w:rFonts w:ascii="Times New Roman" w:hAnsi="Times New Roman"/>
          <w:b w:val="0"/>
          <w:i w:val="0"/>
          <w:sz w:val="23"/>
        </w:rPr>
        <w:t>All clinical databases enforce encryption at rest utilizing AES-256 and encryption in transit via TLS 1.3 cryptographic suites. Data retention policies allow patients to exercise the "Right to Erasure", permanently purging image tensors and clinical survey responses upon verified request.</w:t>
      </w:r>
    </w:p>
    <w:p>
      <w:pPr>
        <w:spacing w:before="40" w:after="80" w:line="312" w:lineRule="auto"/>
        <w:ind w:left="576"/>
      </w:pPr>
      <w:r>
        <w:rPr>
          <w:rFonts w:ascii="Times New Roman" w:hAnsi="Times New Roman"/>
          <w:b/>
          <w:sz w:val="22"/>
        </w:rPr>
        <w:t xml:space="preserve">3. </w:t>
      </w:r>
      <w:r>
        <w:rPr>
          <w:rFonts w:ascii="Times New Roman" w:hAnsi="Times New Roman"/>
          <w:b/>
          <w:i w:val="0"/>
          <w:sz w:val="23"/>
        </w:rPr>
        <w:t>HL7 FHIR Release 4 Standardization:</w:t>
      </w:r>
      <w:r>
        <w:rPr>
          <w:rFonts w:ascii="Times New Roman" w:hAnsi="Times New Roman"/>
          <w:b w:val="0"/>
          <w:i w:val="0"/>
          <w:sz w:val="23"/>
        </w:rPr>
        <w:t>All structured clinical outputs are serialized into international HL7 FHIR Release 4 JSON bundles conforming to LOINC code `81247-9` (</w:t>
      </w:r>
      <w:r>
        <w:rPr>
          <w:rFonts w:ascii="Times New Roman" w:hAnsi="Times New Roman"/>
          <w:b w:val="0"/>
          <w:i/>
          <w:sz w:val="23"/>
        </w:rPr>
        <w:t>Oral cavity examination</w:t>
      </w:r>
      <w:r>
        <w:rPr>
          <w:rFonts w:ascii="Times New Roman" w:hAnsi="Times New Roman"/>
          <w:b w:val="0"/>
          <w:i w:val="0"/>
          <w:sz w:val="23"/>
        </w:rPr>
        <w:t>) and SNOMED-CT code `35917007` (</w:t>
      </w:r>
      <w:r>
        <w:rPr>
          <w:rFonts w:ascii="Times New Roman" w:hAnsi="Times New Roman"/>
          <w:b w:val="0"/>
          <w:i/>
          <w:sz w:val="23"/>
        </w:rPr>
        <w:t>Squamous cell carcinoma of oral cavity</w:t>
      </w:r>
      <w:r>
        <w:rPr>
          <w:rFonts w:ascii="Times New Roman" w:hAnsi="Times New Roman"/>
          <w:b w:val="0"/>
          <w:i w:val="0"/>
          <w:sz w:val="23"/>
        </w:rPr>
        <w:t>), guaranteeing seamless electronic health record (EHR) interoperability across hospital networks.</w:t>
      </w:r>
    </w:p>
    <w:p>
      <w:r>
        <w:br w:type="page"/>
      </w:r>
    </w:p>
    <w:p>
      <w:pPr>
        <w:spacing w:before="360" w:after="360" w:line="360" w:lineRule="auto"/>
        <w:jc w:val="center"/>
      </w:pPr>
      <w:r>
        <w:rPr>
          <w:rFonts w:ascii="Times New Roman" w:hAnsi="Times New Roman"/>
          <w:b/>
          <w:i w:val="0"/>
          <w:color w:val="0A2D5A"/>
          <w:sz w:val="32"/>
        </w:rPr>
        <w:t>CHAPTER 4</w:t>
        <w:br/>
        <w:t>PROJECT PLANNING</w:t>
      </w:r>
    </w:p>
    <w:p>
      <w:pPr>
        <w:spacing w:before="280" w:after="120" w:line="360" w:lineRule="auto"/>
        <w:jc w:val="left"/>
      </w:pPr>
      <w:r>
        <w:rPr>
          <w:rFonts w:ascii="Times New Roman" w:hAnsi="Times New Roman"/>
          <w:b/>
          <w:i w:val="0"/>
          <w:color w:val="0F234B"/>
          <w:sz w:val="28"/>
        </w:rPr>
        <w:t>Software Engineering Process Model</w:t>
      </w:r>
    </w:p>
    <w:p>
      <w:pPr>
        <w:spacing w:before="40" w:after="120" w:line="360" w:lineRule="auto"/>
        <w:jc w:val="both"/>
      </w:pPr>
      <w:r>
        <w:rPr>
          <w:rFonts w:ascii="Times New Roman" w:hAnsi="Times New Roman"/>
          <w:b w:val="0"/>
          <w:i w:val="0"/>
          <w:sz w:val="24"/>
        </w:rPr>
        <w:t>The engineering lifecycle for</w:t>
      </w:r>
      <w:r>
        <w:rPr>
          <w:rFonts w:ascii="Times New Roman" w:hAnsi="Times New Roman"/>
          <w:b/>
          <w:i w:val="0"/>
          <w:sz w:val="24"/>
        </w:rPr>
        <w:t>Visionary Diagnostics</w:t>
      </w:r>
      <w:r>
        <w:rPr>
          <w:rFonts w:ascii="Times New Roman" w:hAnsi="Times New Roman"/>
          <w:b w:val="0"/>
          <w:i w:val="0"/>
          <w:sz w:val="24"/>
        </w:rPr>
        <w:t>was executed using a specialized, medically-tailored</w:t>
      </w:r>
      <w:r>
        <w:rPr>
          <w:rFonts w:ascii="Times New Roman" w:hAnsi="Times New Roman"/>
          <w:b/>
          <w:i w:val="0"/>
          <w:sz w:val="24"/>
        </w:rPr>
        <w:t>Agile-Scrum Engineering Methodology</w:t>
      </w:r>
      <w:r>
        <w:rPr>
          <w:rFonts w:ascii="Times New Roman" w:hAnsi="Times New Roman"/>
          <w:b w:val="0"/>
          <w:i w:val="0"/>
          <w:sz w:val="24"/>
        </w:rPr>
        <w:t>. Traditional linear Waterfall models are fundamentally ill-suited for deep learning biomedical systems due to the non-linear, experimental nature of neural architecture search, dataset curation, and iterative hyperparameter optimization. Conversely, unconstrained rapid prototyping lacks the formal verification and auditability required by healthcare regulatory bodies.</w:t>
      </w:r>
    </w:p>
    <w:p>
      <w:pPr>
        <w:spacing w:before="40" w:after="120" w:line="360" w:lineRule="auto"/>
        <w:jc w:val="both"/>
      </w:pPr>
      <w:r>
        <w:rPr>
          <w:rFonts w:ascii="Times New Roman" w:hAnsi="Times New Roman"/>
          <w:b w:val="0"/>
          <w:i w:val="0"/>
          <w:sz w:val="24"/>
        </w:rPr>
        <w:t>To harmonize agility with clinical rigor, the project lifecycle was organized into five distinct phases executed across 14 two-week sprint cycles:</w:t>
      </w:r>
    </w:p>
    <w:p>
      <w:pPr>
        <w:spacing w:before="40" w:after="80" w:line="312" w:lineRule="auto"/>
        <w:ind w:left="576"/>
      </w:pPr>
      <w:r>
        <w:rPr>
          <w:rFonts w:ascii="Times New Roman" w:hAnsi="Times New Roman"/>
          <w:b/>
          <w:sz w:val="22"/>
        </w:rPr>
        <w:t xml:space="preserve">1. </w:t>
      </w:r>
      <w:r>
        <w:rPr>
          <w:rFonts w:ascii="Times New Roman" w:hAnsi="Times New Roman"/>
          <w:b/>
          <w:i w:val="0"/>
          <w:sz w:val="23"/>
        </w:rPr>
        <w:t>Sprint Phase 1 (Weeks 1–4) – Clinical Requirements &amp; Ethical Baselines:</w:t>
      </w:r>
      <w:r>
        <w:rPr>
          <w:rFonts w:ascii="Times New Roman" w:hAnsi="Times New Roman"/>
          <w:b w:val="0"/>
          <w:i w:val="0"/>
          <w:sz w:val="23"/>
        </w:rPr>
        <w:t>Formal stakeholder interviews with oral pathologists and community dentists; synthesis of TRIPOD+AI and CLAIM checklists; formulation of SRS and research protocol.</w:t>
      </w:r>
    </w:p>
    <w:p>
      <w:pPr>
        <w:spacing w:before="40" w:after="80" w:line="312" w:lineRule="auto"/>
        <w:ind w:left="576"/>
      </w:pPr>
      <w:r>
        <w:rPr>
          <w:rFonts w:ascii="Times New Roman" w:hAnsi="Times New Roman"/>
          <w:b/>
          <w:sz w:val="22"/>
        </w:rPr>
        <w:t xml:space="preserve">2. </w:t>
      </w:r>
      <w:r>
        <w:rPr>
          <w:rFonts w:ascii="Times New Roman" w:hAnsi="Times New Roman"/>
          <w:b/>
          <w:i w:val="0"/>
          <w:sz w:val="23"/>
        </w:rPr>
        <w:t>Sprint Phase 2 (Weeks 5–9) – Dataset Curation &amp; Pre-processing Engineering:</w:t>
      </w:r>
      <w:r>
        <w:rPr>
          <w:rFonts w:ascii="Times New Roman" w:hAnsi="Times New Roman"/>
          <w:b w:val="0"/>
          <w:i w:val="0"/>
          <w:sz w:val="23"/>
        </w:rPr>
        <w:t>Multi-center image aggregation (N = 1,200); double-blind annotation consensus; implementation of Reinhard CIELAB color normalization and discrete Laplacian blur gating.</w:t>
      </w:r>
    </w:p>
    <w:p>
      <w:pPr>
        <w:spacing w:before="40" w:after="80" w:line="312" w:lineRule="auto"/>
        <w:ind w:left="576"/>
      </w:pPr>
      <w:r>
        <w:rPr>
          <w:rFonts w:ascii="Times New Roman" w:hAnsi="Times New Roman"/>
          <w:b/>
          <w:sz w:val="22"/>
        </w:rPr>
        <w:t xml:space="preserve">3. </w:t>
      </w:r>
      <w:r>
        <w:rPr>
          <w:rFonts w:ascii="Times New Roman" w:hAnsi="Times New Roman"/>
          <w:b/>
          <w:i w:val="0"/>
          <w:sz w:val="23"/>
        </w:rPr>
        <w:t>Sprint Phase 3 (Weeks 10–15) – Deep Learning Ensemble Research &amp; Bayesian Modeling:</w:t>
      </w:r>
      <w:r>
        <w:rPr>
          <w:rFonts w:ascii="Times New Roman" w:hAnsi="Times New Roman"/>
          <w:b w:val="0"/>
          <w:i w:val="0"/>
          <w:sz w:val="23"/>
        </w:rPr>
        <w:t>Transfer learning feature extraction across VGG-16, ResNet-50, EfficientNet-B0, and MobileNetV2; construction of MergedNet; implementation of 15-pass Monte Carlo Dropout and 8-pass Test-Time Augmentation.</w:t>
      </w:r>
    </w:p>
    <w:p>
      <w:pPr>
        <w:spacing w:before="40" w:after="80" w:line="312" w:lineRule="auto"/>
        <w:ind w:left="576"/>
      </w:pPr>
      <w:r>
        <w:rPr>
          <w:rFonts w:ascii="Times New Roman" w:hAnsi="Times New Roman"/>
          <w:b/>
          <w:sz w:val="22"/>
        </w:rPr>
        <w:t xml:space="preserve">4. </w:t>
      </w:r>
      <w:r>
        <w:rPr>
          <w:rFonts w:ascii="Times New Roman" w:hAnsi="Times New Roman"/>
          <w:b/>
          <w:i w:val="0"/>
          <w:sz w:val="23"/>
        </w:rPr>
        <w:t>Sprint Phase 4 (Weeks 16–21) – Full-Stack Hardening &amp; Interoperability:</w:t>
      </w:r>
      <w:r>
        <w:rPr>
          <w:rFonts w:ascii="Times New Roman" w:hAnsi="Times New Roman"/>
          <w:b w:val="0"/>
          <w:i w:val="0"/>
          <w:sz w:val="23"/>
        </w:rPr>
        <w:t>Development of FastAPI asynchronous backend; SQLAlchemy ORM modeling; JWT session management with PBKDF2 hashing; React.js surgical UI with Framer Motion; HL7 FHIR Release 4 JSON exporter.</w:t>
      </w:r>
    </w:p>
    <w:p>
      <w:pPr>
        <w:spacing w:before="40" w:after="80" w:line="312" w:lineRule="auto"/>
        <w:ind w:left="576"/>
      </w:pPr>
      <w:r>
        <w:rPr>
          <w:rFonts w:ascii="Times New Roman" w:hAnsi="Times New Roman"/>
          <w:b/>
          <w:sz w:val="22"/>
        </w:rPr>
        <w:t xml:space="preserve">5. </w:t>
      </w:r>
      <w:r>
        <w:rPr>
          <w:rFonts w:ascii="Times New Roman" w:hAnsi="Times New Roman"/>
          <w:b/>
          <w:i w:val="0"/>
          <w:sz w:val="23"/>
        </w:rPr>
        <w:t>Sprint Phase 5 (Weeks 22–28) – Validation, Concurrency Profiling &amp; Documentation:</w:t>
      </w:r>
      <w:r>
        <w:rPr>
          <w:rFonts w:ascii="Times New Roman" w:hAnsi="Times New Roman"/>
          <w:b w:val="0"/>
          <w:i w:val="0"/>
          <w:sz w:val="23"/>
        </w:rPr>
        <w:t>Locust stress testing; adversarial perturbation benchmarking; multi-center clinical validation; ONNX INT8 quantization profiling; compilation of VTU dissertation and IEEE research manuscript.</w:t>
      </w:r>
    </w:p>
    <w:p>
      <w:pPr>
        <w:spacing w:before="280" w:after="120" w:line="360" w:lineRule="auto"/>
        <w:jc w:val="left"/>
      </w:pPr>
      <w:r>
        <w:rPr>
          <w:rFonts w:ascii="Times New Roman" w:hAnsi="Times New Roman"/>
          <w:b/>
          <w:i w:val="0"/>
          <w:color w:val="0F234B"/>
          <w:sz w:val="28"/>
        </w:rPr>
        <w:t>Work Breakdown Structure (WBS)</w:t>
      </w:r>
    </w:p>
    <w:p>
      <w:pPr>
        <w:spacing w:before="40" w:after="120" w:line="360" w:lineRule="auto"/>
        <w:jc w:val="both"/>
      </w:pPr>
      <w:r>
        <w:rPr>
          <w:rFonts w:ascii="Times New Roman" w:hAnsi="Times New Roman"/>
          <w:b w:val="0"/>
          <w:i w:val="0"/>
          <w:sz w:val="24"/>
        </w:rPr>
        <w:t>The Work Breakdown Structure provides a hierarchical decomposition of the total engineering effort into discrete, measurable work packages:</w:t>
      </w:r>
    </w:p>
    <w:p>
      <w:pPr>
        <w:spacing w:before="40" w:after="80" w:line="312" w:lineRule="auto"/>
        <w:ind w:left="576"/>
      </w:pPr>
      <w:r>
        <w:rPr>
          <w:rFonts w:ascii="Times New Roman" w:hAnsi="Times New Roman"/>
          <w:b/>
          <w:sz w:val="22"/>
        </w:rPr>
        <w:t xml:space="preserve">•   </w:t>
      </w:r>
      <w:r>
        <w:rPr>
          <w:rFonts w:ascii="Times New Roman" w:hAnsi="Times New Roman"/>
          <w:b/>
          <w:i w:val="0"/>
          <w:sz w:val="23"/>
        </w:rPr>
        <w:t>1.0 Clinical Data Engineering</w:t>
      </w:r>
    </w:p>
    <w:p>
      <w:pPr>
        <w:spacing w:before="40" w:after="80" w:line="312" w:lineRule="auto"/>
        <w:ind w:left="576"/>
      </w:pPr>
      <w:r>
        <w:rPr>
          <w:rFonts w:ascii="Times New Roman" w:hAnsi="Times New Roman"/>
          <w:b/>
          <w:sz w:val="22"/>
        </w:rPr>
        <w:t xml:space="preserve">•   </w:t>
      </w:r>
      <w:r>
        <w:rPr>
          <w:rFonts w:ascii="Times New Roman" w:hAnsi="Times New Roman"/>
          <w:b w:val="0"/>
          <w:i w:val="0"/>
          <w:sz w:val="23"/>
        </w:rPr>
        <w:t>1.1 Multi-center cohort aggregation (N = 1,200 oral photographic specimens)</w:t>
      </w:r>
    </w:p>
    <w:p>
      <w:pPr>
        <w:spacing w:before="40" w:after="80" w:line="312" w:lineRule="auto"/>
        <w:ind w:left="576"/>
      </w:pPr>
      <w:r>
        <w:rPr>
          <w:rFonts w:ascii="Times New Roman" w:hAnsi="Times New Roman"/>
          <w:b/>
          <w:sz w:val="22"/>
        </w:rPr>
        <w:t xml:space="preserve">•   </w:t>
      </w:r>
      <w:r>
        <w:rPr>
          <w:rFonts w:ascii="Times New Roman" w:hAnsi="Times New Roman"/>
          <w:b w:val="0"/>
          <w:i w:val="0"/>
          <w:sz w:val="23"/>
        </w:rPr>
        <w:t>1.2 Pathological ground-truth cross-referencing against biopsy histopathology</w:t>
      </w:r>
    </w:p>
    <w:p>
      <w:pPr>
        <w:spacing w:before="40" w:after="80" w:line="312" w:lineRule="auto"/>
        <w:ind w:left="576"/>
      </w:pPr>
      <w:r>
        <w:rPr>
          <w:rFonts w:ascii="Times New Roman" w:hAnsi="Times New Roman"/>
          <w:b/>
          <w:sz w:val="22"/>
        </w:rPr>
        <w:t xml:space="preserve">•   </w:t>
      </w:r>
      <w:r>
        <w:rPr>
          <w:rFonts w:ascii="Times New Roman" w:hAnsi="Times New Roman"/>
          <w:b w:val="0"/>
          <w:i w:val="0"/>
          <w:sz w:val="23"/>
        </w:rPr>
        <w:t>1.3 Photographic de-identification and EXIF metadata stripping (HIPAA compliance)</w:t>
      </w:r>
    </w:p>
    <w:p>
      <w:pPr>
        <w:spacing w:before="40" w:after="80" w:line="312" w:lineRule="auto"/>
        <w:ind w:left="576"/>
      </w:pPr>
      <w:r>
        <w:rPr>
          <w:rFonts w:ascii="Times New Roman" w:hAnsi="Times New Roman"/>
          <w:b/>
          <w:sz w:val="22"/>
        </w:rPr>
        <w:t xml:space="preserve">•   </w:t>
      </w:r>
      <w:r>
        <w:rPr>
          <w:rFonts w:ascii="Times New Roman" w:hAnsi="Times New Roman"/>
          <w:b w:val="0"/>
          <w:i w:val="0"/>
          <w:sz w:val="23"/>
        </w:rPr>
        <w:t>1.4 Reinhard CIELAB optical normalization pipeline implementation</w:t>
      </w:r>
    </w:p>
    <w:p>
      <w:pPr>
        <w:spacing w:before="40" w:after="80" w:line="312" w:lineRule="auto"/>
        <w:ind w:left="576"/>
      </w:pPr>
      <w:r>
        <w:rPr>
          <w:rFonts w:ascii="Times New Roman" w:hAnsi="Times New Roman"/>
          <w:b/>
          <w:sz w:val="22"/>
        </w:rPr>
        <w:t xml:space="preserve">•   </w:t>
      </w:r>
      <w:r>
        <w:rPr>
          <w:rFonts w:ascii="Times New Roman" w:hAnsi="Times New Roman"/>
          <w:b w:val="0"/>
          <w:i w:val="0"/>
          <w:sz w:val="23"/>
        </w:rPr>
        <w:t>1.5 Automated Laplacian-variance sharpness gating filter development</w:t>
      </w:r>
    </w:p>
    <w:p>
      <w:pPr>
        <w:spacing w:before="40" w:after="120" w:line="360" w:lineRule="auto"/>
        <w:jc w:val="both"/>
      </w:pPr>
      <w:r>
        <w:rPr>
          <w:rFonts w:ascii="Times New Roman" w:hAnsi="Times New Roman"/>
          <w:b w:val="0"/>
          <w:i w:val="0"/>
          <w:sz w:val="24"/>
        </w:rPr>
        <w:t>\item</w:t>
      </w:r>
      <w:r>
        <w:rPr>
          <w:rFonts w:ascii="Times New Roman" w:hAnsi="Times New Roman"/>
          <w:b/>
          <w:i w:val="0"/>
          <w:sz w:val="24"/>
        </w:rPr>
        <w:t>2.0 Deep Learning Core Architecture (MergedNet)</w:t>
      </w:r>
    </w:p>
    <w:p>
      <w:pPr>
        <w:spacing w:before="40" w:after="80" w:line="312" w:lineRule="auto"/>
        <w:ind w:left="576"/>
      </w:pPr>
      <w:r>
        <w:rPr>
          <w:rFonts w:ascii="Times New Roman" w:hAnsi="Times New Roman"/>
          <w:b/>
          <w:sz w:val="22"/>
        </w:rPr>
        <w:t xml:space="preserve">•   </w:t>
      </w:r>
      <w:r>
        <w:rPr>
          <w:rFonts w:ascii="Times New Roman" w:hAnsi="Times New Roman"/>
          <w:b w:val="0"/>
          <w:i w:val="0"/>
          <w:sz w:val="23"/>
        </w:rPr>
        <w:t>2.1 Multi-backbone feature extraction (VGG-16, ResNet-50, EfficientNet-B0, MobileNetV2)</w:t>
      </w:r>
    </w:p>
    <w:p>
      <w:pPr>
        <w:spacing w:before="40" w:after="80" w:line="312" w:lineRule="auto"/>
        <w:ind w:left="576"/>
      </w:pPr>
      <w:r>
        <w:rPr>
          <w:rFonts w:ascii="Times New Roman" w:hAnsi="Times New Roman"/>
          <w:b/>
          <w:sz w:val="22"/>
        </w:rPr>
        <w:t xml:space="preserve">•   </w:t>
      </w:r>
      <w:r>
        <w:rPr>
          <w:rFonts w:ascii="Times New Roman" w:hAnsi="Times New Roman"/>
          <w:b w:val="0"/>
          <w:i w:val="0"/>
          <w:sz w:val="23"/>
        </w:rPr>
        <w:t>2.2 Latent representation concatenation (5,120-dimensional embedding space)</w:t>
      </w:r>
    </w:p>
    <w:p>
      <w:pPr>
        <w:spacing w:before="40" w:after="80" w:line="312" w:lineRule="auto"/>
        <w:ind w:left="576"/>
      </w:pPr>
      <w:r>
        <w:rPr>
          <w:rFonts w:ascii="Times New Roman" w:hAnsi="Times New Roman"/>
          <w:b/>
          <w:sz w:val="22"/>
        </w:rPr>
        <w:t xml:space="preserve">•   </w:t>
      </w:r>
      <w:r>
        <w:rPr>
          <w:rFonts w:ascii="Times New Roman" w:hAnsi="Times New Roman"/>
          <w:b w:val="0"/>
          <w:i w:val="0"/>
          <w:sz w:val="23"/>
        </w:rPr>
        <w:t>2.3 Monte Carlo Dropout variational Bayesian inference loop (T = 15 stochastic passes)</w:t>
      </w:r>
    </w:p>
    <w:p>
      <w:pPr>
        <w:spacing w:before="40" w:after="80" w:line="312" w:lineRule="auto"/>
        <w:ind w:left="576"/>
      </w:pPr>
      <w:r>
        <w:rPr>
          <w:rFonts w:ascii="Times New Roman" w:hAnsi="Times New Roman"/>
          <w:b/>
          <w:sz w:val="22"/>
        </w:rPr>
        <w:t xml:space="preserve">•   </w:t>
      </w:r>
      <w:r>
        <w:rPr>
          <w:rFonts w:ascii="Times New Roman" w:hAnsi="Times New Roman"/>
          <w:b w:val="0"/>
          <w:i w:val="0"/>
          <w:sz w:val="23"/>
        </w:rPr>
        <w:t>2.4 8-Pass geometric and photometric Test-Time Augmentation (TTA) engine</w:t>
      </w:r>
    </w:p>
    <w:p>
      <w:pPr>
        <w:spacing w:before="40" w:after="80" w:line="312" w:lineRule="auto"/>
        <w:ind w:left="576"/>
      </w:pPr>
      <w:r>
        <w:rPr>
          <w:rFonts w:ascii="Times New Roman" w:hAnsi="Times New Roman"/>
          <w:b/>
          <w:sz w:val="22"/>
        </w:rPr>
        <w:t xml:space="preserve">•   </w:t>
      </w:r>
      <w:r>
        <w:rPr>
          <w:rFonts w:ascii="Times New Roman" w:hAnsi="Times New Roman"/>
          <w:b w:val="0"/>
          <w:i w:val="0"/>
          <w:sz w:val="23"/>
        </w:rPr>
        <w:t>2.5 Dynamic ONNX INT8 asymmetric quantization and CPU graph optimization</w:t>
      </w:r>
    </w:p>
    <w:p>
      <w:pPr>
        <w:spacing w:before="40" w:after="120" w:line="360" w:lineRule="auto"/>
        <w:jc w:val="both"/>
      </w:pPr>
      <w:r>
        <w:rPr>
          <w:rFonts w:ascii="Times New Roman" w:hAnsi="Times New Roman"/>
          <w:b w:val="0"/>
          <w:i w:val="0"/>
          <w:sz w:val="24"/>
        </w:rPr>
        <w:t>\item</w:t>
      </w:r>
      <w:r>
        <w:rPr>
          <w:rFonts w:ascii="Times New Roman" w:hAnsi="Times New Roman"/>
          <w:b/>
          <w:i w:val="0"/>
          <w:sz w:val="24"/>
        </w:rPr>
        <w:t>3.0 Clinical Risk &amp; Explainable AI (XAI)</w:t>
      </w:r>
    </w:p>
    <w:p>
      <w:pPr>
        <w:spacing w:before="40" w:after="80" w:line="312" w:lineRule="auto"/>
        <w:ind w:left="576"/>
      </w:pPr>
      <w:r>
        <w:rPr>
          <w:rFonts w:ascii="Times New Roman" w:hAnsi="Times New Roman"/>
          <w:b/>
          <w:sz w:val="22"/>
        </w:rPr>
        <w:t xml:space="preserve">•   </w:t>
      </w:r>
      <w:r>
        <w:rPr>
          <w:rFonts w:ascii="Times New Roman" w:hAnsi="Times New Roman"/>
          <w:b w:val="0"/>
          <w:i w:val="0"/>
          <w:sz w:val="23"/>
        </w:rPr>
        <w:t>3.1 Multimodal clinical risk prior weighting Multi-Layer Perceptron (MLP)</w:t>
      </w:r>
    </w:p>
    <w:p>
      <w:pPr>
        <w:spacing w:before="40" w:after="80" w:line="312" w:lineRule="auto"/>
        <w:ind w:left="576"/>
      </w:pPr>
      <w:r>
        <w:rPr>
          <w:rFonts w:ascii="Times New Roman" w:hAnsi="Times New Roman"/>
          <w:b/>
          <w:sz w:val="22"/>
        </w:rPr>
        <w:t xml:space="preserve">•   </w:t>
      </w:r>
      <w:r>
        <w:rPr>
          <w:rFonts w:ascii="Times New Roman" w:hAnsi="Times New Roman"/>
          <w:b w:val="0"/>
          <w:i w:val="0"/>
          <w:sz w:val="23"/>
        </w:rPr>
        <w:t>3.2 Grad-CAM++ feature activation extraction and heatmap rendering</w:t>
      </w:r>
    </w:p>
    <w:p>
      <w:pPr>
        <w:spacing w:before="40" w:after="80" w:line="312" w:lineRule="auto"/>
        <w:ind w:left="576"/>
      </w:pPr>
      <w:r>
        <w:rPr>
          <w:rFonts w:ascii="Times New Roman" w:hAnsi="Times New Roman"/>
          <w:b/>
          <w:sz w:val="22"/>
        </w:rPr>
        <w:t xml:space="preserve">•   </w:t>
      </w:r>
      <w:r>
        <w:rPr>
          <w:rFonts w:ascii="Times New Roman" w:hAnsi="Times New Roman"/>
          <w:b w:val="0"/>
          <w:i w:val="0"/>
          <w:sz w:val="23"/>
        </w:rPr>
        <w:t>3.3 IoU concordance evaluation against oral pathologist bounding annotations</w:t>
      </w:r>
    </w:p>
    <w:p>
      <w:pPr>
        <w:spacing w:before="40" w:after="120" w:line="360" w:lineRule="auto"/>
        <w:jc w:val="both"/>
      </w:pPr>
      <w:r>
        <w:rPr>
          <w:rFonts w:ascii="Times New Roman" w:hAnsi="Times New Roman"/>
          <w:b w:val="0"/>
          <w:i w:val="0"/>
          <w:sz w:val="24"/>
        </w:rPr>
        <w:t>\item</w:t>
      </w:r>
      <w:r>
        <w:rPr>
          <w:rFonts w:ascii="Times New Roman" w:hAnsi="Times New Roman"/>
          <w:b/>
          <w:i w:val="0"/>
          <w:sz w:val="24"/>
        </w:rPr>
        <w:t>4.0 Production Backend &amp; Interoperability Gateway</w:t>
      </w:r>
    </w:p>
    <w:p>
      <w:pPr>
        <w:spacing w:before="40" w:after="80" w:line="312" w:lineRule="auto"/>
        <w:ind w:left="576"/>
      </w:pPr>
      <w:r>
        <w:rPr>
          <w:rFonts w:ascii="Times New Roman" w:hAnsi="Times New Roman"/>
          <w:b/>
          <w:sz w:val="22"/>
        </w:rPr>
        <w:t xml:space="preserve">•   </w:t>
      </w:r>
      <w:r>
        <w:rPr>
          <w:rFonts w:ascii="Times New Roman" w:hAnsi="Times New Roman"/>
          <w:b w:val="0"/>
          <w:i w:val="0"/>
          <w:sz w:val="23"/>
        </w:rPr>
        <w:t>4.1 Asynchronous FastAPI service architecture and Pydantic schema validation</w:t>
      </w:r>
    </w:p>
    <w:p>
      <w:pPr>
        <w:spacing w:before="40" w:after="80" w:line="312" w:lineRule="auto"/>
        <w:ind w:left="576"/>
      </w:pPr>
      <w:r>
        <w:rPr>
          <w:rFonts w:ascii="Times New Roman" w:hAnsi="Times New Roman"/>
          <w:b/>
          <w:sz w:val="22"/>
        </w:rPr>
        <w:t xml:space="preserve">•   </w:t>
      </w:r>
      <w:r>
        <w:rPr>
          <w:rFonts w:ascii="Times New Roman" w:hAnsi="Times New Roman"/>
          <w:b w:val="0"/>
          <w:i w:val="0"/>
          <w:sz w:val="23"/>
        </w:rPr>
        <w:t>4.2 NIST SP 800-132 PBKDF2-SHA256 password security and JWT authentication</w:t>
      </w:r>
    </w:p>
    <w:p>
      <w:pPr>
        <w:spacing w:before="40" w:after="80" w:line="312" w:lineRule="auto"/>
        <w:ind w:left="576"/>
      </w:pPr>
      <w:r>
        <w:rPr>
          <w:rFonts w:ascii="Times New Roman" w:hAnsi="Times New Roman"/>
          <w:b/>
          <w:sz w:val="22"/>
        </w:rPr>
        <w:t xml:space="preserve">•   </w:t>
      </w:r>
      <w:r>
        <w:rPr>
          <w:rFonts w:ascii="Times New Roman" w:hAnsi="Times New Roman"/>
          <w:b w:val="0"/>
          <w:i w:val="0"/>
          <w:sz w:val="23"/>
        </w:rPr>
        <w:t>4.3 SlowAPI rate limiting and CORS/CSP defensive header configuration</w:t>
      </w:r>
    </w:p>
    <w:p>
      <w:pPr>
        <w:spacing w:before="40" w:after="80" w:line="312" w:lineRule="auto"/>
        <w:ind w:left="576"/>
      </w:pPr>
      <w:r>
        <w:rPr>
          <w:rFonts w:ascii="Times New Roman" w:hAnsi="Times New Roman"/>
          <w:b/>
          <w:sz w:val="22"/>
        </w:rPr>
        <w:t xml:space="preserve">•   </w:t>
      </w:r>
      <w:r>
        <w:rPr>
          <w:rFonts w:ascii="Times New Roman" w:hAnsi="Times New Roman"/>
          <w:b w:val="0"/>
          <w:i w:val="0"/>
          <w:sz w:val="23"/>
        </w:rPr>
        <w:t>4.4 HL7 FHIR Release 4 JSON bundle exporter with LOINC and SNOMED-CT ontologies</w:t>
      </w:r>
    </w:p>
    <w:p>
      <w:pPr>
        <w:spacing w:before="40" w:after="120" w:line="360" w:lineRule="auto"/>
        <w:jc w:val="both"/>
      </w:pPr>
      <w:r>
        <w:rPr>
          <w:rFonts w:ascii="Times New Roman" w:hAnsi="Times New Roman"/>
          <w:b w:val="0"/>
          <w:i w:val="0"/>
          <w:sz w:val="24"/>
        </w:rPr>
        <w:t>\item</w:t>
      </w:r>
      <w:r>
        <w:rPr>
          <w:rFonts w:ascii="Times New Roman" w:hAnsi="Times New Roman"/>
          <w:b/>
          <w:i w:val="0"/>
          <w:sz w:val="24"/>
        </w:rPr>
        <w:t>5.0 Client Presentation Layer &amp; Reporting</w:t>
      </w:r>
    </w:p>
    <w:p>
      <w:pPr>
        <w:spacing w:before="40" w:after="80" w:line="312" w:lineRule="auto"/>
        <w:ind w:left="576"/>
      </w:pPr>
      <w:r>
        <w:rPr>
          <w:rFonts w:ascii="Times New Roman" w:hAnsi="Times New Roman"/>
          <w:b/>
          <w:sz w:val="22"/>
        </w:rPr>
        <w:t xml:space="preserve">•   </w:t>
      </w:r>
      <w:r>
        <w:rPr>
          <w:rFonts w:ascii="Times New Roman" w:hAnsi="Times New Roman"/>
          <w:b w:val="0"/>
          <w:i w:val="0"/>
          <w:sz w:val="23"/>
        </w:rPr>
        <w:t>5.1 Responsive React.js SPA with Tailwind CSS and surgical dark-mode styling</w:t>
      </w:r>
    </w:p>
    <w:p>
      <w:pPr>
        <w:spacing w:before="40" w:after="80" w:line="312" w:lineRule="auto"/>
        <w:ind w:left="576"/>
      </w:pPr>
      <w:r>
        <w:rPr>
          <w:rFonts w:ascii="Times New Roman" w:hAnsi="Times New Roman"/>
          <w:b/>
          <w:sz w:val="22"/>
        </w:rPr>
        <w:t xml:space="preserve">•   </w:t>
      </w:r>
      <w:r>
        <w:rPr>
          <w:rFonts w:ascii="Times New Roman" w:hAnsi="Times New Roman"/>
          <w:b w:val="0"/>
          <w:i w:val="0"/>
          <w:sz w:val="23"/>
        </w:rPr>
        <w:t>5.2 Interactive clinical risk assessment questionnaire form</w:t>
      </w:r>
    </w:p>
    <w:p>
      <w:pPr>
        <w:spacing w:before="40" w:after="80" w:line="312" w:lineRule="auto"/>
        <w:ind w:left="576"/>
      </w:pPr>
      <w:r>
        <w:rPr>
          <w:rFonts w:ascii="Times New Roman" w:hAnsi="Times New Roman"/>
          <w:b/>
          <w:sz w:val="22"/>
        </w:rPr>
        <w:t xml:space="preserve">•   </w:t>
      </w:r>
      <w:r>
        <w:rPr>
          <w:rFonts w:ascii="Times New Roman" w:hAnsi="Times New Roman"/>
          <w:b w:val="0"/>
          <w:i w:val="0"/>
          <w:sz w:val="23"/>
        </w:rPr>
        <w:t>5.3 Automated downloadable diagnostic PDF report generator (jsPDF / html2canvas)</w:t>
      </w:r>
    </w:p>
    <w:p>
      <w:pPr>
        <w:spacing w:before="40" w:after="120" w:line="360" w:lineRule="auto"/>
        <w:jc w:val="both"/>
      </w:pPr>
    </w:p>
    <w:p>
      <w:pPr>
        <w:spacing w:before="280" w:after="120" w:line="360" w:lineRule="auto"/>
        <w:jc w:val="left"/>
      </w:pPr>
      <w:r>
        <w:rPr>
          <w:rFonts w:ascii="Times New Roman" w:hAnsi="Times New Roman"/>
          <w:b/>
          <w:i w:val="0"/>
          <w:color w:val="0F234B"/>
          <w:sz w:val="28"/>
        </w:rPr>
        <w:t>Software Project Estimation via COCOMO II</w:t>
      </w:r>
    </w:p>
    <w:p>
      <w:pPr>
        <w:spacing w:before="40" w:after="120" w:line="360" w:lineRule="auto"/>
        <w:jc w:val="both"/>
      </w:pPr>
      <w:r>
        <w:rPr>
          <w:rFonts w:ascii="Times New Roman" w:hAnsi="Times New Roman"/>
          <w:b w:val="0"/>
          <w:i w:val="0"/>
          <w:sz w:val="24"/>
        </w:rPr>
        <w:t>To rigorously quantify development effort, timeline duration, and human staffing requirements, the project was modeled using the</w:t>
      </w:r>
      <w:r>
        <w:rPr>
          <w:rFonts w:ascii="Times New Roman" w:hAnsi="Times New Roman"/>
          <w:b/>
          <w:i w:val="0"/>
          <w:sz w:val="24"/>
        </w:rPr>
        <w:t>Constructive Cost Model II (COCOMO II)</w:t>
      </w:r>
      <w:r>
        <w:rPr>
          <w:rFonts w:ascii="Times New Roman" w:hAnsi="Times New Roman"/>
          <w:b w:val="0"/>
          <w:i w:val="0"/>
          <w:sz w:val="24"/>
        </w:rPr>
        <w:t>Post-Architecture model.</w:t>
      </w:r>
    </w:p>
    <w:p>
      <w:pPr>
        <w:spacing w:before="40" w:after="120" w:line="360" w:lineRule="auto"/>
        <w:jc w:val="both"/>
      </w:pPr>
      <w:r>
        <w:rPr>
          <w:rFonts w:ascii="Times New Roman" w:hAnsi="Times New Roman"/>
          <w:b w:val="0"/>
          <w:i w:val="0"/>
          <w:sz w:val="24"/>
        </w:rPr>
        <w:t>The primary cost equation evaluates Person-Months (PM) based on delivered Source Lines of Code (KSLOC) adjusted by scale factors and effort multipliers:</w:t>
        <w:br/>
        <w:t>\begin{equation}</w:t>
        <w:br/>
        <w:t xml:space="preserve">    PM = A × (\text{Size})^E × \prod_{i=1}^{17} EM_i</w:t>
        <w:br/>
        <w:t>\end{equation}</w:t>
        <w:br/>
        <w:t>where A = 2.94, \text{Size} = 14.8\text{ KSLOC} (incorporating backend Python, frontend React JSX, and infrastructure scripts), and the scaling exponent E is derived from five scale drivers:</w:t>
        <w:br/>
        <w:t>\begin{equation}</w:t>
        <w:br/>
        <w:t xml:space="preserve">    E = B + 0.01 × ∑_{j=1}^{5} SF_j = 0.91 + 0.01 × (3.72 + 2.48 + 3.14 + 1.56 + 2.10) = 1.04</w:t>
        <w:br/>
        <w:t>\end{equation}</w:t>
        <w:br/>
        <w:t>Accounting for effort multipliers (EM) reflecting high reliability constraints (RELY = 1.26 for medical software), high execution time constraints (TIME = 1.11 for sub-120ms latency), and advanced tool use (TOOL = 0.88), the combined effort factor evaluates to \prod EM_i = 1.18.</w:t>
      </w:r>
    </w:p>
    <w:p>
      <w:pPr>
        <w:spacing w:before="40" w:after="120" w:line="360" w:lineRule="auto"/>
        <w:jc w:val="both"/>
      </w:pPr>
      <w:r>
        <w:rPr>
          <w:rFonts w:ascii="Times New Roman" w:hAnsi="Times New Roman"/>
          <w:b w:val="0"/>
          <w:i w:val="0"/>
          <w:sz w:val="24"/>
        </w:rPr>
        <w:t>\begin{equation}</w:t>
        <w:br/>
        <w:t xml:space="preserve">    PM = 2.94 × (14.8)^{1.04} × 1.18 ≈ 57.6\text{ Person-Months (Standard Commercial)}</w:t>
        <w:br/>
        <w:t>\end{equation}</w:t>
      </w:r>
    </w:p>
    <w:p>
      <w:pPr>
        <w:spacing w:before="40" w:after="120" w:line="360" w:lineRule="auto"/>
        <w:jc w:val="both"/>
      </w:pPr>
      <w:r>
        <w:rPr>
          <w:rFonts w:ascii="Times New Roman" w:hAnsi="Times New Roman"/>
          <w:b w:val="0"/>
          <w:i w:val="0"/>
          <w:sz w:val="24"/>
        </w:rPr>
        <w:t>Adjusting for academic intensive co-development with high code re-use and transfer learning libraries, the calibrated engineering effort and staffing projections are detailed in Table tab:cocomo_estimates.</w:t>
      </w:r>
    </w:p>
    <w:p>
      <w:pPr>
        <w:spacing w:before="200" w:after="80" w:line="360" w:lineRule="auto"/>
        <w:jc w:val="center"/>
      </w:pPr>
      <w:r>
        <w:rPr>
          <w:rFonts w:ascii="Times New Roman" w:hAnsi="Times New Roman"/>
          <w:b/>
          <w:i w:val="0"/>
          <w:color w:val="0A2D5A"/>
          <w:sz w:val="22"/>
        </w:rPr>
        <w:t>Table: COCOMO II Project Effort, Duration, and Staffing Projections</w:t>
      </w:r>
    </w:p>
    <w:tbl>
      <w:tblPr>
        <w:tblW w:type="auto" w:w="0"/>
        <w:jc w:val="center"/>
        <w:tblLook w:firstColumn="1" w:firstRow="1" w:lastColumn="0" w:lastRow="0" w:noHBand="0" w:noVBand="1" w:val="04A0"/>
      </w:tblPr>
      <w:tblGrid>
        <w:gridCol w:w="2167"/>
        <w:gridCol w:w="2167"/>
        <w:gridCol w:w="2167"/>
        <w:gridCol w:w="2167"/>
      </w:tblGrid>
      <w:tr>
        <w:tc>
          <w:tcPr>
            <w:tcW w:type="dxa" w:w="2167"/>
            <w:tcMar>
              <w:top w:w="80" w:type="dxa"/>
              <w:bottom w:w="80" w:type="dxa"/>
              <w:left w:w="120" w:type="dxa"/>
              <w:right w:w="120" w:type="dxa"/>
            </w:tcMar>
            <w:tcBorders>
              <w:top w:val="single" w:sz="2" w:space="0" w:color="B0B0B0"/>
              <w:left w:val="single" w:sz="1" w:space="0" w:color="D8D8D8"/>
              <w:bottom w:val="single" w:sz="2" w:space="0" w:color="B0B0B0"/>
              <w:right w:val="single" w:sz="1" w:space="0" w:color="D8D8D8"/>
            </w:tcBorders>
            <w:shd w:fill="EBF0F5"/>
          </w:tcPr>
          <w:p>
            <w:pPr>
              <w:jc w:val="center"/>
            </w:pPr>
            <w:r>
              <w:rPr>
                <w:rFonts w:ascii="Times New Roman" w:hAnsi="Times New Roman"/>
                <w:b/>
                <w:sz w:val="21"/>
              </w:rPr>
              <w:t>\textbf{Subsystem Module}</w:t>
            </w:r>
          </w:p>
        </w:tc>
        <w:tc>
          <w:tcPr>
            <w:tcW w:type="dxa" w:w="2167"/>
            <w:tcMar>
              <w:top w:w="80" w:type="dxa"/>
              <w:bottom w:w="80" w:type="dxa"/>
              <w:left w:w="120" w:type="dxa"/>
              <w:right w:w="120" w:type="dxa"/>
            </w:tcMar>
            <w:tcBorders>
              <w:top w:val="single" w:sz="2" w:space="0" w:color="B0B0B0"/>
              <w:left w:val="single" w:sz="1" w:space="0" w:color="D8D8D8"/>
              <w:bottom w:val="single" w:sz="2" w:space="0" w:color="B0B0B0"/>
              <w:right w:val="single" w:sz="1" w:space="0" w:color="D8D8D8"/>
            </w:tcBorders>
            <w:shd w:fill="EBF0F5"/>
          </w:tcPr>
          <w:p>
            <w:pPr>
              <w:jc w:val="center"/>
            </w:pPr>
            <w:r>
              <w:rPr>
                <w:rFonts w:ascii="Times New Roman" w:hAnsi="Times New Roman"/>
                <w:b/>
                <w:sz w:val="21"/>
              </w:rPr>
              <w:t>\textbf{KSLOC}</w:t>
            </w:r>
          </w:p>
        </w:tc>
        <w:tc>
          <w:tcPr>
            <w:tcW w:type="dxa" w:w="2167"/>
            <w:tcMar>
              <w:top w:w="80" w:type="dxa"/>
              <w:bottom w:w="80" w:type="dxa"/>
              <w:left w:w="120" w:type="dxa"/>
              <w:right w:w="120" w:type="dxa"/>
            </w:tcMar>
            <w:tcBorders>
              <w:top w:val="single" w:sz="2" w:space="0" w:color="B0B0B0"/>
              <w:left w:val="single" w:sz="1" w:space="0" w:color="D8D8D8"/>
              <w:bottom w:val="single" w:sz="2" w:space="0" w:color="B0B0B0"/>
              <w:right w:val="single" w:sz="1" w:space="0" w:color="D8D8D8"/>
            </w:tcBorders>
            <w:shd w:fill="EBF0F5"/>
          </w:tcPr>
          <w:p>
            <w:pPr>
              <w:jc w:val="center"/>
            </w:pPr>
            <w:r>
              <w:rPr>
                <w:rFonts w:ascii="Times New Roman" w:hAnsi="Times New Roman"/>
                <w:b/>
                <w:sz w:val="21"/>
              </w:rPr>
              <w:t>\textbf{Effort (Person-Months)}</w:t>
            </w:r>
          </w:p>
        </w:tc>
        <w:tc>
          <w:tcPr>
            <w:tcW w:type="dxa" w:w="2167"/>
            <w:tcMar>
              <w:top w:w="80" w:type="dxa"/>
              <w:bottom w:w="80" w:type="dxa"/>
              <w:left w:w="120" w:type="dxa"/>
              <w:right w:w="120" w:type="dxa"/>
            </w:tcMar>
            <w:tcBorders>
              <w:top w:val="single" w:sz="2" w:space="0" w:color="B0B0B0"/>
              <w:left w:val="single" w:sz="1" w:space="0" w:color="D8D8D8"/>
              <w:bottom w:val="single" w:sz="2" w:space="0" w:color="B0B0B0"/>
              <w:right w:val="single" w:sz="1" w:space="0" w:color="D8D8D8"/>
            </w:tcBorders>
            <w:shd w:fill="EBF0F5"/>
          </w:tcPr>
          <w:p>
            <w:pPr>
              <w:jc w:val="center"/>
            </w:pPr>
            <w:r>
              <w:rPr>
                <w:rFonts w:ascii="Times New Roman" w:hAnsi="Times New Roman"/>
                <w:b/>
                <w:sz w:val="21"/>
              </w:rPr>
              <w:t>\textbf{Core Engineering Complexity}</w:t>
            </w:r>
          </w:p>
        </w:tc>
      </w:tr>
      <w:tr>
        <w:tc>
          <w:tcPr>
            <w:tcW w:type="dxa" w:w="2167"/>
            <w:tcMar>
              <w:top w:w="80" w:type="dxa"/>
              <w:bottom w:w="80" w:type="dxa"/>
              <w:left w:w="120" w:type="dxa"/>
              <w:right w:w="120" w:type="dxa"/>
            </w:tcMar>
            <w:tcBorders>
              <w:top w:val="single" w:sz="2" w:space="0" w:color="B0B0B0"/>
              <w:left w:val="single" w:sz="1" w:space="0" w:color="D8D8D8"/>
              <w:bottom w:val="single" w:sz="2" w:space="0" w:color="B0B0B0"/>
              <w:right w:val="single" w:sz="1" w:space="0" w:color="D8D8D8"/>
            </w:tcBorders>
          </w:tcPr>
          <w:p>
            <w:pPr>
              <w:jc w:val="left"/>
            </w:pPr>
            <w:r>
              <w:rPr>
                <w:rFonts w:ascii="Times New Roman" w:hAnsi="Times New Roman"/>
                <w:sz w:val="20"/>
              </w:rPr>
              <w:t>Deep Learning Engine</w:t>
            </w:r>
          </w:p>
        </w:tc>
        <w:tc>
          <w:tcPr>
            <w:tcW w:type="dxa" w:w="2167"/>
            <w:tcMar>
              <w:top w:w="80" w:type="dxa"/>
              <w:bottom w:w="80" w:type="dxa"/>
              <w:left w:w="120" w:type="dxa"/>
              <w:right w:w="120" w:type="dxa"/>
            </w:tcMar>
            <w:tcBorders>
              <w:top w:val="single" w:sz="2" w:space="0" w:color="B0B0B0"/>
              <w:left w:val="single" w:sz="1" w:space="0" w:color="D8D8D8"/>
              <w:bottom w:val="single" w:sz="2" w:space="0" w:color="B0B0B0"/>
              <w:right w:val="single" w:sz="1" w:space="0" w:color="D8D8D8"/>
            </w:tcBorders>
          </w:tcPr>
          <w:p>
            <w:pPr>
              <w:jc w:val="left"/>
            </w:pPr>
            <w:r>
              <w:rPr>
                <w:rFonts w:ascii="Times New Roman" w:hAnsi="Times New Roman"/>
                <w:sz w:val="20"/>
              </w:rPr>
              <w:t>4.2 KSLOC</w:t>
            </w:r>
          </w:p>
        </w:tc>
        <w:tc>
          <w:tcPr>
            <w:tcW w:type="dxa" w:w="2167"/>
            <w:tcMar>
              <w:top w:w="80" w:type="dxa"/>
              <w:bottom w:w="80" w:type="dxa"/>
              <w:left w:w="120" w:type="dxa"/>
              <w:right w:w="120" w:type="dxa"/>
            </w:tcMar>
            <w:tcBorders>
              <w:top w:val="single" w:sz="2" w:space="0" w:color="B0B0B0"/>
              <w:left w:val="single" w:sz="1" w:space="0" w:color="D8D8D8"/>
              <w:bottom w:val="single" w:sz="2" w:space="0" w:color="B0B0B0"/>
              <w:right w:val="single" w:sz="1" w:space="0" w:color="D8D8D8"/>
            </w:tcBorders>
          </w:tcPr>
          <w:p>
            <w:pPr>
              <w:jc w:val="left"/>
            </w:pPr>
            <w:r>
              <w:rPr>
                <w:rFonts w:ascii="Times New Roman" w:hAnsi="Times New Roman"/>
                <w:sz w:val="20"/>
              </w:rPr>
              <w:t>4.8 PM</w:t>
            </w:r>
          </w:p>
        </w:tc>
        <w:tc>
          <w:tcPr>
            <w:tcW w:type="dxa" w:w="2167"/>
            <w:tcMar>
              <w:top w:w="80" w:type="dxa"/>
              <w:bottom w:w="80" w:type="dxa"/>
              <w:left w:w="120" w:type="dxa"/>
              <w:right w:w="120" w:type="dxa"/>
            </w:tcMar>
            <w:tcBorders>
              <w:top w:val="single" w:sz="2" w:space="0" w:color="B0B0B0"/>
              <w:left w:val="single" w:sz="1" w:space="0" w:color="D8D8D8"/>
              <w:bottom w:val="single" w:sz="2" w:space="0" w:color="B0B0B0"/>
              <w:right w:val="single" w:sz="1" w:space="0" w:color="D8D8D8"/>
            </w:tcBorders>
          </w:tcPr>
          <w:p>
            <w:pPr>
              <w:jc w:val="left"/>
            </w:pPr>
            <w:r>
              <w:rPr>
                <w:rFonts w:ascii="Times New Roman" w:hAnsi="Times New Roman"/>
                <w:sz w:val="20"/>
              </w:rPr>
              <w:t>Custom ensemble, MC Dropout, ONNX INT8</w:t>
            </w:r>
          </w:p>
        </w:tc>
      </w:tr>
      <w:tr>
        <w:tc>
          <w:tcPr>
            <w:tcW w:type="dxa" w:w="2167"/>
            <w:tcMar>
              <w:top w:w="80" w:type="dxa"/>
              <w:bottom w:w="80" w:type="dxa"/>
              <w:left w:w="120" w:type="dxa"/>
              <w:right w:w="120" w:type="dxa"/>
            </w:tcMar>
            <w:tcBorders>
              <w:top w:val="single" w:sz="2" w:space="0" w:color="B0B0B0"/>
              <w:left w:val="single" w:sz="1" w:space="0" w:color="D8D8D8"/>
              <w:bottom w:val="single" w:sz="2" w:space="0" w:color="B0B0B0"/>
              <w:right w:val="single" w:sz="1" w:space="0" w:color="D8D8D8"/>
            </w:tcBorders>
          </w:tcPr>
          <w:p>
            <w:pPr>
              <w:jc w:val="left"/>
            </w:pPr>
            <w:r>
              <w:rPr>
                <w:rFonts w:ascii="Times New Roman" w:hAnsi="Times New Roman"/>
                <w:sz w:val="20"/>
              </w:rPr>
              <w:t>Backend API</w:t>
            </w:r>
          </w:p>
        </w:tc>
        <w:tc>
          <w:tcPr>
            <w:tcW w:type="dxa" w:w="2167"/>
            <w:tcMar>
              <w:top w:w="80" w:type="dxa"/>
              <w:bottom w:w="80" w:type="dxa"/>
              <w:left w:w="120" w:type="dxa"/>
              <w:right w:w="120" w:type="dxa"/>
            </w:tcMar>
            <w:tcBorders>
              <w:top w:val="single" w:sz="2" w:space="0" w:color="B0B0B0"/>
              <w:left w:val="single" w:sz="1" w:space="0" w:color="D8D8D8"/>
              <w:bottom w:val="single" w:sz="2" w:space="0" w:color="B0B0B0"/>
              <w:right w:val="single" w:sz="1" w:space="0" w:color="D8D8D8"/>
            </w:tcBorders>
          </w:tcPr>
          <w:p>
            <w:pPr>
              <w:jc w:val="left"/>
            </w:pPr>
            <w:r>
              <w:rPr>
                <w:rFonts w:ascii="Times New Roman" w:hAnsi="Times New Roman"/>
                <w:sz w:val="20"/>
              </w:rPr>
              <w:t>3.8 KSLOC</w:t>
            </w:r>
          </w:p>
        </w:tc>
        <w:tc>
          <w:tcPr>
            <w:tcW w:type="dxa" w:w="2167"/>
            <w:tcMar>
              <w:top w:w="80" w:type="dxa"/>
              <w:bottom w:w="80" w:type="dxa"/>
              <w:left w:w="120" w:type="dxa"/>
              <w:right w:w="120" w:type="dxa"/>
            </w:tcMar>
            <w:tcBorders>
              <w:top w:val="single" w:sz="2" w:space="0" w:color="B0B0B0"/>
              <w:left w:val="single" w:sz="1" w:space="0" w:color="D8D8D8"/>
              <w:bottom w:val="single" w:sz="2" w:space="0" w:color="B0B0B0"/>
              <w:right w:val="single" w:sz="1" w:space="0" w:color="D8D8D8"/>
            </w:tcBorders>
          </w:tcPr>
          <w:p>
            <w:pPr>
              <w:jc w:val="left"/>
            </w:pPr>
            <w:r>
              <w:rPr>
                <w:rFonts w:ascii="Times New Roman" w:hAnsi="Times New Roman"/>
                <w:sz w:val="20"/>
              </w:rPr>
              <w:t>3.6 PM</w:t>
            </w:r>
          </w:p>
        </w:tc>
        <w:tc>
          <w:tcPr>
            <w:tcW w:type="dxa" w:w="2167"/>
            <w:tcMar>
              <w:top w:w="80" w:type="dxa"/>
              <w:bottom w:w="80" w:type="dxa"/>
              <w:left w:w="120" w:type="dxa"/>
              <w:right w:w="120" w:type="dxa"/>
            </w:tcMar>
            <w:tcBorders>
              <w:top w:val="single" w:sz="2" w:space="0" w:color="B0B0B0"/>
              <w:left w:val="single" w:sz="1" w:space="0" w:color="D8D8D8"/>
              <w:bottom w:val="single" w:sz="2" w:space="0" w:color="B0B0B0"/>
              <w:right w:val="single" w:sz="1" w:space="0" w:color="D8D8D8"/>
            </w:tcBorders>
          </w:tcPr>
          <w:p>
            <w:pPr>
              <w:jc w:val="left"/>
            </w:pPr>
            <w:r>
              <w:rPr>
                <w:rFonts w:ascii="Times New Roman" w:hAnsi="Times New Roman"/>
                <w:sz w:val="20"/>
              </w:rPr>
              <w:t>FastAPI async, JWT, FHIR R4 exporter</w:t>
            </w:r>
          </w:p>
        </w:tc>
      </w:tr>
      <w:tr>
        <w:tc>
          <w:tcPr>
            <w:tcW w:type="dxa" w:w="2167"/>
            <w:tcMar>
              <w:top w:w="80" w:type="dxa"/>
              <w:bottom w:w="80" w:type="dxa"/>
              <w:left w:w="120" w:type="dxa"/>
              <w:right w:w="120" w:type="dxa"/>
            </w:tcMar>
            <w:tcBorders>
              <w:top w:val="single" w:sz="2" w:space="0" w:color="B0B0B0"/>
              <w:left w:val="single" w:sz="1" w:space="0" w:color="D8D8D8"/>
              <w:bottom w:val="single" w:sz="2" w:space="0" w:color="B0B0B0"/>
              <w:right w:val="single" w:sz="1" w:space="0" w:color="D8D8D8"/>
            </w:tcBorders>
          </w:tcPr>
          <w:p>
            <w:pPr>
              <w:jc w:val="left"/>
            </w:pPr>
            <w:r>
              <w:rPr>
                <w:rFonts w:ascii="Times New Roman" w:hAnsi="Times New Roman"/>
                <w:sz w:val="20"/>
              </w:rPr>
              <w:t>Frontend UI</w:t>
            </w:r>
          </w:p>
        </w:tc>
        <w:tc>
          <w:tcPr>
            <w:tcW w:type="dxa" w:w="2167"/>
            <w:tcMar>
              <w:top w:w="80" w:type="dxa"/>
              <w:bottom w:w="80" w:type="dxa"/>
              <w:left w:w="120" w:type="dxa"/>
              <w:right w:w="120" w:type="dxa"/>
            </w:tcMar>
            <w:tcBorders>
              <w:top w:val="single" w:sz="2" w:space="0" w:color="B0B0B0"/>
              <w:left w:val="single" w:sz="1" w:space="0" w:color="D8D8D8"/>
              <w:bottom w:val="single" w:sz="2" w:space="0" w:color="B0B0B0"/>
              <w:right w:val="single" w:sz="1" w:space="0" w:color="D8D8D8"/>
            </w:tcBorders>
          </w:tcPr>
          <w:p>
            <w:pPr>
              <w:jc w:val="left"/>
            </w:pPr>
            <w:r>
              <w:rPr>
                <w:rFonts w:ascii="Times New Roman" w:hAnsi="Times New Roman"/>
                <w:sz w:val="20"/>
              </w:rPr>
              <w:t>4.6 KSLOC</w:t>
            </w:r>
          </w:p>
        </w:tc>
        <w:tc>
          <w:tcPr>
            <w:tcW w:type="dxa" w:w="2167"/>
            <w:tcMar>
              <w:top w:w="80" w:type="dxa"/>
              <w:bottom w:w="80" w:type="dxa"/>
              <w:left w:w="120" w:type="dxa"/>
              <w:right w:w="120" w:type="dxa"/>
            </w:tcMar>
            <w:tcBorders>
              <w:top w:val="single" w:sz="2" w:space="0" w:color="B0B0B0"/>
              <w:left w:val="single" w:sz="1" w:space="0" w:color="D8D8D8"/>
              <w:bottom w:val="single" w:sz="2" w:space="0" w:color="B0B0B0"/>
              <w:right w:val="single" w:sz="1" w:space="0" w:color="D8D8D8"/>
            </w:tcBorders>
          </w:tcPr>
          <w:p>
            <w:pPr>
              <w:jc w:val="left"/>
            </w:pPr>
            <w:r>
              <w:rPr>
                <w:rFonts w:ascii="Times New Roman" w:hAnsi="Times New Roman"/>
                <w:sz w:val="20"/>
              </w:rPr>
              <w:t>3.9 PM</w:t>
            </w:r>
          </w:p>
        </w:tc>
        <w:tc>
          <w:tcPr>
            <w:tcW w:type="dxa" w:w="2167"/>
            <w:tcMar>
              <w:top w:w="80" w:type="dxa"/>
              <w:bottom w:w="80" w:type="dxa"/>
              <w:left w:w="120" w:type="dxa"/>
              <w:right w:w="120" w:type="dxa"/>
            </w:tcMar>
            <w:tcBorders>
              <w:top w:val="single" w:sz="2" w:space="0" w:color="B0B0B0"/>
              <w:left w:val="single" w:sz="1" w:space="0" w:color="D8D8D8"/>
              <w:bottom w:val="single" w:sz="2" w:space="0" w:color="B0B0B0"/>
              <w:right w:val="single" w:sz="1" w:space="0" w:color="D8D8D8"/>
            </w:tcBorders>
          </w:tcPr>
          <w:p>
            <w:pPr>
              <w:jc w:val="left"/>
            </w:pPr>
            <w:r>
              <w:rPr>
                <w:rFonts w:ascii="Times New Roman" w:hAnsi="Times New Roman"/>
                <w:sz w:val="20"/>
              </w:rPr>
              <w:t>React SPA, Framer Motion, PDF rendering</w:t>
            </w:r>
          </w:p>
        </w:tc>
      </w:tr>
      <w:tr>
        <w:tc>
          <w:tcPr>
            <w:tcW w:type="dxa" w:w="2167"/>
            <w:tcMar>
              <w:top w:w="80" w:type="dxa"/>
              <w:bottom w:w="80" w:type="dxa"/>
              <w:left w:w="120" w:type="dxa"/>
              <w:right w:w="120" w:type="dxa"/>
            </w:tcMar>
            <w:tcBorders>
              <w:top w:val="single" w:sz="2" w:space="0" w:color="B0B0B0"/>
              <w:left w:val="single" w:sz="1" w:space="0" w:color="D8D8D8"/>
              <w:bottom w:val="single" w:sz="2" w:space="0" w:color="B0B0B0"/>
              <w:right w:val="single" w:sz="1" w:space="0" w:color="D8D8D8"/>
            </w:tcBorders>
          </w:tcPr>
          <w:p>
            <w:pPr>
              <w:jc w:val="left"/>
            </w:pPr>
            <w:r>
              <w:rPr>
                <w:rFonts w:ascii="Times New Roman" w:hAnsi="Times New Roman"/>
                <w:sz w:val="20"/>
              </w:rPr>
              <w:t>Testing</w:t>
            </w:r>
          </w:p>
        </w:tc>
        <w:tc>
          <w:tcPr>
            <w:tcW w:type="dxa" w:w="2167"/>
            <w:tcMar>
              <w:top w:w="80" w:type="dxa"/>
              <w:bottom w:w="80" w:type="dxa"/>
              <w:left w:w="120" w:type="dxa"/>
              <w:right w:w="120" w:type="dxa"/>
            </w:tcMar>
            <w:tcBorders>
              <w:top w:val="single" w:sz="2" w:space="0" w:color="B0B0B0"/>
              <w:left w:val="single" w:sz="1" w:space="0" w:color="D8D8D8"/>
              <w:bottom w:val="single" w:sz="2" w:space="0" w:color="B0B0B0"/>
              <w:right w:val="single" w:sz="1" w:space="0" w:color="D8D8D8"/>
            </w:tcBorders>
          </w:tcPr>
          <w:p>
            <w:pPr>
              <w:jc w:val="left"/>
            </w:pPr>
            <w:r>
              <w:rPr>
                <w:rFonts w:ascii="Times New Roman" w:hAnsi="Times New Roman"/>
                <w:sz w:val="20"/>
              </w:rPr>
              <w:t>2.2 KSLOC</w:t>
            </w:r>
          </w:p>
        </w:tc>
        <w:tc>
          <w:tcPr>
            <w:tcW w:type="dxa" w:w="2167"/>
            <w:tcMar>
              <w:top w:w="80" w:type="dxa"/>
              <w:bottom w:w="80" w:type="dxa"/>
              <w:left w:w="120" w:type="dxa"/>
              <w:right w:w="120" w:type="dxa"/>
            </w:tcMar>
            <w:tcBorders>
              <w:top w:val="single" w:sz="2" w:space="0" w:color="B0B0B0"/>
              <w:left w:val="single" w:sz="1" w:space="0" w:color="D8D8D8"/>
              <w:bottom w:val="single" w:sz="2" w:space="0" w:color="B0B0B0"/>
              <w:right w:val="single" w:sz="1" w:space="0" w:color="D8D8D8"/>
            </w:tcBorders>
          </w:tcPr>
          <w:p>
            <w:pPr>
              <w:jc w:val="left"/>
            </w:pPr>
            <w:r>
              <w:rPr>
                <w:rFonts w:ascii="Times New Roman" w:hAnsi="Times New Roman"/>
                <w:sz w:val="20"/>
              </w:rPr>
              <w:t>2.1 PM</w:t>
            </w:r>
          </w:p>
        </w:tc>
        <w:tc>
          <w:tcPr>
            <w:tcW w:type="dxa" w:w="2167"/>
            <w:tcMar>
              <w:top w:w="80" w:type="dxa"/>
              <w:bottom w:w="80" w:type="dxa"/>
              <w:left w:w="120" w:type="dxa"/>
              <w:right w:w="120" w:type="dxa"/>
            </w:tcMar>
            <w:tcBorders>
              <w:top w:val="single" w:sz="2" w:space="0" w:color="B0B0B0"/>
              <w:left w:val="single" w:sz="1" w:space="0" w:color="D8D8D8"/>
              <w:bottom w:val="single" w:sz="2" w:space="0" w:color="B0B0B0"/>
              <w:right w:val="single" w:sz="1" w:space="0" w:color="D8D8D8"/>
            </w:tcBorders>
          </w:tcPr>
          <w:p>
            <w:pPr>
              <w:jc w:val="left"/>
            </w:pPr>
            <w:r>
              <w:rPr>
                <w:rFonts w:ascii="Times New Roman" w:hAnsi="Times New Roman"/>
                <w:sz w:val="20"/>
              </w:rPr>
              <w:t>Pytest unit suites, Locust concurrency load</w:t>
            </w:r>
          </w:p>
        </w:tc>
      </w:tr>
      <w:tr>
        <w:tc>
          <w:tcPr>
            <w:tcW w:type="dxa" w:w="2167"/>
            <w:tcMar>
              <w:top w:w="80" w:type="dxa"/>
              <w:bottom w:w="80" w:type="dxa"/>
              <w:left w:w="120" w:type="dxa"/>
              <w:right w:w="120" w:type="dxa"/>
            </w:tcMar>
            <w:tcBorders>
              <w:top w:val="single" w:sz="2" w:space="0" w:color="B0B0B0"/>
              <w:left w:val="single" w:sz="1" w:space="0" w:color="D8D8D8"/>
              <w:bottom w:val="single" w:sz="2" w:space="0" w:color="B0B0B0"/>
              <w:right w:val="single" w:sz="1" w:space="0" w:color="D8D8D8"/>
            </w:tcBorders>
          </w:tcPr>
          <w:p>
            <w:pPr>
              <w:jc w:val="left"/>
            </w:pPr>
            <w:r>
              <w:rPr>
                <w:rFonts w:ascii="Times New Roman" w:hAnsi="Times New Roman"/>
                <w:sz w:val="20"/>
              </w:rPr>
              <w:t>\textbf{Total System}</w:t>
            </w:r>
          </w:p>
        </w:tc>
        <w:tc>
          <w:tcPr>
            <w:tcW w:type="dxa" w:w="2167"/>
            <w:tcMar>
              <w:top w:w="80" w:type="dxa"/>
              <w:bottom w:w="80" w:type="dxa"/>
              <w:left w:w="120" w:type="dxa"/>
              <w:right w:w="120" w:type="dxa"/>
            </w:tcMar>
            <w:tcBorders>
              <w:top w:val="single" w:sz="2" w:space="0" w:color="B0B0B0"/>
              <w:left w:val="single" w:sz="1" w:space="0" w:color="D8D8D8"/>
              <w:bottom w:val="single" w:sz="2" w:space="0" w:color="B0B0B0"/>
              <w:right w:val="single" w:sz="1" w:space="0" w:color="D8D8D8"/>
            </w:tcBorders>
          </w:tcPr>
          <w:p>
            <w:pPr>
              <w:jc w:val="left"/>
            </w:pPr>
            <w:r>
              <w:rPr>
                <w:rFonts w:ascii="Times New Roman" w:hAnsi="Times New Roman"/>
                <w:sz w:val="20"/>
              </w:rPr>
              <w:t>\textbf{14.8 KSLOC}</w:t>
            </w:r>
          </w:p>
        </w:tc>
        <w:tc>
          <w:tcPr>
            <w:tcW w:type="dxa" w:w="2167"/>
            <w:tcMar>
              <w:top w:w="80" w:type="dxa"/>
              <w:bottom w:w="80" w:type="dxa"/>
              <w:left w:w="120" w:type="dxa"/>
              <w:right w:w="120" w:type="dxa"/>
            </w:tcMar>
            <w:tcBorders>
              <w:top w:val="single" w:sz="2" w:space="0" w:color="B0B0B0"/>
              <w:left w:val="single" w:sz="1" w:space="0" w:color="D8D8D8"/>
              <w:bottom w:val="single" w:sz="2" w:space="0" w:color="B0B0B0"/>
              <w:right w:val="single" w:sz="1" w:space="0" w:color="D8D8D8"/>
            </w:tcBorders>
          </w:tcPr>
          <w:p>
            <w:pPr>
              <w:jc w:val="left"/>
            </w:pPr>
            <w:r>
              <w:rPr>
                <w:rFonts w:ascii="Times New Roman" w:hAnsi="Times New Roman"/>
                <w:sz w:val="20"/>
              </w:rPr>
              <w:t>\textbf{14.4 PM (Academic)}</w:t>
            </w:r>
          </w:p>
        </w:tc>
        <w:tc>
          <w:tcPr>
            <w:tcW w:type="dxa" w:w="2167"/>
            <w:tcMar>
              <w:top w:w="80" w:type="dxa"/>
              <w:bottom w:w="80" w:type="dxa"/>
              <w:left w:w="120" w:type="dxa"/>
              <w:right w:w="120" w:type="dxa"/>
            </w:tcMar>
            <w:tcBorders>
              <w:top w:val="single" w:sz="2" w:space="0" w:color="B0B0B0"/>
              <w:left w:val="single" w:sz="1" w:space="0" w:color="D8D8D8"/>
              <w:bottom w:val="single" w:sz="2" w:space="0" w:color="B0B0B0"/>
              <w:right w:val="single" w:sz="1" w:space="0" w:color="D8D8D8"/>
            </w:tcBorders>
          </w:tcPr>
          <w:p>
            <w:pPr>
              <w:jc w:val="left"/>
            </w:pPr>
            <w:r>
              <w:rPr>
                <w:rFonts w:ascii="Times New Roman" w:hAnsi="Times New Roman"/>
                <w:sz w:val="20"/>
              </w:rPr>
              <w:t>\textbf{Team of 3 Engineers over 28 Weeks}</w:t>
            </w:r>
          </w:p>
        </w:tc>
      </w:tr>
    </w:tbl>
    <w:p>
      <w:pPr>
        <w:spacing w:before="80" w:after="160" w:line="360" w:lineRule="auto"/>
        <w:jc w:val="both"/>
      </w:pPr>
    </w:p>
    <w:p>
      <w:pPr>
        <w:spacing w:before="280" w:after="120" w:line="360" w:lineRule="auto"/>
        <w:jc w:val="left"/>
      </w:pPr>
      <w:r>
        <w:rPr>
          <w:rFonts w:ascii="Times New Roman" w:hAnsi="Times New Roman"/>
          <w:b/>
          <w:i w:val="0"/>
          <w:color w:val="0F234B"/>
          <w:sz w:val="28"/>
        </w:rPr>
        <w:t>Project Timeline and Milestone Schedule</w:t>
      </w:r>
    </w:p>
    <w:p>
      <w:pPr>
        <w:spacing w:before="40" w:after="120" w:line="360" w:lineRule="auto"/>
        <w:jc w:val="both"/>
      </w:pPr>
      <w:r>
        <w:rPr>
          <w:rFonts w:ascii="Times New Roman" w:hAnsi="Times New Roman"/>
          <w:b w:val="0"/>
          <w:i w:val="0"/>
          <w:sz w:val="24"/>
        </w:rPr>
        <w:t>Figure fig:gantt_schedule presents the comprehensive project timeline and milestone schedule executed across the 28-week academic cycle, highlighting major deliverable checkpoints.</w:t>
      </w:r>
    </w:p>
    <w:p>
      <w:pPr>
        <w:spacing w:before="160" w:after="80"/>
        <w:jc w:val="center"/>
      </w:pPr>
      <w:r>
        <w:drawing>
          <wp:inline xmlns:a="http://schemas.openxmlformats.org/drawingml/2006/main" xmlns:pic="http://schemas.openxmlformats.org/drawingml/2006/picture">
            <wp:extent cx="5120640" cy="2312501"/>
            <wp:docPr id="5" name="Picture 5"/>
            <wp:cNvGraphicFramePr>
              <a:graphicFrameLocks noChangeAspect="1"/>
            </wp:cNvGraphicFramePr>
            <a:graphic>
              <a:graphicData uri="http://schemas.openxmlformats.org/drawingml/2006/picture">
                <pic:pic>
                  <pic:nvPicPr>
                    <pic:cNvPr id="0" name="gantt_schedule.png"/>
                    <pic:cNvPicPr/>
                  </pic:nvPicPr>
                  <pic:blipFill>
                    <a:blip r:embed="rId15"/>
                    <a:stretch>
                      <a:fillRect/>
                    </a:stretch>
                  </pic:blipFill>
                  <pic:spPr>
                    <a:xfrm>
                      <a:off x="0" y="0"/>
                      <a:ext cx="5120640" cy="2312501"/>
                    </a:xfrm>
                    <a:prstGeom prst="rect"/>
                  </pic:spPr>
                </pic:pic>
              </a:graphicData>
            </a:graphic>
          </wp:inline>
        </w:drawing>
      </w:r>
    </w:p>
    <w:p>
      <w:pPr>
        <w:spacing w:before="40" w:after="200" w:line="360" w:lineRule="auto"/>
        <w:jc w:val="center"/>
      </w:pPr>
      <w:r>
        <w:rPr>
          <w:rFonts w:ascii="Times New Roman" w:hAnsi="Times New Roman"/>
          <w:b w:val="0"/>
          <w:i/>
          <w:color w:val="0A2D5A"/>
          <w:sz w:val="21"/>
        </w:rPr>
        <w:t>Figure: Project Milestone Schedule and Critical Path Gantt Chart (Weeks 1 through 28)</w:t>
      </w:r>
    </w:p>
    <w:p>
      <w:pPr>
        <w:spacing w:before="40" w:after="120" w:line="360" w:lineRule="auto"/>
        <w:jc w:val="both"/>
      </w:pPr>
      <w:r>
        <w:rPr>
          <w:rFonts w:ascii="Times New Roman" w:hAnsi="Times New Roman"/>
          <w:b w:val="0"/>
          <w:i w:val="0"/>
          <w:sz w:val="24"/>
        </w:rPr>
        <w:t>The project adhered strictly to the critical path mapped in the schedule. Work on data engineering and baseline model exploration commenced concurrently during Sprint Phase 1, converging at Milestone M3 (Week 15) with the finalized MergedNet ensemble weights. Subsequent full-stack integration and stress testing proceeded without deviation, concluding with formal institutional review and dissertation sign-off at Week 28.</w:t>
      </w:r>
    </w:p>
    <w:p>
      <w:pPr>
        <w:spacing w:before="280" w:after="120" w:line="360" w:lineRule="auto"/>
        <w:jc w:val="left"/>
      </w:pPr>
      <w:r>
        <w:rPr>
          <w:rFonts w:ascii="Times New Roman" w:hAnsi="Times New Roman"/>
          <w:b/>
          <w:i w:val="0"/>
          <w:color w:val="0F234B"/>
          <w:sz w:val="28"/>
        </w:rPr>
        <w:t>Comprehensive Risk Assessment and Failure Mode Analysis (FMEA)</w:t>
      </w:r>
    </w:p>
    <w:p>
      <w:pPr>
        <w:spacing w:before="40" w:after="120" w:line="360" w:lineRule="auto"/>
        <w:jc w:val="both"/>
      </w:pPr>
      <w:r>
        <w:rPr>
          <w:rFonts w:ascii="Times New Roman" w:hAnsi="Times New Roman"/>
          <w:b w:val="0"/>
          <w:i w:val="0"/>
          <w:sz w:val="24"/>
        </w:rPr>
        <w:t>Engineering safety-critical medical decision support systems necessitates proactive risk management. Rather than relying on static, generic checklists, the project instituted a rigorous</w:t>
      </w:r>
      <w:r>
        <w:rPr>
          <w:rFonts w:ascii="Times New Roman" w:hAnsi="Times New Roman"/>
          <w:b/>
          <w:i w:val="0"/>
          <w:sz w:val="24"/>
        </w:rPr>
        <w:t>Failure Mode and Effects Analysis (FMEA)</w:t>
      </w:r>
      <w:r>
        <w:rPr>
          <w:rFonts w:ascii="Times New Roman" w:hAnsi="Times New Roman"/>
          <w:b w:val="0"/>
          <w:i w:val="0"/>
          <w:sz w:val="24"/>
        </w:rPr>
        <w:t>framework that systematically tracks failure modes, assesses operational severity, and embeds automated defensive safeguards directly into software architecture.</w:t>
      </w:r>
    </w:p>
    <w:p>
      <w:pPr>
        <w:spacing w:before="40" w:after="120" w:line="360" w:lineRule="auto"/>
        <w:jc w:val="both"/>
      </w:pPr>
      <w:r>
        <w:rPr>
          <w:rFonts w:ascii="Times New Roman" w:hAnsi="Times New Roman"/>
          <w:b w:val="0"/>
          <w:i w:val="0"/>
          <w:sz w:val="24"/>
        </w:rPr>
        <w:t>Figure fig:risk_matrix maps the 5× 5 probability-severity risk matrix governing project execution, charting the transition of initial risk baselines into mitigated residual states through defensive software engineering.</w:t>
      </w:r>
    </w:p>
    <w:p>
      <w:pPr>
        <w:spacing w:before="160" w:after="80"/>
        <w:jc w:val="center"/>
      </w:pPr>
      <w:r>
        <w:drawing>
          <wp:inline xmlns:a="http://schemas.openxmlformats.org/drawingml/2006/main" xmlns:pic="http://schemas.openxmlformats.org/drawingml/2006/picture">
            <wp:extent cx="5120640" cy="3900956"/>
            <wp:docPr id="6" name="Picture 6"/>
            <wp:cNvGraphicFramePr>
              <a:graphicFrameLocks noChangeAspect="1"/>
            </wp:cNvGraphicFramePr>
            <a:graphic>
              <a:graphicData uri="http://schemas.openxmlformats.org/drawingml/2006/picture">
                <pic:pic>
                  <pic:nvPicPr>
                    <pic:cNvPr id="0" name="risk_matrix_heatmap.png"/>
                    <pic:cNvPicPr/>
                  </pic:nvPicPr>
                  <pic:blipFill>
                    <a:blip r:embed="rId16"/>
                    <a:stretch>
                      <a:fillRect/>
                    </a:stretch>
                  </pic:blipFill>
                  <pic:spPr>
                    <a:xfrm>
                      <a:off x="0" y="0"/>
                      <a:ext cx="5120640" cy="3900956"/>
                    </a:xfrm>
                    <a:prstGeom prst="rect"/>
                  </pic:spPr>
                </pic:pic>
              </a:graphicData>
            </a:graphic>
          </wp:inline>
        </w:drawing>
      </w:r>
    </w:p>
    <w:p>
      <w:pPr>
        <w:spacing w:before="40" w:after="200" w:line="360" w:lineRule="auto"/>
        <w:jc w:val="center"/>
      </w:pPr>
      <w:r>
        <w:rPr>
          <w:rFonts w:ascii="Times New Roman" w:hAnsi="Times New Roman"/>
          <w:b w:val="0"/>
          <w:i/>
          <w:color w:val="0A2D5A"/>
          <w:sz w:val="21"/>
        </w:rPr>
        <w:t>Figure: 5× 5 Project Risk Assessment and Mitigation Heatmap</w:t>
      </w:r>
    </w:p>
    <w:p>
      <w:pPr>
        <w:spacing w:before="40" w:after="120" w:line="360" w:lineRule="auto"/>
        <w:jc w:val="both"/>
      </w:pPr>
      <w:r>
        <w:rPr>
          <w:rFonts w:ascii="Times New Roman" w:hAnsi="Times New Roman"/>
          <w:b w:val="0"/>
          <w:i w:val="0"/>
          <w:sz w:val="24"/>
        </w:rPr>
        <w:t>The qualitative analysis of the six primary failure modes, their clinical manifestations, and programmatic engineering remediations are detailed below:</w:t>
      </w:r>
    </w:p>
    <w:p>
      <w:pPr>
        <w:spacing w:before="40" w:after="80" w:line="312" w:lineRule="auto"/>
        <w:ind w:left="576"/>
      </w:pPr>
      <w:r>
        <w:rPr>
          <w:rFonts w:ascii="Times New Roman" w:hAnsi="Times New Roman"/>
          <w:b/>
          <w:sz w:val="22"/>
        </w:rPr>
        <w:t xml:space="preserve">1. </w:t>
      </w:r>
      <w:r>
        <w:rPr>
          <w:rFonts w:ascii="Times New Roman" w:hAnsi="Times New Roman"/>
          <w:b/>
          <w:i w:val="0"/>
          <w:sz w:val="23"/>
        </w:rPr>
        <w:t>Clinical False-Negative Classification Miss (Initial Severity: Critical, Probability: Low)</w:t>
      </w:r>
      <w:r>
        <w:rPr>
          <w:rFonts w:ascii="Times New Roman" w:hAnsi="Times New Roman"/>
          <w:b w:val="0"/>
          <w:i w:val="0"/>
          <w:sz w:val="23"/>
        </w:rPr>
        <w:t>\\</w:t>
      </w:r>
      <w:r>
        <w:rPr>
          <w:rFonts w:ascii="Times New Roman" w:hAnsi="Times New Roman"/>
          <w:b w:val="0"/>
          <w:i/>
          <w:sz w:val="23"/>
        </w:rPr>
        <w:t>Failure Etiology:</w:t>
      </w:r>
      <w:r>
        <w:rPr>
          <w:rFonts w:ascii="Times New Roman" w:hAnsi="Times New Roman"/>
          <w:b w:val="0"/>
          <w:i w:val="0"/>
          <w:sz w:val="23"/>
        </w:rPr>
        <w:t>An early dysplastic neoplastic lesion is erroneously categorized as benign intact mucosa, leading to diagnostic reassurance, delayed biopsy intervention, and disease progression to advanced, unresectable stages. \\</w:t>
      </w:r>
      <w:r>
        <w:rPr>
          <w:rFonts w:ascii="Times New Roman" w:hAnsi="Times New Roman"/>
          <w:b w:val="0"/>
          <w:i/>
          <w:sz w:val="23"/>
        </w:rPr>
        <w:t>Architectural Safeguards:</w:t>
      </w:r>
      <w:r>
        <w:rPr>
          <w:rFonts w:ascii="Times New Roman" w:hAnsi="Times New Roman"/>
          <w:b w:val="0"/>
          <w:i w:val="0"/>
          <w:sz w:val="23"/>
        </w:rPr>
        <w:t>To eliminate uncalibrated point-estimate errors, the inference pipeline integrates a 15-pass Monte Carlo Dropout epistemic variance monitor. In any screening instance where predictive variance exceeds σ^2 &gt; 0.015 (indicating high model hesitation) or where the multimodal clinical risk prior exceeds 60%, the system programmatically suppresses the binary classification and diverts the case into an active safety state: "Uncertain – Urgent Specialist Biopsy Mandatory".</w:t>
      </w:r>
    </w:p>
    <w:p>
      <w:pPr>
        <w:spacing w:before="40" w:after="80" w:line="312" w:lineRule="auto"/>
        <w:ind w:left="576"/>
      </w:pPr>
      <w:r>
        <w:rPr>
          <w:rFonts w:ascii="Times New Roman" w:hAnsi="Times New Roman"/>
          <w:b/>
          <w:sz w:val="22"/>
        </w:rPr>
        <w:t xml:space="preserve">2. </w:t>
      </w:r>
      <w:r>
        <w:rPr>
          <w:rFonts w:ascii="Times New Roman" w:hAnsi="Times New Roman"/>
          <w:b/>
          <w:i w:val="0"/>
          <w:sz w:val="23"/>
        </w:rPr>
        <w:t>Substandard or Out-of-Focus Intraoral Uploads (Initial Severity: Moderate, Probability: High)</w:t>
      </w:r>
      <w:r>
        <w:rPr>
          <w:rFonts w:ascii="Times New Roman" w:hAnsi="Times New Roman"/>
          <w:b w:val="0"/>
          <w:i w:val="0"/>
          <w:sz w:val="23"/>
        </w:rPr>
        <w:t>\\</w:t>
      </w:r>
      <w:r>
        <w:rPr>
          <w:rFonts w:ascii="Times New Roman" w:hAnsi="Times New Roman"/>
          <w:b w:val="0"/>
          <w:i/>
          <w:sz w:val="23"/>
        </w:rPr>
        <w:t>Failure Etiology:</w:t>
      </w:r>
      <w:r>
        <w:rPr>
          <w:rFonts w:ascii="Times New Roman" w:hAnsi="Times New Roman"/>
          <w:b w:val="0"/>
          <w:i w:val="0"/>
          <w:sz w:val="23"/>
        </w:rPr>
        <w:t>Mobile photographs captured under sub-optimal ambient illumination, improper focal distance, or dynamic motion jitter introduce high-frequency blur artifacts that distort mucosal textures, generating misleading convolutional feature activations. \\</w:t>
      </w:r>
      <w:r>
        <w:rPr>
          <w:rFonts w:ascii="Times New Roman" w:hAnsi="Times New Roman"/>
          <w:b w:val="0"/>
          <w:i/>
          <w:sz w:val="23"/>
        </w:rPr>
        <w:t>Architectural Safeguards:</w:t>
      </w:r>
      <w:r>
        <w:rPr>
          <w:rFonts w:ascii="Times New Roman" w:hAnsi="Times New Roman"/>
          <w:b w:val="0"/>
          <w:i w:val="0"/>
          <w:sz w:val="23"/>
        </w:rPr>
        <w:t>A deterministic pre-flight image quality gate computes the discrete second-order Laplacian variance across the normalized grayscale luminance plane prior to deep learning ingestion. Images registering σ^2_{\text{Lap}} &lt; 50.0 are halted at the API gateway with an immediate HTTP 422 Unprocessable Entity error accompanied by actionable visual framing guidance, preventing corrupt tensors from entering the neural network.</w:t>
      </w:r>
    </w:p>
    <w:p>
      <w:pPr>
        <w:spacing w:before="40" w:after="80" w:line="312" w:lineRule="auto"/>
        <w:ind w:left="576"/>
      </w:pPr>
      <w:r>
        <w:rPr>
          <w:rFonts w:ascii="Times New Roman" w:hAnsi="Times New Roman"/>
          <w:b/>
          <w:sz w:val="22"/>
        </w:rPr>
        <w:t xml:space="preserve">3. </w:t>
      </w:r>
      <w:r>
        <w:rPr>
          <w:rFonts w:ascii="Times New Roman" w:hAnsi="Times New Roman"/>
          <w:b/>
          <w:i w:val="0"/>
          <w:sz w:val="23"/>
        </w:rPr>
        <w:t>Camera Sensor Chromatic Distortion and Color Drift (Initial Severity: Moderate, Probability: High)</w:t>
      </w:r>
      <w:r>
        <w:rPr>
          <w:rFonts w:ascii="Times New Roman" w:hAnsi="Times New Roman"/>
          <w:b w:val="0"/>
          <w:i w:val="0"/>
          <w:sz w:val="23"/>
        </w:rPr>
        <w:t>\\</w:t>
      </w:r>
      <w:r>
        <w:rPr>
          <w:rFonts w:ascii="Times New Roman" w:hAnsi="Times New Roman"/>
          <w:b w:val="0"/>
          <w:i/>
          <w:sz w:val="23"/>
        </w:rPr>
        <w:t>Failure Etiology:</w:t>
      </w:r>
      <w:r>
        <w:rPr>
          <w:rFonts w:ascii="Times New Roman" w:hAnsi="Times New Roman"/>
          <w:b w:val="0"/>
          <w:i w:val="0"/>
          <w:sz w:val="23"/>
        </w:rPr>
        <w:t>Diverse mobile imaging sensors (e.g., Sony IMX, Samsung ISOCELL, Apple Photonic Engine) utilize divergent color temperature balances, resulting in dramatic shifts in mucosal redness and vascular erythema presentation across devices. \\</w:t>
      </w:r>
      <w:r>
        <w:rPr>
          <w:rFonts w:ascii="Times New Roman" w:hAnsi="Times New Roman"/>
          <w:b w:val="0"/>
          <w:i/>
          <w:sz w:val="23"/>
        </w:rPr>
        <w:t>Architectural Safeguards:</w:t>
      </w:r>
      <w:r>
        <w:rPr>
          <w:rFonts w:ascii="Times New Roman" w:hAnsi="Times New Roman"/>
          <w:b w:val="0"/>
          <w:i w:val="0"/>
          <w:sz w:val="23"/>
        </w:rPr>
        <w:t>The pipeline enforces a mathematical Reinhard color transfer in the perceptually uniform CIELAB color space. Mucosal pixel clusters are dynamically aligned with standardized oral mucosal chromatic means (μ_L = 142.5, μ_a = 158.2, μ_b = 134.8) and standard deviations, ensuring color invariance across disparate smartphone cameras.</w:t>
      </w:r>
    </w:p>
    <w:p>
      <w:pPr>
        <w:spacing w:before="40" w:after="80" w:line="312" w:lineRule="auto"/>
        <w:ind w:left="576"/>
      </w:pPr>
      <w:r>
        <w:rPr>
          <w:rFonts w:ascii="Times New Roman" w:hAnsi="Times New Roman"/>
          <w:b/>
          <w:sz w:val="22"/>
        </w:rPr>
        <w:t xml:space="preserve">4. </w:t>
      </w:r>
      <w:r>
        <w:rPr>
          <w:rFonts w:ascii="Times New Roman" w:hAnsi="Times New Roman"/>
          <w:b/>
          <w:i w:val="0"/>
          <w:sz w:val="23"/>
        </w:rPr>
        <w:t>Cloud API Service Degradation and Concurrency Bottlenecks (Initial Severity: Moderate, Probability: Moderate)</w:t>
      </w:r>
      <w:r>
        <w:rPr>
          <w:rFonts w:ascii="Times New Roman" w:hAnsi="Times New Roman"/>
          <w:b w:val="0"/>
          <w:i w:val="0"/>
          <w:sz w:val="23"/>
        </w:rPr>
        <w:t>\\</w:t>
      </w:r>
      <w:r>
        <w:rPr>
          <w:rFonts w:ascii="Times New Roman" w:hAnsi="Times New Roman"/>
          <w:b w:val="0"/>
          <w:i/>
          <w:sz w:val="23"/>
        </w:rPr>
        <w:t>Failure Etiology:</w:t>
      </w:r>
      <w:r>
        <w:rPr>
          <w:rFonts w:ascii="Times New Roman" w:hAnsi="Times New Roman"/>
          <w:b w:val="0"/>
          <w:i w:val="0"/>
          <w:sz w:val="23"/>
        </w:rPr>
        <w:t>Massive synchronous request spikes during community screening camps trigger thread pool exhaustion, unhandled connection timeouts, and server crashes. \\</w:t>
      </w:r>
      <w:r>
        <w:rPr>
          <w:rFonts w:ascii="Times New Roman" w:hAnsi="Times New Roman"/>
          <w:b w:val="0"/>
          <w:i/>
          <w:sz w:val="23"/>
        </w:rPr>
        <w:t>Architectural Safeguards:</w:t>
      </w:r>
      <w:r>
        <w:rPr>
          <w:rFonts w:ascii="Times New Roman" w:hAnsi="Times New Roman"/>
          <w:b w:val="0"/>
          <w:i w:val="0"/>
          <w:sz w:val="23"/>
        </w:rPr>
        <w:t>The backend is built upon an asynchronous event-driven FastAPI architecture powered by the high-performance Uvicorn ASGI server. Heavy CPU-bound tensor transformations are offloaded to dedicated thread pools, while SlowAPI enforces IP-based token-bucket rate limiting (60 requests/minute per client). Automated health probes (`/api/v1/health`) enable instantaneous container recycling upon heartbeat failures.</w:t>
      </w:r>
    </w:p>
    <w:p>
      <w:pPr>
        <w:spacing w:before="40" w:after="80" w:line="312" w:lineRule="auto"/>
        <w:ind w:left="576"/>
      </w:pPr>
      <w:r>
        <w:rPr>
          <w:rFonts w:ascii="Times New Roman" w:hAnsi="Times New Roman"/>
          <w:b/>
          <w:sz w:val="22"/>
        </w:rPr>
        <w:t xml:space="preserve">5. </w:t>
      </w:r>
      <w:r>
        <w:rPr>
          <w:rFonts w:ascii="Times New Roman" w:hAnsi="Times New Roman"/>
          <w:b/>
          <w:i w:val="0"/>
          <w:sz w:val="23"/>
        </w:rPr>
        <w:t>Clinical Data Privacy Breach and Regulatory Non-Compliance (Initial Severity: High, Probability: Low)</w:t>
      </w:r>
      <w:r>
        <w:rPr>
          <w:rFonts w:ascii="Times New Roman" w:hAnsi="Times New Roman"/>
          <w:b w:val="0"/>
          <w:i w:val="0"/>
          <w:sz w:val="23"/>
        </w:rPr>
        <w:t>\\</w:t>
      </w:r>
      <w:r>
        <w:rPr>
          <w:rFonts w:ascii="Times New Roman" w:hAnsi="Times New Roman"/>
          <w:b w:val="0"/>
          <w:i/>
          <w:sz w:val="23"/>
        </w:rPr>
        <w:t>Failure Etiology:</w:t>
      </w:r>
      <w:r>
        <w:rPr>
          <w:rFonts w:ascii="Times New Roman" w:hAnsi="Times New Roman"/>
          <w:b w:val="0"/>
          <w:i w:val="0"/>
          <w:sz w:val="23"/>
        </w:rPr>
        <w:t>Unprotected transmission or persistent storage of patient photographs containing identifying facial features or EXIF geographic coordinates violates HIPAA Privacy Rules and Indian Digital Personal Data Protection (DPDP) Act requirements. \\</w:t>
      </w:r>
      <w:r>
        <w:rPr>
          <w:rFonts w:ascii="Times New Roman" w:hAnsi="Times New Roman"/>
          <w:b w:val="0"/>
          <w:i/>
          <w:sz w:val="23"/>
        </w:rPr>
        <w:t>Architectural Safeguards:</w:t>
      </w:r>
      <w:r>
        <w:rPr>
          <w:rFonts w:ascii="Times New Roman" w:hAnsi="Times New Roman"/>
          <w:b w:val="0"/>
          <w:i w:val="0"/>
          <w:sz w:val="23"/>
        </w:rPr>
        <w:t>The ingestion gateway executes automatic stripping of all photographic EXIF metadata chunks upon upload. Direct patient names are barred from database primary records, utilizing synthetic, irreversible 128-bit UUIDs. Interoperable diagnostic exchanges are encoded strictly in HL7 FHIR Release 4 JSON bundles utilizing LOINC and SNOMED-CT clinical terminology standards.</w:t>
      </w:r>
    </w:p>
    <w:p>
      <w:pPr>
        <w:spacing w:before="40" w:after="80" w:line="312" w:lineRule="auto"/>
        <w:ind w:left="576"/>
      </w:pPr>
      <w:r>
        <w:rPr>
          <w:rFonts w:ascii="Times New Roman" w:hAnsi="Times New Roman"/>
          <w:b/>
          <w:sz w:val="22"/>
        </w:rPr>
        <w:t xml:space="preserve">6. </w:t>
      </w:r>
      <w:r>
        <w:rPr>
          <w:rFonts w:ascii="Times New Roman" w:hAnsi="Times New Roman"/>
          <w:b/>
          <w:i w:val="0"/>
          <w:sz w:val="23"/>
        </w:rPr>
        <w:t>Neural Network Overfitting and Distributional Generalization Collapse (Initial Severity: High, Probability: Moderate)</w:t>
      </w:r>
      <w:r>
        <w:rPr>
          <w:rFonts w:ascii="Times New Roman" w:hAnsi="Times New Roman"/>
          <w:b w:val="0"/>
          <w:i w:val="0"/>
          <w:sz w:val="23"/>
        </w:rPr>
        <w:t>\\</w:t>
      </w:r>
      <w:r>
        <w:rPr>
          <w:rFonts w:ascii="Times New Roman" w:hAnsi="Times New Roman"/>
          <w:b w:val="0"/>
          <w:i/>
          <w:sz w:val="23"/>
        </w:rPr>
        <w:t>Failure Etiology:</w:t>
      </w:r>
      <w:r>
        <w:rPr>
          <w:rFonts w:ascii="Times New Roman" w:hAnsi="Times New Roman"/>
          <w:b w:val="0"/>
          <w:i w:val="0"/>
          <w:sz w:val="23"/>
        </w:rPr>
        <w:t>High parameter-to-sample ratios cause deep convolutional networks to memorize spurious photographic backgrounds, lighting gradients, or patient-specific oral cavity contours rather than genuine pathological dysplastic signatures. \\</w:t>
      </w:r>
      <w:r>
        <w:rPr>
          <w:rFonts w:ascii="Times New Roman" w:hAnsi="Times New Roman"/>
          <w:b w:val="0"/>
          <w:i/>
          <w:sz w:val="23"/>
        </w:rPr>
        <w:t>Architectural Safeguards:</w:t>
      </w:r>
      <w:r>
        <w:rPr>
          <w:rFonts w:ascii="Times New Roman" w:hAnsi="Times New Roman"/>
          <w:b w:val="0"/>
          <w:i w:val="0"/>
          <w:sz w:val="23"/>
        </w:rPr>
        <w:t>MergedNet was trained using strict 5-fold patient-level disjoint cross-validation, guaranteeing zero leakage of individual oral environments across training and validation splits. Heavy data augmentation (rotations, elastic distortions, affine scaling), combined with multi-layer dropout (p = 0.35 and p = 0.20) and early stopping based on validation loss, successfully contained generalization error.</w:t>
      </w:r>
    </w:p>
    <w:p>
      <w:pPr>
        <w:spacing w:before="280" w:after="120" w:line="360" w:lineRule="auto"/>
        <w:jc w:val="left"/>
      </w:pPr>
      <w:r>
        <w:rPr>
          <w:rFonts w:ascii="Times New Roman" w:hAnsi="Times New Roman"/>
          <w:b/>
          <w:i w:val="0"/>
          <w:color w:val="0F234B"/>
          <w:sz w:val="28"/>
        </w:rPr>
        <w:t>Team Organization and Governance Architecture</w:t>
      </w:r>
    </w:p>
    <w:p>
      <w:pPr>
        <w:spacing w:before="40" w:after="120" w:line="360" w:lineRule="auto"/>
        <w:jc w:val="both"/>
      </w:pPr>
      <w:r>
        <w:rPr>
          <w:rFonts w:ascii="Times New Roman" w:hAnsi="Times New Roman"/>
          <w:b w:val="0"/>
          <w:i w:val="0"/>
          <w:sz w:val="24"/>
        </w:rPr>
        <w:t>The execution of Visionary Diagnostics was governed through a rigorous operational framework that defined clear lines of accountability, cross-functional collaboration, and academic supervision across all twenty-eight weeks of development:</w:t>
      </w:r>
    </w:p>
    <w:p>
      <w:pPr>
        <w:spacing w:before="40" w:after="80" w:line="312" w:lineRule="auto"/>
        <w:ind w:left="576"/>
      </w:pPr>
      <w:r>
        <w:rPr>
          <w:rFonts w:ascii="Times New Roman" w:hAnsi="Times New Roman"/>
          <w:b/>
          <w:sz w:val="22"/>
        </w:rPr>
        <w:t xml:space="preserve">•   </w:t>
      </w:r>
      <w:r>
        <w:rPr>
          <w:rFonts w:ascii="Times New Roman" w:hAnsi="Times New Roman"/>
          <w:b/>
          <w:i w:val="0"/>
          <w:sz w:val="23"/>
        </w:rPr>
        <w:t>Keerthi A (Lead AI &amp; Data Engineer):</w:t>
      </w:r>
      <w:r>
        <w:rPr>
          <w:rFonts w:ascii="Times New Roman" w:hAnsi="Times New Roman"/>
          <w:b w:val="0"/>
          <w:i w:val="0"/>
          <w:sz w:val="23"/>
        </w:rPr>
        <w:t>Held primary operational responsibility for clinical data engineering, including multi-center cohort curation, ground-truth pathology annotation cross-referencing, implementation of Reinhard CIELAB optical normalization, MergedNet four-backbone ensemble development, and the 15-pass Monte Carlo Dropout Bayesian uncertainty inference engine.</w:t>
      </w:r>
    </w:p>
    <w:p>
      <w:pPr>
        <w:spacing w:before="40" w:after="80" w:line="312" w:lineRule="auto"/>
        <w:ind w:left="576"/>
      </w:pPr>
      <w:r>
        <w:rPr>
          <w:rFonts w:ascii="Times New Roman" w:hAnsi="Times New Roman"/>
          <w:b/>
          <w:sz w:val="22"/>
        </w:rPr>
        <w:t xml:space="preserve">•   </w:t>
      </w:r>
      <w:r>
        <w:rPr>
          <w:rFonts w:ascii="Times New Roman" w:hAnsi="Times New Roman"/>
          <w:b/>
          <w:i w:val="0"/>
          <w:sz w:val="23"/>
        </w:rPr>
        <w:t>Rakshith Y B (Backend Systems &amp; Security Engineer):</w:t>
      </w:r>
      <w:r>
        <w:rPr>
          <w:rFonts w:ascii="Times New Roman" w:hAnsi="Times New Roman"/>
          <w:b w:val="0"/>
          <w:i w:val="0"/>
          <w:sz w:val="23"/>
        </w:rPr>
        <w:t>Held primary operational responsibility for enterprise backend architecture, including asynchronous FastAPI micro-service implementation, SQLAlchemy ORM data persistence, NIST SP 800-132 PBKDF2-SHA256 password security, JWT session middleware, SlowAPI rate limiting, HL7 FHIR Release 4 JSON interoperability bundling, and Locust concurrency load profiling.</w:t>
      </w:r>
    </w:p>
    <w:p>
      <w:pPr>
        <w:spacing w:before="40" w:after="80" w:line="312" w:lineRule="auto"/>
        <w:ind w:left="576"/>
      </w:pPr>
      <w:r>
        <w:rPr>
          <w:rFonts w:ascii="Times New Roman" w:hAnsi="Times New Roman"/>
          <w:b/>
          <w:sz w:val="22"/>
        </w:rPr>
        <w:t xml:space="preserve">•   </w:t>
      </w:r>
      <w:r>
        <w:rPr>
          <w:rFonts w:ascii="Times New Roman" w:hAnsi="Times New Roman"/>
          <w:b/>
          <w:i w:val="0"/>
          <w:sz w:val="23"/>
        </w:rPr>
        <w:t>Lohith R C (Frontend Systems &amp; UI/UX Engineer):</w:t>
      </w:r>
      <w:r>
        <w:rPr>
          <w:rFonts w:ascii="Times New Roman" w:hAnsi="Times New Roman"/>
          <w:b w:val="0"/>
          <w:i w:val="0"/>
          <w:sz w:val="23"/>
        </w:rPr>
        <w:t>Held primary operational responsibility for client-side software engineering, including responsive React 18 single-page application development, surgical dark-mode styling via Tailwind CSS, Framer Motion interactive feedback transitions, dynamic clinical risk questionnaire integration, and client-side vector diagnostic PDF report generation using `jsPDF` and `html2canvas`.</w:t>
      </w:r>
    </w:p>
    <w:p>
      <w:pPr>
        <w:spacing w:before="40" w:after="80" w:line="312" w:lineRule="auto"/>
        <w:ind w:left="576"/>
      </w:pPr>
      <w:r>
        <w:rPr>
          <w:rFonts w:ascii="Times New Roman" w:hAnsi="Times New Roman"/>
          <w:b/>
          <w:sz w:val="22"/>
        </w:rPr>
        <w:t xml:space="preserve">•   </w:t>
      </w:r>
      <w:r>
        <w:rPr>
          <w:rFonts w:ascii="Times New Roman" w:hAnsi="Times New Roman"/>
          <w:b/>
          <w:i w:val="0"/>
          <w:sz w:val="23"/>
        </w:rPr>
        <w:t>Prof. Aishwarya S (Project Guide &amp; Academic Supervisor):</w:t>
      </w:r>
      <w:r>
        <w:rPr>
          <w:rFonts w:ascii="Times New Roman" w:hAnsi="Times New Roman"/>
          <w:b w:val="0"/>
          <w:i w:val="0"/>
          <w:sz w:val="23"/>
        </w:rPr>
        <w:t>Exercised ultimate academic accountability and executive governance over the entire engineering lifecycle. Provided continuous technical oversight, enforced strict adherence to VTU BCS786 dissertation guidelines, verified compliance with international clinical evaluation standards (CLAIM and TRIPOD+AI), supervised ethical data handling protocols, and conducted formal sprint review sign-offs.</w:t>
      </w:r>
    </w:p>
    <w:p>
      <w:r>
        <w:br w:type="page"/>
      </w:r>
    </w:p>
    <w:p>
      <w:pPr>
        <w:spacing w:before="360" w:after="360" w:line="360" w:lineRule="auto"/>
        <w:jc w:val="center"/>
      </w:pPr>
      <w:r>
        <w:rPr>
          <w:rFonts w:ascii="Times New Roman" w:hAnsi="Times New Roman"/>
          <w:b/>
          <w:i w:val="0"/>
          <w:color w:val="0A2D5A"/>
          <w:sz w:val="32"/>
        </w:rPr>
        <w:t>CHAPTER 5</w:t>
        <w:br/>
        <w:t>SYSTEM DESIGN</w:t>
      </w:r>
    </w:p>
    <w:p>
      <w:pPr>
        <w:spacing w:before="280" w:after="120" w:line="360" w:lineRule="auto"/>
        <w:jc w:val="left"/>
      </w:pPr>
      <w:r>
        <w:rPr>
          <w:rFonts w:ascii="Times New Roman" w:hAnsi="Times New Roman"/>
          <w:b/>
          <w:i w:val="0"/>
          <w:color w:val="0F234B"/>
          <w:sz w:val="28"/>
        </w:rPr>
        <w:t>High-Level Architectural Topology</w:t>
      </w:r>
    </w:p>
    <w:p>
      <w:pPr>
        <w:spacing w:before="40" w:after="120" w:line="360" w:lineRule="auto"/>
        <w:jc w:val="both"/>
      </w:pPr>
      <w:r>
        <w:rPr>
          <w:rFonts w:ascii="Times New Roman" w:hAnsi="Times New Roman"/>
          <w:b w:val="0"/>
          <w:i w:val="0"/>
          <w:sz w:val="24"/>
        </w:rPr>
        <w:t>The system architecture of</w:t>
      </w:r>
      <w:r>
        <w:rPr>
          <w:rFonts w:ascii="Times New Roman" w:hAnsi="Times New Roman"/>
          <w:b/>
          <w:i w:val="0"/>
          <w:sz w:val="24"/>
        </w:rPr>
        <w:t>Visionary Diagnostics</w:t>
      </w:r>
      <w:r>
        <w:rPr>
          <w:rFonts w:ascii="Times New Roman" w:hAnsi="Times New Roman"/>
          <w:b w:val="0"/>
          <w:i w:val="0"/>
          <w:sz w:val="24"/>
        </w:rPr>
        <w:t>is engineered around a modern, decoupled</w:t>
      </w:r>
      <w:r>
        <w:rPr>
          <w:rFonts w:ascii="Times New Roman" w:hAnsi="Times New Roman"/>
          <w:b/>
          <w:i w:val="0"/>
          <w:sz w:val="24"/>
        </w:rPr>
        <w:t>Five-Tier Micro-Service Pattern</w:t>
      </w:r>
      <w:r>
        <w:rPr>
          <w:rFonts w:ascii="Times New Roman" w:hAnsi="Times New Roman"/>
          <w:b w:val="0"/>
          <w:i w:val="0"/>
          <w:sz w:val="24"/>
        </w:rPr>
        <w:t>designed for high availability, sub-120ms inference latency, and strict clinical data governance:</w:t>
      </w:r>
    </w:p>
    <w:p>
      <w:pPr>
        <w:spacing w:before="40" w:after="80" w:line="312" w:lineRule="auto"/>
        <w:ind w:left="576"/>
      </w:pPr>
      <w:r>
        <w:rPr>
          <w:rFonts w:ascii="Times New Roman" w:hAnsi="Times New Roman"/>
          <w:b/>
          <w:sz w:val="22"/>
        </w:rPr>
        <w:t xml:space="preserve">1. </w:t>
      </w:r>
      <w:r>
        <w:rPr>
          <w:rFonts w:ascii="Times New Roman" w:hAnsi="Times New Roman"/>
          <w:b/>
          <w:i w:val="0"/>
          <w:sz w:val="23"/>
        </w:rPr>
        <w:t>Presentation Tier (Client SPA):</w:t>
      </w:r>
      <w:r>
        <w:rPr>
          <w:rFonts w:ascii="Times New Roman" w:hAnsi="Times New Roman"/>
          <w:b w:val="0"/>
          <w:i w:val="0"/>
          <w:sz w:val="23"/>
        </w:rPr>
        <w:t>Built with React 18 and Tailwind CSS, executing entirely on client web browsers. Delivers an accessible, zero-friction clinical workflow featuring interactive risk questionnaires, live photographic upload previews, surgical dark mode, and client-side vector PDF generation via `jsPDF` and `html2canvas`.</w:t>
      </w:r>
    </w:p>
    <w:p>
      <w:pPr>
        <w:spacing w:before="40" w:after="80" w:line="312" w:lineRule="auto"/>
        <w:ind w:left="576"/>
      </w:pPr>
      <w:r>
        <w:rPr>
          <w:rFonts w:ascii="Times New Roman" w:hAnsi="Times New Roman"/>
          <w:b/>
          <w:sz w:val="22"/>
        </w:rPr>
        <w:t xml:space="preserve">2. </w:t>
      </w:r>
      <w:r>
        <w:rPr>
          <w:rFonts w:ascii="Times New Roman" w:hAnsi="Times New Roman"/>
          <w:b/>
          <w:i w:val="0"/>
          <w:sz w:val="23"/>
        </w:rPr>
        <w:t>Security &amp; Gateway Tier:</w:t>
      </w:r>
      <w:r>
        <w:rPr>
          <w:rFonts w:ascii="Times New Roman" w:hAnsi="Times New Roman"/>
          <w:b w:val="0"/>
          <w:i w:val="0"/>
          <w:sz w:val="23"/>
        </w:rPr>
        <w:t>Powered by FastAPI asynchronous middleware and SlowAPI rate limiters. Enforces Cross-Origin Resource Sharing (CORS) lockdown, Content Security Policy (CSP), HTTP Strict Transport Security (HSTS), and cryptographic JWT bearer token validation.</w:t>
      </w:r>
    </w:p>
    <w:p>
      <w:pPr>
        <w:spacing w:before="40" w:after="80" w:line="312" w:lineRule="auto"/>
        <w:ind w:left="576"/>
      </w:pPr>
      <w:r>
        <w:rPr>
          <w:rFonts w:ascii="Times New Roman" w:hAnsi="Times New Roman"/>
          <w:b/>
          <w:sz w:val="22"/>
        </w:rPr>
        <w:t xml:space="preserve">3. </w:t>
      </w:r>
      <w:r>
        <w:rPr>
          <w:rFonts w:ascii="Times New Roman" w:hAnsi="Times New Roman"/>
          <w:b/>
          <w:i w:val="0"/>
          <w:sz w:val="23"/>
        </w:rPr>
        <w:t>Pre-Processing &amp; Quality Tier:</w:t>
      </w:r>
      <w:r>
        <w:rPr>
          <w:rFonts w:ascii="Times New Roman" w:hAnsi="Times New Roman"/>
          <w:b w:val="0"/>
          <w:i w:val="0"/>
          <w:sz w:val="23"/>
        </w:rPr>
        <w:t>Implements high-speed OpenCV and Pillow algorithms executing prior to neural inference. Evaluates Laplacian second-order derivative variance for blur detection and applies Reinhard CIELAB mucosal color transfer to eliminate camera sensor variations.</w:t>
      </w:r>
    </w:p>
    <w:p>
      <w:pPr>
        <w:spacing w:before="40" w:after="80" w:line="312" w:lineRule="auto"/>
        <w:ind w:left="576"/>
      </w:pPr>
      <w:r>
        <w:rPr>
          <w:rFonts w:ascii="Times New Roman" w:hAnsi="Times New Roman"/>
          <w:b/>
          <w:sz w:val="22"/>
        </w:rPr>
        <w:t xml:space="preserve">4. </w:t>
      </w:r>
      <w:r>
        <w:rPr>
          <w:rFonts w:ascii="Times New Roman" w:hAnsi="Times New Roman"/>
          <w:b/>
          <w:i w:val="0"/>
          <w:sz w:val="23"/>
        </w:rPr>
        <w:t>Deep Learning Inference Tier (MergedNet Engine):</w:t>
      </w:r>
      <w:r>
        <w:rPr>
          <w:rFonts w:ascii="Times New Roman" w:hAnsi="Times New Roman"/>
          <w:b w:val="0"/>
          <w:i w:val="0"/>
          <w:sz w:val="23"/>
        </w:rPr>
        <w:t>Integrates PyTorch and ONNX Runtime executing the four-backbone ensemble (VGG-16, ResNet-50, EfficientNet-B0, MobileNetV2), 8-pass Test-Time Augmentation (TTA), 15-pass Monte Carlo Dropout variational uncertainty estimation, and the multimodal cross-attention fusion network.</w:t>
      </w:r>
    </w:p>
    <w:p>
      <w:pPr>
        <w:spacing w:before="40" w:after="80" w:line="312" w:lineRule="auto"/>
        <w:ind w:left="576"/>
      </w:pPr>
      <w:r>
        <w:rPr>
          <w:rFonts w:ascii="Times New Roman" w:hAnsi="Times New Roman"/>
          <w:b/>
          <w:sz w:val="22"/>
        </w:rPr>
        <w:t xml:space="preserve">5. </w:t>
      </w:r>
      <w:r>
        <w:rPr>
          <w:rFonts w:ascii="Times New Roman" w:hAnsi="Times New Roman"/>
          <w:b/>
          <w:i w:val="0"/>
          <w:sz w:val="23"/>
        </w:rPr>
        <w:t>Persistence &amp; Interoperability Tier:</w:t>
      </w:r>
      <w:r>
        <w:rPr>
          <w:rFonts w:ascii="Times New Roman" w:hAnsi="Times New Roman"/>
          <w:b w:val="0"/>
          <w:i w:val="0"/>
          <w:sz w:val="23"/>
        </w:rPr>
        <w:t>Relational data layer backed by SQLite (development) and PostgreSQL (cloud production) via SQLAlchemy ORM. Integrates the `fhir_exporter` service to construct compliant HL7 FHIR Release 4 JSON bundles.</w:t>
      </w:r>
    </w:p>
    <w:p>
      <w:pPr>
        <w:spacing w:before="40" w:after="120" w:line="360" w:lineRule="auto"/>
        <w:jc w:val="both"/>
      </w:pPr>
      <w:r>
        <w:rPr>
          <w:rFonts w:ascii="Times New Roman" w:hAnsi="Times New Roman"/>
          <w:b w:val="0"/>
          <w:i w:val="0"/>
          <w:sz w:val="24"/>
        </w:rPr>
        <w:t>Figure fig:architecture_diagram illustrates the end-to-end system architecture and data ingestion flow.</w:t>
      </w:r>
    </w:p>
    <w:p>
      <w:pPr>
        <w:spacing w:before="160" w:after="80"/>
        <w:jc w:val="center"/>
      </w:pPr>
      <w:r>
        <w:drawing>
          <wp:inline xmlns:a="http://schemas.openxmlformats.org/drawingml/2006/main" xmlns:pic="http://schemas.openxmlformats.org/drawingml/2006/picture">
            <wp:extent cx="5120640" cy="2858032"/>
            <wp:docPr id="7" name="Picture 7"/>
            <wp:cNvGraphicFramePr>
              <a:graphicFrameLocks noChangeAspect="1"/>
            </wp:cNvGraphicFramePr>
            <a:graphic>
              <a:graphicData uri="http://schemas.openxmlformats.org/drawingml/2006/picture">
                <pic:pic>
                  <pic:nvPicPr>
                    <pic:cNvPr id="0" name="architecture.png"/>
                    <pic:cNvPicPr/>
                  </pic:nvPicPr>
                  <pic:blipFill>
                    <a:blip r:embed="rId17"/>
                    <a:stretch>
                      <a:fillRect/>
                    </a:stretch>
                  </pic:blipFill>
                  <pic:spPr>
                    <a:xfrm>
                      <a:off x="0" y="0"/>
                      <a:ext cx="5120640" cy="2858032"/>
                    </a:xfrm>
                    <a:prstGeom prst="rect"/>
                  </pic:spPr>
                </pic:pic>
              </a:graphicData>
            </a:graphic>
          </wp:inline>
        </w:drawing>
      </w:r>
    </w:p>
    <w:p>
      <w:pPr>
        <w:spacing w:before="40" w:after="200" w:line="360" w:lineRule="auto"/>
        <w:jc w:val="center"/>
      </w:pPr>
      <w:r>
        <w:rPr>
          <w:rFonts w:ascii="Times New Roman" w:hAnsi="Times New Roman"/>
          <w:b w:val="0"/>
          <w:i/>
          <w:color w:val="0A2D5A"/>
          <w:sz w:val="21"/>
        </w:rPr>
        <w:t>Figure: End-to-End System Architectural Topology Depicting Multi-Tier Ingestion, Quality Gating, and Inference</w:t>
      </w:r>
    </w:p>
    <w:p>
      <w:pPr>
        <w:spacing w:before="280" w:after="120" w:line="360" w:lineRule="auto"/>
        <w:jc w:val="left"/>
      </w:pPr>
      <w:r>
        <w:rPr>
          <w:rFonts w:ascii="Times New Roman" w:hAnsi="Times New Roman"/>
          <w:b/>
          <w:i w:val="0"/>
          <w:color w:val="0F234B"/>
          <w:sz w:val="28"/>
        </w:rPr>
        <w:t>MergedNet Multi-Backbone Feature Concatenation Architecture</w:t>
      </w:r>
    </w:p>
    <w:p>
      <w:pPr>
        <w:spacing w:before="40" w:after="120" w:line="360" w:lineRule="auto"/>
        <w:jc w:val="both"/>
      </w:pPr>
      <w:r>
        <w:rPr>
          <w:rFonts w:ascii="Times New Roman" w:hAnsi="Times New Roman"/>
          <w:b w:val="0"/>
          <w:i w:val="0"/>
          <w:sz w:val="24"/>
        </w:rPr>
        <w:t>Single deep convolutional backbones exhibit inherent structural trade-offs when applied to complex oral mucosal neoplasms:</w:t>
      </w:r>
    </w:p>
    <w:p>
      <w:pPr>
        <w:spacing w:before="40" w:after="80" w:line="312" w:lineRule="auto"/>
        <w:ind w:left="576"/>
      </w:pPr>
      <w:r>
        <w:rPr>
          <w:rFonts w:ascii="Times New Roman" w:hAnsi="Times New Roman"/>
          <w:b/>
          <w:sz w:val="22"/>
        </w:rPr>
        <w:t xml:space="preserve">•   </w:t>
      </w:r>
      <w:r>
        <w:rPr>
          <w:rFonts w:ascii="Times New Roman" w:hAnsi="Times New Roman"/>
          <w:b/>
          <w:i w:val="0"/>
          <w:sz w:val="23"/>
        </w:rPr>
        <w:t>VGG-16</w:t>
      </w:r>
      <w:r>
        <w:rPr>
          <w:rFonts w:ascii="Times New Roman" w:hAnsi="Times New Roman"/>
          <w:b w:val="0"/>
          <w:i w:val="0"/>
          <w:sz w:val="23"/>
        </w:rPr>
        <w:t>utilizes uniform 3× 3 convolutional filters with small receptive fields, excelling at capturing localized micro-textural mucosal keratinization and vascular erythema, but lacking depth for broad structural context.</w:t>
      </w:r>
    </w:p>
    <w:p>
      <w:pPr>
        <w:spacing w:before="40" w:after="80" w:line="312" w:lineRule="auto"/>
        <w:ind w:left="576"/>
      </w:pPr>
      <w:r>
        <w:rPr>
          <w:rFonts w:ascii="Times New Roman" w:hAnsi="Times New Roman"/>
          <w:b/>
          <w:sz w:val="22"/>
        </w:rPr>
        <w:t xml:space="preserve">•   </w:t>
      </w:r>
      <w:r>
        <w:rPr>
          <w:rFonts w:ascii="Times New Roman" w:hAnsi="Times New Roman"/>
          <w:b/>
          <w:i w:val="0"/>
          <w:sz w:val="23"/>
        </w:rPr>
        <w:t>ResNet-50</w:t>
      </w:r>
      <w:r>
        <w:rPr>
          <w:rFonts w:ascii="Times New Roman" w:hAnsi="Times New Roman"/>
          <w:b w:val="0"/>
          <w:i w:val="0"/>
          <w:sz w:val="23"/>
        </w:rPr>
        <w:t>leverages identity skip connections to train deep 50-layer representations without gradient vanishing, capturing mid-scale dysplastic architectural disruptions and epithelial basement membrane integrity.</w:t>
      </w:r>
    </w:p>
    <w:p>
      <w:pPr>
        <w:spacing w:before="40" w:after="80" w:line="312" w:lineRule="auto"/>
        <w:ind w:left="576"/>
      </w:pPr>
      <w:r>
        <w:rPr>
          <w:rFonts w:ascii="Times New Roman" w:hAnsi="Times New Roman"/>
          <w:b/>
          <w:sz w:val="22"/>
        </w:rPr>
        <w:t xml:space="preserve">•   </w:t>
      </w:r>
      <w:r>
        <w:rPr>
          <w:rFonts w:ascii="Times New Roman" w:hAnsi="Times New Roman"/>
          <w:b/>
          <w:i w:val="0"/>
          <w:sz w:val="23"/>
        </w:rPr>
        <w:t>EfficientNet-B0</w:t>
      </w:r>
      <w:r>
        <w:rPr>
          <w:rFonts w:ascii="Times New Roman" w:hAnsi="Times New Roman"/>
          <w:b w:val="0"/>
          <w:i w:val="0"/>
          <w:sz w:val="23"/>
        </w:rPr>
        <w:t>utilizes compound coefficient scaling to uniformly balance network depth, width, and input resolution, extracting multi-frequency mobile inverted bottleneck (MBConv) representations.</w:t>
      </w:r>
    </w:p>
    <w:p>
      <w:pPr>
        <w:spacing w:before="40" w:after="80" w:line="312" w:lineRule="auto"/>
        <w:ind w:left="576"/>
      </w:pPr>
      <w:r>
        <w:rPr>
          <w:rFonts w:ascii="Times New Roman" w:hAnsi="Times New Roman"/>
          <w:b/>
          <w:sz w:val="22"/>
        </w:rPr>
        <w:t xml:space="preserve">•   </w:t>
      </w:r>
      <w:r>
        <w:rPr>
          <w:rFonts w:ascii="Times New Roman" w:hAnsi="Times New Roman"/>
          <w:b/>
          <w:i w:val="0"/>
          <w:sz w:val="23"/>
        </w:rPr>
        <w:t>MobileNetV2</w:t>
      </w:r>
      <w:r>
        <w:rPr>
          <w:rFonts w:ascii="Times New Roman" w:hAnsi="Times New Roman"/>
          <w:b w:val="0"/>
          <w:i w:val="0"/>
          <w:sz w:val="23"/>
        </w:rPr>
        <w:t>employs depthwise separable convolutions with linear bottlenecks, capturing high-frequency edge gradients while maintaining minimal computational overhead.</w:t>
      </w:r>
    </w:p>
    <w:p>
      <w:pPr>
        <w:spacing w:before="40" w:after="120" w:line="360" w:lineRule="auto"/>
        <w:jc w:val="both"/>
      </w:pPr>
      <w:r>
        <w:rPr>
          <w:rFonts w:ascii="Times New Roman" w:hAnsi="Times New Roman"/>
          <w:b w:val="0"/>
          <w:i w:val="0"/>
          <w:sz w:val="24"/>
        </w:rPr>
        <w:t>To synthesize the complementary strengths of all four architectures,</w:t>
      </w:r>
      <w:r>
        <w:rPr>
          <w:rFonts w:ascii="Times New Roman" w:hAnsi="Times New Roman"/>
          <w:b w:val="0"/>
          <w:i/>
          <w:sz w:val="24"/>
        </w:rPr>
        <w:t>MergedNet</w:t>
      </w:r>
      <w:r>
        <w:rPr>
          <w:rFonts w:ascii="Times New Roman" w:hAnsi="Times New Roman"/>
          <w:b w:val="0"/>
          <w:i w:val="0"/>
          <w:sz w:val="24"/>
        </w:rPr>
        <w:t>extracts penultimate latent feature vectors from each backbone, applies global average pooling, and concatenates them into a unified 5,120-dimensional feature embedding:</w:t>
        <w:br/>
        <w:t>\begin{equation}</w:t>
        <w:br/>
        <w:t xml:space="preserve">    \mathbf{z}_{\text{fused}} = ≤ft[ \mathbf{f}_{\text{ResNet-50}} (2048) \;\parallel\; \mathbf{f}_{\text{EfficientNet-B0}} (1280) \;\parallel\; \mathbf{f}_{\text{MobileNetV2}} (1280) \;\parallel\; \mathbf{f}_{\text{VGG-16}} (512) \right] ∈ ℝ^{5120}</w:t>
        <w:br/>
        <w:t>\end{equation}</w:t>
      </w:r>
    </w:p>
    <w:p>
      <w:pPr>
        <w:spacing w:before="40" w:after="120" w:line="360" w:lineRule="auto"/>
        <w:jc w:val="both"/>
      </w:pPr>
      <w:r>
        <w:rPr>
          <w:rFonts w:ascii="Times New Roman" w:hAnsi="Times New Roman"/>
          <w:b w:val="0"/>
          <w:i w:val="0"/>
          <w:sz w:val="24"/>
        </w:rPr>
        <w:t>The fused feature vector \mathbf{z}_{\text{fused}} is projected through a custom classification head designed with active variational dropout:</w:t>
        <w:br/>
        <w:t>\begin{align}</w:t>
        <w:br/>
        <w:t xml:space="preserve">    \mathbf{h}_1 &amp;= \text{ReLU}≤ft( \text{BatchNorm}≤ft( \mathbf{W}_1 \mathbf{z}_{\text{fused}} + \mathbf{b}_1 \right) \right), \quad \mathbf{W}_1 ∈ ℝ^{512 × 5120} \\</w:t>
        <w:br/>
        <w:t xml:space="preserve">    \mathbf{h}_1' &amp;= \text{Dropout}≤ft(\mathbf{h}_1, p = 0.35\right) \\</w:t>
        <w:br/>
        <w:t xml:space="preserve">    \mathbf{h}_2 &amp;= \text{ReLU}≤ft( \text{BatchNorm}≤ft( \mathbf{W}_2 \mathbf{h}_1' + \mathbf{b}_2 \right) \right), \quad \mathbf{W}_2 ∈ ℝ^{64 × 512} \\</w:t>
        <w:br/>
        <w:t xml:space="preserve">    \mathbf{h}_2' &amp;= \text{Dropout}≤ft(\mathbf{h}_2, p = 0.20\right) \\</w:t>
        <w:br/>
        <w:t xml:space="preserve">    \mathbf{y}_{\text{logits}} &amp;= \mathbf{W}_3 \mathbf{h}_2' + \mathbf{b}_3, \quad \mathbf{W}_3 ∈ ℝ^{2 × 64}</w:t>
        <w:br/>
        <w:t>\end{align}</w:t>
      </w:r>
    </w:p>
    <w:p>
      <w:pPr>
        <w:spacing w:before="280" w:after="120" w:line="360" w:lineRule="auto"/>
        <w:jc w:val="left"/>
      </w:pPr>
      <w:r>
        <w:rPr>
          <w:rFonts w:ascii="Times New Roman" w:hAnsi="Times New Roman"/>
          <w:b/>
          <w:i w:val="0"/>
          <w:color w:val="0F234B"/>
          <w:sz w:val="28"/>
        </w:rPr>
        <w:t>Multimodal Cross-Attention Fusion Network</w:t>
      </w:r>
    </w:p>
    <w:p>
      <w:pPr>
        <w:spacing w:before="40" w:after="120" w:line="360" w:lineRule="auto"/>
        <w:jc w:val="both"/>
      </w:pPr>
      <w:r>
        <w:rPr>
          <w:rFonts w:ascii="Times New Roman" w:hAnsi="Times New Roman"/>
          <w:b w:val="0"/>
          <w:i w:val="0"/>
          <w:sz w:val="24"/>
        </w:rPr>
        <w:t>To bridge the gap between image pixels and clinical patient context, Visionary Diagnostics introduces a</w:t>
      </w:r>
      <w:r>
        <w:rPr>
          <w:rFonts w:ascii="Times New Roman" w:hAnsi="Times New Roman"/>
          <w:b/>
          <w:i w:val="0"/>
          <w:sz w:val="24"/>
        </w:rPr>
        <w:t>Multimodal Cross-Attention Network</w:t>
      </w:r>
      <w:r>
        <w:rPr>
          <w:rFonts w:ascii="Times New Roman" w:hAnsi="Times New Roman"/>
          <w:b w:val="0"/>
          <w:i w:val="0"/>
          <w:sz w:val="24"/>
        </w:rPr>
        <w:t>that dynamically modulates convolutional visual tokens using patient epidemiological risk profiles.</w:t>
      </w:r>
    </w:p>
    <w:p>
      <w:pPr>
        <w:spacing w:before="40" w:after="120" w:line="360" w:lineRule="auto"/>
        <w:jc w:val="both"/>
      </w:pPr>
      <w:r>
        <w:rPr>
          <w:rFonts w:ascii="Times New Roman" w:hAnsi="Times New Roman"/>
          <w:b w:val="0"/>
          <w:i w:val="0"/>
          <w:sz w:val="24"/>
        </w:rPr>
        <w:t>Figure fig:multimodal_attention details the cross-attention fusion architecture.</w:t>
      </w:r>
    </w:p>
    <w:p>
      <w:pPr>
        <w:spacing w:before="160" w:after="80"/>
        <w:jc w:val="center"/>
      </w:pPr>
      <w:r>
        <w:drawing>
          <wp:inline xmlns:a="http://schemas.openxmlformats.org/drawingml/2006/main" xmlns:pic="http://schemas.openxmlformats.org/drawingml/2006/picture">
            <wp:extent cx="5120640" cy="2323652"/>
            <wp:docPr id="8" name="Picture 8"/>
            <wp:cNvGraphicFramePr>
              <a:graphicFrameLocks noChangeAspect="1"/>
            </wp:cNvGraphicFramePr>
            <a:graphic>
              <a:graphicData uri="http://schemas.openxmlformats.org/drawingml/2006/picture">
                <pic:pic>
                  <pic:nvPicPr>
                    <pic:cNvPr id="0" name="multimodal_attention_fusion.png"/>
                    <pic:cNvPicPr/>
                  </pic:nvPicPr>
                  <pic:blipFill>
                    <a:blip r:embed="rId18"/>
                    <a:stretch>
                      <a:fillRect/>
                    </a:stretch>
                  </pic:blipFill>
                  <pic:spPr>
                    <a:xfrm>
                      <a:off x="0" y="0"/>
                      <a:ext cx="5120640" cy="2323652"/>
                    </a:xfrm>
                    <a:prstGeom prst="rect"/>
                  </pic:spPr>
                </pic:pic>
              </a:graphicData>
            </a:graphic>
          </wp:inline>
        </w:drawing>
      </w:r>
    </w:p>
    <w:p>
      <w:pPr>
        <w:spacing w:before="40" w:after="200" w:line="360" w:lineRule="auto"/>
        <w:jc w:val="center"/>
      </w:pPr>
      <w:r>
        <w:rPr>
          <w:rFonts w:ascii="Times New Roman" w:hAnsi="Times New Roman"/>
          <w:b w:val="0"/>
          <w:i/>
          <w:color w:val="0A2D5A"/>
          <w:sz w:val="21"/>
        </w:rPr>
        <w:t>Figure: Multimodal Cross-Attention Network Architecture Dynamically Fusing Visual and Clinical Prior Embeddings</w:t>
      </w:r>
    </w:p>
    <w:p>
      <w:pPr>
        <w:spacing w:before="40" w:after="120" w:line="360" w:lineRule="auto"/>
        <w:jc w:val="both"/>
      </w:pPr>
      <w:r>
        <w:rPr>
          <w:rFonts w:ascii="Times New Roman" w:hAnsi="Times New Roman"/>
          <w:b w:val="0"/>
          <w:i w:val="0"/>
          <w:sz w:val="24"/>
        </w:rPr>
        <w:t>The mathematical derivation proceeds as follows:</w:t>
      </w:r>
    </w:p>
    <w:p>
      <w:pPr>
        <w:spacing w:before="40" w:after="80" w:line="312" w:lineRule="auto"/>
        <w:ind w:left="576"/>
      </w:pPr>
      <w:r>
        <w:rPr>
          <w:rFonts w:ascii="Times New Roman" w:hAnsi="Times New Roman"/>
          <w:b/>
          <w:sz w:val="22"/>
        </w:rPr>
        <w:t xml:space="preserve">1. </w:t>
      </w:r>
      <w:r>
        <w:rPr>
          <w:rFonts w:ascii="Times New Roman" w:hAnsi="Times New Roman"/>
          <w:b/>
          <w:i w:val="0"/>
          <w:sz w:val="23"/>
        </w:rPr>
        <w:t>Clinical Prior Embedding:</w:t>
      </w:r>
      <w:r>
        <w:rPr>
          <w:rFonts w:ascii="Times New Roman" w:hAnsi="Times New Roman"/>
          <w:b w:val="0"/>
          <w:i w:val="0"/>
          <w:sz w:val="23"/>
        </w:rPr>
        <w:t>An 8-dimensional patient vector \mathbf{x}_{\text{clinical}} (encoding tobacco pack-years, betel nut/areca frequency, alcohol units, age, lesion site, prior lesion history) is projected into a latent clinical query space:</w:t>
        <w:br/>
        <w:t xml:space="preserve">    \begin{equation}</w:t>
        <w:br/>
        <w:t xml:space="preserve">        \mathbf{Q}_{\text{clin}} = \mathbf{W}_Q \mathbf{x}_{\text{clinical}}, \quad \mathbf{W}_Q ∈ ℝ^{d_k × 8}, \quad d_k = 256</w:t>
        <w:br/>
        <w:t xml:space="preserve">    \end{equation}</w:t>
      </w:r>
    </w:p>
    <w:p>
      <w:pPr>
        <w:spacing w:before="40" w:after="80" w:line="312" w:lineRule="auto"/>
        <w:ind w:left="576"/>
      </w:pPr>
      <w:r>
        <w:rPr>
          <w:rFonts w:ascii="Times New Roman" w:hAnsi="Times New Roman"/>
          <w:b/>
          <w:sz w:val="22"/>
        </w:rPr>
        <w:t xml:space="preserve">2. </w:t>
      </w:r>
      <w:r>
        <w:rPr>
          <w:rFonts w:ascii="Times New Roman" w:hAnsi="Times New Roman"/>
          <w:b/>
          <w:i w:val="0"/>
          <w:sz w:val="23"/>
        </w:rPr>
        <w:t>Visual Key and Value Projections:</w:t>
      </w:r>
      <w:r>
        <w:rPr>
          <w:rFonts w:ascii="Times New Roman" w:hAnsi="Times New Roman"/>
          <w:b w:val="0"/>
          <w:i w:val="0"/>
          <w:sz w:val="23"/>
        </w:rPr>
        <w:t>The high-dimensional visual feature vector \mathbf{z}_{\text{visual}} ∈ ℝ^{5120} is projected into key and value spaces:</w:t>
        <w:br/>
        <w:t xml:space="preserve">    \begin{equation}</w:t>
        <w:br/>
        <w:t xml:space="preserve">        \mathbf{K}_{\text{vis}} = \mathbf{W}_K \mathbf{z}_{\text{visual}}, \quad \mathbf{V}_{\text{vis}} = \mathbf{W}_V \mathbf{z}_{\text{visual}}, \quad \mathbf{W}_K, \mathbf{W}_V ∈ ℝ^{d_k × 5120}</w:t>
        <w:br/>
        <w:t xml:space="preserve">    \end{equation}</w:t>
      </w:r>
    </w:p>
    <w:p>
      <w:pPr>
        <w:spacing w:before="40" w:after="80" w:line="312" w:lineRule="auto"/>
        <w:ind w:left="576"/>
      </w:pPr>
      <w:r>
        <w:rPr>
          <w:rFonts w:ascii="Times New Roman" w:hAnsi="Times New Roman"/>
          <w:b/>
          <w:sz w:val="22"/>
        </w:rPr>
        <w:t xml:space="preserve">3. </w:t>
      </w:r>
      <w:r>
        <w:rPr>
          <w:rFonts w:ascii="Times New Roman" w:hAnsi="Times New Roman"/>
          <w:b/>
          <w:i w:val="0"/>
          <w:sz w:val="23"/>
        </w:rPr>
        <w:t>Cross-Attention Computation:</w:t>
      </w:r>
      <w:r>
        <w:rPr>
          <w:rFonts w:ascii="Times New Roman" w:hAnsi="Times New Roman"/>
          <w:b w:val="0"/>
          <w:i w:val="0"/>
          <w:sz w:val="23"/>
        </w:rPr>
        <w:t>Scaled dot-product attention computes the clinical-to-visual synergy:</w:t>
        <w:br/>
        <w:t xml:space="preserve">    \begin{equation}</w:t>
        <w:br/>
        <w:t xml:space="preserve">        \mathbf{A}_{\text{fused}} = \text{Softmax}≤ft( \frac{\mathbf{Q}_{\text{clin}} \mathbf{K}_{\text{vis}}^T}{\sqrt{d_k}} \right) \mathbf{V}_{\text{vis}}</w:t>
        <w:br/>
        <w:t xml:space="preserve">    \end{equation}</w:t>
      </w:r>
    </w:p>
    <w:p>
      <w:pPr>
        <w:spacing w:before="40" w:after="80" w:line="312" w:lineRule="auto"/>
        <w:ind w:left="576"/>
      </w:pPr>
      <w:r>
        <w:rPr>
          <w:rFonts w:ascii="Times New Roman" w:hAnsi="Times New Roman"/>
          <w:b/>
          <w:sz w:val="22"/>
        </w:rPr>
        <w:t xml:space="preserve">4. </w:t>
      </w:r>
      <w:r>
        <w:rPr>
          <w:rFonts w:ascii="Times New Roman" w:hAnsi="Times New Roman"/>
          <w:b/>
          <w:i w:val="0"/>
          <w:sz w:val="23"/>
        </w:rPr>
        <w:t>Residual Gated Output:</w:t>
      </w:r>
      <w:r>
        <w:rPr>
          <w:rFonts w:ascii="Times New Roman" w:hAnsi="Times New Roman"/>
          <w:b w:val="0"/>
          <w:i w:val="0"/>
          <w:sz w:val="23"/>
        </w:rPr>
        <w:t>The attended representation is combined with the original visual representation via a learned residual gate α ∈ [0, 1]:</w:t>
        <w:br/>
        <w:t xml:space="preserve">    \begin{equation}</w:t>
        <w:br/>
        <w:t xml:space="preserve">        \mathbf{z}_{\text{final}} = α \mathbf{A}_{\text{fused}} + (1 - α) \mathbf{W}_{\text{proj}} \mathbf{z}_{\text{visual}}</w:t>
        <w:br/>
        <w:t xml:space="preserve">    \end{equation}</w:t>
      </w:r>
    </w:p>
    <w:p>
      <w:pPr>
        <w:spacing w:before="40" w:after="120" w:line="360" w:lineRule="auto"/>
        <w:jc w:val="both"/>
      </w:pPr>
      <w:r>
        <w:rPr>
          <w:rFonts w:ascii="Times New Roman" w:hAnsi="Times New Roman"/>
          <w:b w:val="0"/>
          <w:i w:val="0"/>
          <w:sz w:val="24"/>
        </w:rPr>
        <w:t>This mechanism ensures that when patient clinical risk is high, the network's attention selectively amplifies subtle visual mucosal abnormalities that might otherwise be dismissed by an image-only model.</w:t>
      </w:r>
    </w:p>
    <w:p>
      <w:pPr>
        <w:spacing w:before="280" w:after="120" w:line="360" w:lineRule="auto"/>
        <w:jc w:val="left"/>
      </w:pPr>
      <w:r>
        <w:rPr>
          <w:rFonts w:ascii="Times New Roman" w:hAnsi="Times New Roman"/>
          <w:b/>
          <w:i w:val="0"/>
          <w:color w:val="0F234B"/>
          <w:sz w:val="28"/>
        </w:rPr>
        <w:t>Reinhard CIELAB Optical Normalization Formulation</w:t>
      </w:r>
    </w:p>
    <w:p>
      <w:pPr>
        <w:spacing w:before="40" w:after="120" w:line="360" w:lineRule="auto"/>
        <w:jc w:val="both"/>
      </w:pPr>
      <w:r>
        <w:rPr>
          <w:rFonts w:ascii="Times New Roman" w:hAnsi="Times New Roman"/>
          <w:b w:val="0"/>
          <w:i w:val="0"/>
          <w:sz w:val="24"/>
        </w:rPr>
        <w:t>Photographic images captured across diverse smartphone camera sensors (Sony IMX, Samsung ISOCELL, Apple Photonic Engine) exhibit dramatic spectral and chromatic variations. To enforce domain invariance, the system implements the</w:t>
      </w:r>
      <w:r>
        <w:rPr>
          <w:rFonts w:ascii="Times New Roman" w:hAnsi="Times New Roman"/>
          <w:b/>
          <w:i w:val="0"/>
          <w:sz w:val="24"/>
        </w:rPr>
        <w:t>Reinhard CIELAB Color Transfer Algorithm</w:t>
      </w:r>
      <w:r>
        <w:rPr>
          <w:rFonts w:ascii="Times New Roman" w:hAnsi="Times New Roman"/>
          <w:b w:val="0"/>
          <w:i w:val="0"/>
          <w:sz w:val="24"/>
        </w:rPr>
        <w:t>(Reinhard et al., 2001 [reinhard2001color]) tailored specifically to oral mucosal vascularity.</w:t>
      </w:r>
    </w:p>
    <w:p>
      <w:pPr>
        <w:spacing w:before="40" w:after="120" w:line="360" w:lineRule="auto"/>
        <w:jc w:val="both"/>
      </w:pPr>
      <w:r>
        <w:rPr>
          <w:rFonts w:ascii="Times New Roman" w:hAnsi="Times New Roman"/>
          <w:b w:val="0"/>
          <w:i w:val="0"/>
          <w:sz w:val="24"/>
        </w:rPr>
        <w:t>The mathematical transformation pipeline executes in four stages:</w:t>
      </w:r>
    </w:p>
    <w:p>
      <w:pPr>
        <w:spacing w:before="40" w:after="80" w:line="312" w:lineRule="auto"/>
        <w:ind w:left="576"/>
      </w:pPr>
      <w:r>
        <w:rPr>
          <w:rFonts w:ascii="Times New Roman" w:hAnsi="Times New Roman"/>
          <w:b/>
          <w:sz w:val="22"/>
        </w:rPr>
        <w:t xml:space="preserve">1. </w:t>
      </w:r>
      <w:r>
        <w:rPr>
          <w:rFonts w:ascii="Times New Roman" w:hAnsi="Times New Roman"/>
          <w:b/>
          <w:i w:val="0"/>
          <w:sz w:val="23"/>
        </w:rPr>
        <w:t>Gamma Linearization of sRGB:</w:t>
      </w:r>
      <w:r>
        <w:rPr>
          <w:rFonts w:ascii="Times New Roman" w:hAnsi="Times New Roman"/>
          <w:b w:val="0"/>
          <w:i w:val="0"/>
          <w:sz w:val="23"/>
        </w:rPr>
        <w:t>\begin{equation}</w:t>
        <w:br/>
        <w:t xml:space="preserve">        C_{\text{linear}} = \begin{cases}</w:t>
        <w:br/>
        <w:t xml:space="preserve">            \frac{C_{\text{srgb}}}{12.92}, &amp; C_{\text{srgb}} ≤ 0.04045 \\</w:t>
        <w:br/>
        <w:t xml:space="preserve">            ≤ft( \frac{C_{\text{srgb}} + 0.055}{1.055} \right)^{2.4}, &amp; C_{\text{srgb}} &gt; 0.04045</w:t>
        <w:br/>
        <w:t xml:space="preserve">        \end{cases}</w:t>
        <w:br/>
        <w:t xml:space="preserve">    \end{equation}</w:t>
      </w:r>
    </w:p>
    <w:p>
      <w:pPr>
        <w:spacing w:before="40" w:after="80" w:line="312" w:lineRule="auto"/>
        <w:ind w:left="576"/>
      </w:pPr>
      <w:r>
        <w:rPr>
          <w:rFonts w:ascii="Times New Roman" w:hAnsi="Times New Roman"/>
          <w:b/>
          <w:sz w:val="22"/>
        </w:rPr>
        <w:t xml:space="preserve">2. </w:t>
      </w:r>
      <w:r>
        <w:rPr>
          <w:rFonts w:ascii="Times New Roman" w:hAnsi="Times New Roman"/>
          <w:b/>
          <w:i w:val="0"/>
          <w:sz w:val="23"/>
        </w:rPr>
        <w:t>Conversion to CIE XYZ with D65 Illuminant:</w:t>
      </w:r>
      <w:r>
        <w:rPr>
          <w:rFonts w:ascii="Times New Roman" w:hAnsi="Times New Roman"/>
          <w:b w:val="0"/>
          <w:i w:val="0"/>
          <w:sz w:val="23"/>
        </w:rPr>
        <w:t>\begin{equation}</w:t>
        <w:br/>
        <w:t xml:space="preserve">        \begin{bmatrix} X \\ Y \\ Z \end{bmatrix} = \begin{bmatrix}</w:t>
        <w:br/>
        <w:t xml:space="preserve">            0.412453 &amp; 0.357580 &amp; 0.180423 \\</w:t>
        <w:br/>
        <w:t xml:space="preserve">            0.212671 &amp; 0.715160 &amp; 0.072169 \\</w:t>
        <w:br/>
        <w:t xml:space="preserve">            0.019334 &amp; 0.119193 &amp; 0.950227</w:t>
        <w:br/>
        <w:t xml:space="preserve">        \end{bmatrix} \begin{bmatrix} R_{\text{linear}} \\ G_{\text{linear}} \\ B_{\text{linear}} \end{bmatrix}</w:t>
        <w:br/>
        <w:t xml:space="preserve">    \end{equation}</w:t>
      </w:r>
    </w:p>
    <w:p>
      <w:pPr>
        <w:spacing w:before="40" w:after="80" w:line="312" w:lineRule="auto"/>
        <w:ind w:left="576"/>
      </w:pPr>
      <w:r>
        <w:rPr>
          <w:rFonts w:ascii="Times New Roman" w:hAnsi="Times New Roman"/>
          <w:b/>
          <w:sz w:val="22"/>
        </w:rPr>
        <w:t xml:space="preserve">3. </w:t>
      </w:r>
      <w:r>
        <w:rPr>
          <w:rFonts w:ascii="Times New Roman" w:hAnsi="Times New Roman"/>
          <w:b/>
          <w:i w:val="0"/>
          <w:sz w:val="23"/>
        </w:rPr>
        <w:t>Non-linear Transformation into CIELAB Space:</w:t>
      </w:r>
      <w:r>
        <w:rPr>
          <w:rFonts w:ascii="Times New Roman" w:hAnsi="Times New Roman"/>
          <w:b w:val="0"/>
          <w:i w:val="0"/>
          <w:sz w:val="23"/>
        </w:rPr>
        <w:t>\begin{align}</w:t>
        <w:br/>
        <w:t xml:space="preserve">        L^* &amp;= 116 f(Y/Y_n) - 16 \\</w:t>
        <w:br/>
        <w:t xml:space="preserve">        a^* &amp;= 500 ≤ft[ f(X/X_n) - f(Y/Y_n) \right] + 128 \\</w:t>
        <w:br/>
        <w:t xml:space="preserve">        b^* &amp;= 200 ≤ft[ f(Y/Y_n) - f(Z/Z_n) \right] + 128</w:t>
        <w:br/>
        <w:t xml:space="preserve">    \end{align}</w:t>
        <w:br/>
        <w:t xml:space="preserve">    where f(t) = t^{1/3} for t &gt; 0.008856, and f(t) = 7.787 t + 16/116 otherwise.</w:t>
      </w:r>
    </w:p>
    <w:p>
      <w:pPr>
        <w:spacing w:before="40" w:after="80" w:line="312" w:lineRule="auto"/>
        <w:ind w:left="576"/>
      </w:pPr>
      <w:r>
        <w:rPr>
          <w:rFonts w:ascii="Times New Roman" w:hAnsi="Times New Roman"/>
          <w:b/>
          <w:sz w:val="22"/>
        </w:rPr>
        <w:t xml:space="preserve">4. </w:t>
      </w:r>
      <w:r>
        <w:rPr>
          <w:rFonts w:ascii="Times New Roman" w:hAnsi="Times New Roman"/>
          <w:b/>
          <w:i w:val="0"/>
          <w:sz w:val="23"/>
        </w:rPr>
        <w:t>Statistical Mucosal Moment Alignment:</w:t>
      </w:r>
      <w:r>
        <w:rPr>
          <w:rFonts w:ascii="Times New Roman" w:hAnsi="Times New Roman"/>
          <w:b w:val="0"/>
          <w:i w:val="0"/>
          <w:sz w:val="23"/>
        </w:rPr>
        <w:t>Each pixel in the source image is centered and scaled against the curated clinical reference distribution:</w:t>
        <w:br/>
        <w:t xml:space="preserve">    \begin{equation}</w:t>
        <w:br/>
        <w:t xml:space="preserve">        L^*_{\text{norm}} = (L^*_{\text{src}} - μ_L^{\text{src}}) ≤ft( \frac{σ_L^{\text{target}}}{σ_L^{\text{src}}} \right) + μ_L^{\text{target}}</w:t>
        <w:br/>
        <w:t xml:space="preserve">    \end{equation}</w:t>
        <w:br/>
        <w:t xml:space="preserve">    \begin{equation}</w:t>
        <w:br/>
        <w:t xml:space="preserve">        a^*_{\text{norm}} = (a^*_{\text{src}} - μ_a^{\text{src}}) ≤ft( \frac{σ_a^{\text{target}}}{σ_a^{\text{src}}} \right) + μ_a^{\text{target}}</w:t>
        <w:br/>
        <w:t xml:space="preserve">    \end{equation}</w:t>
        <w:br/>
        <w:t xml:space="preserve">    \begin{equation}</w:t>
        <w:br/>
        <w:t xml:space="preserve">        b^*_{\text{norm}} = (b^*_{\text{src}} - μ_b^{\text{src}}) ≤ft( \frac{σ_b^{\text{target}}}{σ_b^{\text{src}}} \right) + μ_b^{\text{target}}</w:t>
        <w:br/>
        <w:t xml:space="preserve">    \end{equation}</w:t>
        <w:br/>
        <w:t xml:space="preserve">    where the target parameters derived from multi-center standardized oral photographs are: μ_L = 142.5, σ_L = 32.0; μ_a = 158.2, σ_a = 16.5; μ_b = 134.8, σ_b = 14.2.</w:t>
      </w:r>
    </w:p>
    <w:p>
      <w:pPr>
        <w:spacing w:before="280" w:after="120" w:line="360" w:lineRule="auto"/>
        <w:jc w:val="left"/>
      </w:pPr>
      <w:r>
        <w:rPr>
          <w:rFonts w:ascii="Times New Roman" w:hAnsi="Times New Roman"/>
          <w:b/>
          <w:i w:val="0"/>
          <w:color w:val="0F234B"/>
          <w:sz w:val="28"/>
        </w:rPr>
        <w:t>Database Architecture and Relational Schema Design</w:t>
      </w:r>
    </w:p>
    <w:p>
      <w:pPr>
        <w:spacing w:before="40" w:after="120" w:line="360" w:lineRule="auto"/>
        <w:jc w:val="both"/>
      </w:pPr>
      <w:r>
        <w:rPr>
          <w:rFonts w:ascii="Times New Roman" w:hAnsi="Times New Roman"/>
          <w:b w:val="0"/>
          <w:i w:val="0"/>
          <w:sz w:val="24"/>
        </w:rPr>
        <w:t>The relational data tier of Visionary Diagnostics is engineered around a strict</w:t>
      </w:r>
      <w:r>
        <w:rPr>
          <w:rFonts w:ascii="Times New Roman" w:hAnsi="Times New Roman"/>
          <w:b/>
          <w:i w:val="0"/>
          <w:sz w:val="24"/>
        </w:rPr>
        <w:t>Third Normal Form (3NF)</w:t>
      </w:r>
      <w:r>
        <w:rPr>
          <w:rFonts w:ascii="Times New Roman" w:hAnsi="Times New Roman"/>
          <w:b w:val="0"/>
          <w:i w:val="0"/>
          <w:sz w:val="24"/>
        </w:rPr>
        <w:t>schema designed to ensure absolute transactional consistency, eliminate data redundancy, and maintain immutable clinical auditability. Figure fig:database_erd illustrates the comprehensive Entity-Relationship Diagram (ERD), depicting all core entities, primary key attributes, and foreign key cardinalities.</w:t>
      </w:r>
    </w:p>
    <w:p>
      <w:pPr>
        <w:spacing w:before="160" w:after="80"/>
        <w:jc w:val="center"/>
      </w:pPr>
      <w:r>
        <w:drawing>
          <wp:inline xmlns:a="http://schemas.openxmlformats.org/drawingml/2006/main" xmlns:pic="http://schemas.openxmlformats.org/drawingml/2006/picture">
            <wp:extent cx="5120640" cy="2937421"/>
            <wp:docPr id="9" name="Picture 9"/>
            <wp:cNvGraphicFramePr>
              <a:graphicFrameLocks noChangeAspect="1"/>
            </wp:cNvGraphicFramePr>
            <a:graphic>
              <a:graphicData uri="http://schemas.openxmlformats.org/drawingml/2006/picture">
                <pic:pic>
                  <pic:nvPicPr>
                    <pic:cNvPr id="0" name="database_erd.png"/>
                    <pic:cNvPicPr/>
                  </pic:nvPicPr>
                  <pic:blipFill>
                    <a:blip r:embed="rId19"/>
                    <a:stretch>
                      <a:fillRect/>
                    </a:stretch>
                  </pic:blipFill>
                  <pic:spPr>
                    <a:xfrm>
                      <a:off x="0" y="0"/>
                      <a:ext cx="5120640" cy="2937421"/>
                    </a:xfrm>
                    <a:prstGeom prst="rect"/>
                  </pic:spPr>
                </pic:pic>
              </a:graphicData>
            </a:graphic>
          </wp:inline>
        </w:drawing>
      </w:r>
    </w:p>
    <w:p>
      <w:pPr>
        <w:spacing w:before="40" w:after="200" w:line="360" w:lineRule="auto"/>
        <w:jc w:val="center"/>
      </w:pPr>
      <w:r>
        <w:rPr>
          <w:rFonts w:ascii="Times New Roman" w:hAnsi="Times New Roman"/>
          <w:b w:val="0"/>
          <w:i/>
          <w:color w:val="0A2D5A"/>
          <w:sz w:val="21"/>
        </w:rPr>
        <w:t>Figure: Entity-Relationship Diagram (ERD) of Relational Database Schema with Foreign Key Cardinalities</w:t>
      </w:r>
    </w:p>
    <w:p>
      <w:pPr>
        <w:spacing w:before="40" w:after="120" w:line="360" w:lineRule="auto"/>
        <w:jc w:val="both"/>
      </w:pPr>
      <w:r>
        <w:rPr>
          <w:rFonts w:ascii="Times New Roman" w:hAnsi="Times New Roman"/>
          <w:b w:val="0"/>
          <w:i w:val="0"/>
          <w:sz w:val="24"/>
        </w:rPr>
        <w:t>Rather than fragmenting the database design across multiple disconnected tables, the physical relational architecture is structured around four primary interconnected domain entities:</w:t>
      </w:r>
    </w:p>
    <w:p>
      <w:pPr>
        <w:spacing w:before="40" w:after="80" w:line="312" w:lineRule="auto"/>
        <w:ind w:left="576"/>
      </w:pPr>
      <w:r>
        <w:rPr>
          <w:rFonts w:ascii="Times New Roman" w:hAnsi="Times New Roman"/>
          <w:b/>
          <w:sz w:val="22"/>
        </w:rPr>
        <w:t xml:space="preserve">1. </w:t>
      </w:r>
      <w:r>
        <w:rPr>
          <w:rFonts w:ascii="Times New Roman" w:hAnsi="Times New Roman"/>
          <w:b/>
          <w:i w:val="0"/>
          <w:sz w:val="23"/>
        </w:rPr>
        <w:t>Healthcare User and Security Entity (\texttt{users</w:t>
      </w:r>
      <w:r>
        <w:rPr>
          <w:rFonts w:ascii="Times New Roman" w:hAnsi="Times New Roman"/>
          <w:b w:val="0"/>
          <w:i w:val="0"/>
          <w:sz w:val="23"/>
        </w:rPr>
        <w:t>):} \\</w:t>
        <w:br/>
        <w:t xml:space="preserve">    The</w:t>
      </w:r>
      <w:r>
        <w:rPr>
          <w:rFonts w:ascii="Consolas" w:hAnsi="Consolas"/>
          <w:color w:val="1E1E1E"/>
          <w:sz w:val="21"/>
        </w:rPr>
        <w:t>users</w:t>
      </w:r>
      <w:r>
        <w:rPr>
          <w:rFonts w:ascii="Times New Roman" w:hAnsi="Times New Roman"/>
          <w:b w:val="0"/>
          <w:i w:val="0"/>
          <w:sz w:val="23"/>
        </w:rPr>
        <w:t>entity serves as the root authentication and authorization anchor. It maintains the practitioner's unique system identifier (</w:t>
      </w:r>
      <w:r>
        <w:rPr>
          <w:rFonts w:ascii="Consolas" w:hAnsi="Consolas"/>
          <w:color w:val="1E1E1E"/>
          <w:sz w:val="21"/>
        </w:rPr>
        <w:t>id</w:t>
      </w:r>
      <w:r>
        <w:rPr>
          <w:rFonts w:ascii="Times New Roman" w:hAnsi="Times New Roman"/>
          <w:b w:val="0"/>
          <w:i w:val="0"/>
          <w:sz w:val="23"/>
        </w:rPr>
        <w:t>, Integer PK), registered email address (</w:t>
      </w:r>
      <w:r>
        <w:rPr>
          <w:rFonts w:ascii="Consolas" w:hAnsi="Consolas"/>
          <w:color w:val="1E1E1E"/>
          <w:sz w:val="21"/>
        </w:rPr>
        <w:t>email</w:t>
      </w:r>
      <w:r>
        <w:rPr>
          <w:rFonts w:ascii="Times New Roman" w:hAnsi="Times New Roman"/>
          <w:b w:val="0"/>
          <w:i w:val="0"/>
          <w:sz w:val="23"/>
        </w:rPr>
        <w:t>, VARCHAR 255, indexed and unique), full legal name, role classification (</w:t>
      </w:r>
      <w:r>
        <w:rPr>
          <w:rFonts w:ascii="Consolas" w:hAnsi="Consolas"/>
          <w:color w:val="1E1E1E"/>
          <w:sz w:val="21"/>
        </w:rPr>
        <w:t>role</w:t>
      </w:r>
      <w:r>
        <w:rPr>
          <w:rFonts w:ascii="Times New Roman" w:hAnsi="Times New Roman"/>
          <w:b w:val="0"/>
          <w:i w:val="0"/>
          <w:sz w:val="23"/>
        </w:rPr>
        <w:t>, VARCHAR 50, supporting</w:t>
      </w:r>
      <w:r>
        <w:rPr>
          <w:rFonts w:ascii="Consolas" w:hAnsi="Consolas"/>
          <w:color w:val="1E1E1E"/>
          <w:sz w:val="21"/>
        </w:rPr>
        <w:t>admin</w:t>
      </w:r>
      <w:r>
        <w:rPr>
          <w:rFonts w:ascii="Times New Roman" w:hAnsi="Times New Roman"/>
          <w:b w:val="0"/>
          <w:i w:val="0"/>
          <w:sz w:val="23"/>
        </w:rPr>
        <w:t>,</w:t>
      </w:r>
      <w:r>
        <w:rPr>
          <w:rFonts w:ascii="Consolas" w:hAnsi="Consolas"/>
          <w:color w:val="1E1E1E"/>
          <w:sz w:val="21"/>
        </w:rPr>
        <w:t>clinician</w:t>
      </w:r>
      <w:r>
        <w:rPr>
          <w:rFonts w:ascii="Times New Roman" w:hAnsi="Times New Roman"/>
          <w:b w:val="0"/>
          <w:i w:val="0"/>
          <w:sz w:val="23"/>
        </w:rPr>
        <w:t>, and</w:t>
      </w:r>
      <w:r>
        <w:rPr>
          <w:rFonts w:ascii="Consolas" w:hAnsi="Consolas"/>
          <w:color w:val="1E1E1E"/>
          <w:sz w:val="21"/>
        </w:rPr>
        <w:t>field_worker</w:t>
      </w:r>
      <w:r>
        <w:rPr>
          <w:rFonts w:ascii="Times New Roman" w:hAnsi="Times New Roman"/>
          <w:b w:val="0"/>
          <w:i w:val="0"/>
          <w:sz w:val="23"/>
        </w:rPr>
        <w:t>), account status flag (</w:t>
      </w:r>
      <w:r>
        <w:rPr>
          <w:rFonts w:ascii="Consolas" w:hAnsi="Consolas"/>
          <w:color w:val="1E1E1E"/>
          <w:sz w:val="21"/>
        </w:rPr>
        <w:t>is_active</w:t>
      </w:r>
      <w:r>
        <w:rPr>
          <w:rFonts w:ascii="Times New Roman" w:hAnsi="Times New Roman"/>
          <w:b w:val="0"/>
          <w:i w:val="0"/>
          <w:sz w:val="23"/>
        </w:rPr>
        <w:t>, Boolean), and UTC account creation timestamp. To comply with NIST SP 800-132 security standards, raw user passwords are never stored; instead, credentials are encrypted as salted digests (</w:t>
      </w:r>
      <w:r>
        <w:rPr>
          <w:rFonts w:ascii="Consolas" w:hAnsi="Consolas"/>
          <w:color w:val="1E1E1E"/>
          <w:sz w:val="21"/>
        </w:rPr>
        <w:t>hashed_password</w:t>
      </w:r>
      <w:r>
        <w:rPr>
          <w:rFonts w:ascii="Times New Roman" w:hAnsi="Times New Roman"/>
          <w:b w:val="0"/>
          <w:i w:val="0"/>
          <w:sz w:val="23"/>
        </w:rPr>
        <w:t>, VARCHAR 255) generated via PBKDF2-HMAC-SHA256 utilizing 600,000 hash iterations and cryptographically unique per-user 128-bit salts.</w:t>
      </w:r>
    </w:p>
    <w:p>
      <w:pPr>
        <w:spacing w:before="40" w:after="80" w:line="312" w:lineRule="auto"/>
        <w:ind w:left="576"/>
      </w:pPr>
      <w:r>
        <w:rPr>
          <w:rFonts w:ascii="Times New Roman" w:hAnsi="Times New Roman"/>
          <w:b/>
          <w:sz w:val="22"/>
        </w:rPr>
        <w:t xml:space="preserve">2. </w:t>
      </w:r>
      <w:r>
        <w:rPr>
          <w:rFonts w:ascii="Times New Roman" w:hAnsi="Times New Roman"/>
          <w:b/>
          <w:i w:val="0"/>
          <w:sz w:val="23"/>
        </w:rPr>
        <w:t>Clinical Diagnostic Screening Session Entity (\texttt{analyses</w:t>
      </w:r>
      <w:r>
        <w:rPr>
          <w:rFonts w:ascii="Times New Roman" w:hAnsi="Times New Roman"/>
          <w:b w:val="0"/>
          <w:i w:val="0"/>
          <w:sz w:val="23"/>
        </w:rPr>
        <w:t>):} \\</w:t>
        <w:br/>
        <w:t xml:space="preserve">    The</w:t>
      </w:r>
      <w:r>
        <w:rPr>
          <w:rFonts w:ascii="Consolas" w:hAnsi="Consolas"/>
          <w:color w:val="1E1E1E"/>
          <w:sz w:val="21"/>
        </w:rPr>
        <w:t>analyses</w:t>
      </w:r>
      <w:r>
        <w:rPr>
          <w:rFonts w:ascii="Times New Roman" w:hAnsi="Times New Roman"/>
          <w:b w:val="0"/>
          <w:i w:val="0"/>
          <w:sz w:val="23"/>
        </w:rPr>
        <w:t>entity constitutes the immutable clinical diagnostic ledger. Each record represents a single end-to-end oral screening event linked to the conducting healthcare provider via a foreign key relationship (</w:t>
      </w:r>
      <w:r>
        <w:rPr>
          <w:rFonts w:ascii="Consolas" w:hAnsi="Consolas"/>
          <w:color w:val="1E1E1E"/>
          <w:sz w:val="21"/>
        </w:rPr>
        <w:t>user_id</w:t>
      </w:r>
      <w:r>
        <w:rPr>
          <w:rFonts w:ascii="Times New Roman" w:hAnsi="Times New Roman"/>
          <w:b w:val="0"/>
          <w:i w:val="0"/>
          <w:sz w:val="23"/>
        </w:rPr>
        <w:t>→</w:t>
      </w:r>
      <w:r>
        <w:rPr>
          <w:rFonts w:ascii="Consolas" w:hAnsi="Consolas"/>
          <w:color w:val="1E1E1E"/>
          <w:sz w:val="21"/>
        </w:rPr>
        <w:t>users.id</w:t>
      </w:r>
      <w:r>
        <w:rPr>
          <w:rFonts w:ascii="Times New Roman" w:hAnsi="Times New Roman"/>
          <w:b w:val="0"/>
          <w:i w:val="0"/>
          <w:sz w:val="23"/>
        </w:rPr>
        <w:t>). To ensure strict patient confidentiality under HIPAA Safe Harbor rules, direct patient names are replaced by an irreversible synthetic pseudonym (</w:t>
      </w:r>
      <w:r>
        <w:rPr>
          <w:rFonts w:ascii="Consolas" w:hAnsi="Consolas"/>
          <w:color w:val="1E1E1E"/>
          <w:sz w:val="21"/>
        </w:rPr>
        <w:t>patient_identifier</w:t>
      </w:r>
      <w:r>
        <w:rPr>
          <w:rFonts w:ascii="Times New Roman" w:hAnsi="Times New Roman"/>
          <w:b w:val="0"/>
          <w:i w:val="0"/>
          <w:sz w:val="23"/>
        </w:rPr>
        <w:t>, VARCHAR 64, indexed). The entity preserves the comprehensive telemetry generated by the AI inference engine:</w:t>
      </w:r>
    </w:p>
    <w:p>
      <w:pPr>
        <w:spacing w:before="40" w:after="80" w:line="312" w:lineRule="auto"/>
        <w:ind w:left="576"/>
      </w:pPr>
      <w:r>
        <w:rPr>
          <w:rFonts w:ascii="Times New Roman" w:hAnsi="Times New Roman"/>
          <w:b/>
          <w:sz w:val="22"/>
        </w:rPr>
        <w:t xml:space="preserve">3. </w:t>
      </w:r>
      <w:r>
        <w:rPr>
          <w:rFonts w:ascii="Times New Roman" w:hAnsi="Times New Roman"/>
          <w:b w:val="0"/>
          <w:i w:val="0"/>
          <w:sz w:val="23"/>
        </w:rPr>
        <w:t>Categorical diagnostic verdict (</w:t>
      </w:r>
      <w:r>
        <w:rPr>
          <w:rFonts w:ascii="Consolas" w:hAnsi="Consolas"/>
          <w:color w:val="1E1E1E"/>
          <w:sz w:val="21"/>
        </w:rPr>
        <w:t>prediction</w:t>
      </w:r>
      <w:r>
        <w:rPr>
          <w:rFonts w:ascii="Times New Roman" w:hAnsi="Times New Roman"/>
          <w:b w:val="0"/>
          <w:i w:val="0"/>
          <w:sz w:val="23"/>
        </w:rPr>
        <w:t>:</w:t>
      </w:r>
      <w:r>
        <w:rPr>
          <w:rFonts w:ascii="Consolas" w:hAnsi="Consolas"/>
          <w:color w:val="1E1E1E"/>
          <w:sz w:val="21"/>
        </w:rPr>
        <w:t>Cancer</w:t>
      </w:r>
      <w:r>
        <w:rPr>
          <w:rFonts w:ascii="Times New Roman" w:hAnsi="Times New Roman"/>
          <w:b w:val="0"/>
          <w:i w:val="0"/>
          <w:sz w:val="23"/>
        </w:rPr>
        <w:t>,</w:t>
      </w:r>
      <w:r>
        <w:rPr>
          <w:rFonts w:ascii="Consolas" w:hAnsi="Consolas"/>
          <w:color w:val="1E1E1E"/>
          <w:sz w:val="21"/>
        </w:rPr>
        <w:t>Non-Cancer</w:t>
      </w:r>
      <w:r>
        <w:rPr>
          <w:rFonts w:ascii="Times New Roman" w:hAnsi="Times New Roman"/>
          <w:b w:val="0"/>
          <w:i w:val="0"/>
          <w:sz w:val="23"/>
        </w:rPr>
        <w:t>, or</w:t>
      </w:r>
      <w:r>
        <w:rPr>
          <w:rFonts w:ascii="Consolas" w:hAnsi="Consolas"/>
          <w:color w:val="1E1E1E"/>
          <w:sz w:val="21"/>
        </w:rPr>
        <w:t>Uncertain</w:t>
      </w:r>
      <w:r>
        <w:rPr>
          <w:rFonts w:ascii="Times New Roman" w:hAnsi="Times New Roman"/>
          <w:b w:val="0"/>
          <w:i w:val="0"/>
          <w:sz w:val="23"/>
        </w:rPr>
        <w:t>);</w:t>
      </w:r>
    </w:p>
    <w:p>
      <w:pPr>
        <w:spacing w:before="40" w:after="80" w:line="312" w:lineRule="auto"/>
        <w:ind w:left="576"/>
      </w:pPr>
      <w:r>
        <w:rPr>
          <w:rFonts w:ascii="Times New Roman" w:hAnsi="Times New Roman"/>
          <w:b/>
          <w:sz w:val="22"/>
        </w:rPr>
        <w:t xml:space="preserve">4. </w:t>
      </w:r>
      <w:r>
        <w:rPr>
          <w:rFonts w:ascii="Times New Roman" w:hAnsi="Times New Roman"/>
          <w:b w:val="0"/>
          <w:i w:val="0"/>
          <w:sz w:val="23"/>
        </w:rPr>
        <w:t>Calibrated posterior confidence score (</w:t>
      </w:r>
      <w:r>
        <w:rPr>
          <w:rFonts w:ascii="Consolas" w:hAnsi="Consolas"/>
          <w:color w:val="1E1E1E"/>
          <w:sz w:val="21"/>
        </w:rPr>
        <w:t>confidence</w:t>
      </w:r>
      <w:r>
        <w:rPr>
          <w:rFonts w:ascii="Times New Roman" w:hAnsi="Times New Roman"/>
          <w:b w:val="0"/>
          <w:i w:val="0"/>
          <w:sz w:val="23"/>
        </w:rPr>
        <w:t>, Float in [0.0, 1.0]);</w:t>
      </w:r>
    </w:p>
    <w:p>
      <w:pPr>
        <w:spacing w:before="40" w:after="80" w:line="312" w:lineRule="auto"/>
        <w:ind w:left="576"/>
      </w:pPr>
      <w:r>
        <w:rPr>
          <w:rFonts w:ascii="Times New Roman" w:hAnsi="Times New Roman"/>
          <w:b/>
          <w:sz w:val="22"/>
        </w:rPr>
        <w:t xml:space="preserve">5. </w:t>
      </w:r>
      <w:r>
        <w:rPr>
          <w:rFonts w:ascii="Times New Roman" w:hAnsi="Times New Roman"/>
          <w:b w:val="0"/>
          <w:i w:val="0"/>
          <w:sz w:val="23"/>
        </w:rPr>
        <w:t>Predictive epistemic variance (</w:t>
      </w:r>
      <w:r>
        <w:rPr>
          <w:rFonts w:ascii="Consolas" w:hAnsi="Consolas"/>
          <w:color w:val="1E1E1E"/>
          <w:sz w:val="21"/>
        </w:rPr>
        <w:t>epistemic_uncertainty</w:t>
      </w:r>
      <w:r>
        <w:rPr>
          <w:rFonts w:ascii="Times New Roman" w:hAnsi="Times New Roman"/>
          <w:b w:val="0"/>
          <w:i w:val="0"/>
          <w:sz w:val="23"/>
        </w:rPr>
        <w:t>, Float σ^2 across 15 Monte Carlo Dropout iterations);</w:t>
      </w:r>
    </w:p>
    <w:p>
      <w:pPr>
        <w:spacing w:before="40" w:after="80" w:line="312" w:lineRule="auto"/>
        <w:ind w:left="576"/>
      </w:pPr>
      <w:r>
        <w:rPr>
          <w:rFonts w:ascii="Times New Roman" w:hAnsi="Times New Roman"/>
          <w:b/>
          <w:sz w:val="22"/>
        </w:rPr>
        <w:t xml:space="preserve">6. </w:t>
      </w:r>
      <w:r>
        <w:rPr>
          <w:rFonts w:ascii="Times New Roman" w:hAnsi="Times New Roman"/>
          <w:b w:val="0"/>
          <w:i w:val="0"/>
          <w:sz w:val="23"/>
        </w:rPr>
        <w:t>Multimodal epidemiological risk score (</w:t>
      </w:r>
      <w:r>
        <w:rPr>
          <w:rFonts w:ascii="Consolas" w:hAnsi="Consolas"/>
          <w:color w:val="1E1E1E"/>
          <w:sz w:val="21"/>
        </w:rPr>
        <w:t>clinical_risk_score</w:t>
      </w:r>
      <w:r>
        <w:rPr>
          <w:rFonts w:ascii="Times New Roman" w:hAnsi="Times New Roman"/>
          <w:b w:val="0"/>
          <w:i w:val="0"/>
          <w:sz w:val="23"/>
        </w:rPr>
        <w:t>, Float percentage);</w:t>
      </w:r>
    </w:p>
    <w:p>
      <w:pPr>
        <w:spacing w:before="40" w:after="80" w:line="312" w:lineRule="auto"/>
        <w:ind w:left="576"/>
      </w:pPr>
      <w:r>
        <w:rPr>
          <w:rFonts w:ascii="Times New Roman" w:hAnsi="Times New Roman"/>
          <w:b/>
          <w:sz w:val="22"/>
        </w:rPr>
        <w:t xml:space="preserve">7. </w:t>
      </w:r>
      <w:r>
        <w:rPr>
          <w:rFonts w:ascii="Times New Roman" w:hAnsi="Times New Roman"/>
          <w:b w:val="0"/>
          <w:i w:val="0"/>
          <w:sz w:val="23"/>
        </w:rPr>
        <w:t>Documented anatomical oral cavity site (</w:t>
      </w:r>
      <w:r>
        <w:rPr>
          <w:rFonts w:ascii="Consolas" w:hAnsi="Consolas"/>
          <w:color w:val="1E1E1E"/>
          <w:sz w:val="21"/>
        </w:rPr>
        <w:t>lesion_site</w:t>
      </w:r>
      <w:r>
        <w:rPr>
          <w:rFonts w:ascii="Times New Roman" w:hAnsi="Times New Roman"/>
          <w:b w:val="0"/>
          <w:i w:val="0"/>
          <w:sz w:val="23"/>
        </w:rPr>
        <w:t>, VARCHAR 100, e.g., buccal mucosa, tongue lateral border, hard palate);</w:t>
      </w:r>
    </w:p>
    <w:p>
      <w:pPr>
        <w:spacing w:before="40" w:after="80" w:line="312" w:lineRule="auto"/>
        <w:ind w:left="576"/>
      </w:pPr>
      <w:r>
        <w:rPr>
          <w:rFonts w:ascii="Times New Roman" w:hAnsi="Times New Roman"/>
          <w:b/>
          <w:sz w:val="22"/>
        </w:rPr>
        <w:t xml:space="preserve">8. </w:t>
      </w:r>
      <w:r>
        <w:rPr>
          <w:rFonts w:ascii="Times New Roman" w:hAnsi="Times New Roman"/>
          <w:b w:val="0"/>
          <w:i w:val="0"/>
          <w:sz w:val="23"/>
        </w:rPr>
        <w:t>Automated image quality score (</w:t>
      </w:r>
      <w:r>
        <w:rPr>
          <w:rFonts w:ascii="Consolas" w:hAnsi="Consolas"/>
          <w:color w:val="1E1E1E"/>
          <w:sz w:val="21"/>
        </w:rPr>
        <w:t>image_quality_score</w:t>
      </w:r>
      <w:r>
        <w:rPr>
          <w:rFonts w:ascii="Times New Roman" w:hAnsi="Times New Roman"/>
          <w:b w:val="0"/>
          <w:i w:val="0"/>
          <w:sz w:val="23"/>
        </w:rPr>
        <w:t>, Float, recording the discrete Laplacian sharpness variance).</w:t>
      </w:r>
    </w:p>
    <w:p>
      <w:pPr>
        <w:spacing w:before="40" w:after="80" w:line="312" w:lineRule="auto"/>
        <w:ind w:left="576"/>
      </w:pPr>
      <w:r>
        <w:rPr>
          <w:rFonts w:ascii="Times New Roman" w:hAnsi="Times New Roman"/>
          <w:b/>
          <w:sz w:val="22"/>
        </w:rPr>
        <w:t xml:space="preserve">9. </w:t>
      </w:r>
      <w:r>
        <w:rPr>
          <w:rFonts w:ascii="Times New Roman" w:hAnsi="Times New Roman"/>
          <w:b/>
          <w:i w:val="0"/>
          <w:sz w:val="23"/>
        </w:rPr>
        <w:t>Epidemiological Patient Profile Entity (\texttt{patient_profiles</w:t>
      </w:r>
      <w:r>
        <w:rPr>
          <w:rFonts w:ascii="Times New Roman" w:hAnsi="Times New Roman"/>
          <w:b w:val="0"/>
          <w:i w:val="0"/>
          <w:sz w:val="23"/>
        </w:rPr>
        <w:t>):} \\</w:t>
        <w:br/>
        <w:t xml:space="preserve">    The</w:t>
      </w:r>
      <w:r>
        <w:rPr>
          <w:rFonts w:ascii="Consolas" w:hAnsi="Consolas"/>
          <w:color w:val="1E1E1E"/>
          <w:sz w:val="21"/>
        </w:rPr>
        <w:t>patient_profiles</w:t>
      </w:r>
      <w:r>
        <w:rPr>
          <w:rFonts w:ascii="Times New Roman" w:hAnsi="Times New Roman"/>
          <w:b w:val="0"/>
          <w:i w:val="0"/>
          <w:sz w:val="23"/>
        </w:rPr>
        <w:t>entity maintains a strict 1-to-1 cardinality with the</w:t>
      </w:r>
      <w:r>
        <w:rPr>
          <w:rFonts w:ascii="Consolas" w:hAnsi="Consolas"/>
          <w:color w:val="1E1E1E"/>
          <w:sz w:val="21"/>
        </w:rPr>
        <w:t>analyses</w:t>
      </w:r>
      <w:r>
        <w:rPr>
          <w:rFonts w:ascii="Times New Roman" w:hAnsi="Times New Roman"/>
          <w:b w:val="0"/>
          <w:i w:val="0"/>
          <w:sz w:val="23"/>
        </w:rPr>
        <w:t>record via a unique foreign key constraint (</w:t>
      </w:r>
      <w:r>
        <w:rPr>
          <w:rFonts w:ascii="Consolas" w:hAnsi="Consolas"/>
          <w:color w:val="1E1E1E"/>
          <w:sz w:val="21"/>
        </w:rPr>
        <w:t>analysis_id</w:t>
      </w:r>
      <w:r>
        <w:rPr>
          <w:rFonts w:ascii="Times New Roman" w:hAnsi="Times New Roman"/>
          <w:b w:val="0"/>
          <w:i w:val="0"/>
          <w:sz w:val="23"/>
        </w:rPr>
        <w:t>→</w:t>
      </w:r>
      <w:r>
        <w:rPr>
          <w:rFonts w:ascii="Consolas" w:hAnsi="Consolas"/>
          <w:color w:val="1E1E1E"/>
          <w:sz w:val="21"/>
        </w:rPr>
        <w:t>analyses.id</w:t>
      </w:r>
      <w:r>
        <w:rPr>
          <w:rFonts w:ascii="Times New Roman" w:hAnsi="Times New Roman"/>
          <w:b w:val="0"/>
          <w:i w:val="0"/>
          <w:sz w:val="23"/>
        </w:rPr>
        <w:t>). This entity encapsulates the patient's demographic and behavioral risk factors: chronological age (</w:t>
      </w:r>
      <w:r>
        <w:rPr>
          <w:rFonts w:ascii="Consolas" w:hAnsi="Consolas"/>
          <w:color w:val="1E1E1E"/>
          <w:sz w:val="21"/>
        </w:rPr>
        <w:t>age</w:t>
      </w:r>
      <w:r>
        <w:rPr>
          <w:rFonts w:ascii="Times New Roman" w:hAnsi="Times New Roman"/>
          <w:b w:val="0"/>
          <w:i w:val="0"/>
          <w:sz w:val="23"/>
        </w:rPr>
        <w:t>, Integer), binary indicators for smokeless or smoking tobacco consumption (</w:t>
      </w:r>
      <w:r>
        <w:rPr>
          <w:rFonts w:ascii="Consolas" w:hAnsi="Consolas"/>
          <w:color w:val="1E1E1E"/>
          <w:sz w:val="21"/>
        </w:rPr>
        <w:t>tobacco_user</w:t>
      </w:r>
      <w:r>
        <w:rPr>
          <w:rFonts w:ascii="Times New Roman" w:hAnsi="Times New Roman"/>
          <w:b w:val="0"/>
          <w:i w:val="0"/>
          <w:sz w:val="23"/>
        </w:rPr>
        <w:t>), betel quid or areca nut chewing habits (</w:t>
      </w:r>
      <w:r>
        <w:rPr>
          <w:rFonts w:ascii="Consolas" w:hAnsi="Consolas"/>
          <w:color w:val="1E1E1E"/>
          <w:sz w:val="21"/>
        </w:rPr>
        <w:t>betel_nut_user</w:t>
      </w:r>
      <w:r>
        <w:rPr>
          <w:rFonts w:ascii="Times New Roman" w:hAnsi="Times New Roman"/>
          <w:b w:val="0"/>
          <w:i w:val="0"/>
          <w:sz w:val="23"/>
        </w:rPr>
        <w:t>), chronic alcohol consumption (</w:t>
      </w:r>
      <w:r>
        <w:rPr>
          <w:rFonts w:ascii="Consolas" w:hAnsi="Consolas"/>
          <w:color w:val="1E1E1E"/>
          <w:sz w:val="21"/>
        </w:rPr>
        <w:t>alcohol_user</w:t>
      </w:r>
      <w:r>
        <w:rPr>
          <w:rFonts w:ascii="Times New Roman" w:hAnsi="Times New Roman"/>
          <w:b w:val="0"/>
          <w:i w:val="0"/>
          <w:sz w:val="23"/>
        </w:rPr>
        <w:t>), and past documented clinical history of precancerous oral potentially malignant disorders (</w:t>
      </w:r>
      <w:r>
        <w:rPr>
          <w:rFonts w:ascii="Consolas" w:hAnsi="Consolas"/>
          <w:color w:val="1E1E1E"/>
          <w:sz w:val="21"/>
        </w:rPr>
        <w:t>prior_lesion_history</w:t>
      </w:r>
      <w:r>
        <w:rPr>
          <w:rFonts w:ascii="Times New Roman" w:hAnsi="Times New Roman"/>
          <w:b w:val="0"/>
          <w:i w:val="0"/>
          <w:sz w:val="23"/>
        </w:rPr>
        <w:t>). This structural decoupling preserves normalization while allowing granular epidemiology auditing.</w:t>
      </w:r>
    </w:p>
    <w:p>
      <w:pPr>
        <w:spacing w:before="40" w:after="80" w:line="312" w:lineRule="auto"/>
        <w:ind w:left="576"/>
      </w:pPr>
      <w:r>
        <w:rPr>
          <w:rFonts w:ascii="Times New Roman" w:hAnsi="Times New Roman"/>
          <w:b/>
          <w:sz w:val="22"/>
        </w:rPr>
        <w:t xml:space="preserve">10. </w:t>
      </w:r>
      <w:r>
        <w:rPr>
          <w:rFonts w:ascii="Times New Roman" w:hAnsi="Times New Roman"/>
          <w:b/>
          <w:i w:val="0"/>
          <w:sz w:val="23"/>
        </w:rPr>
        <w:t>Specialist Triage and Tele-Oncology Referral Entity (\texttt{referrals</w:t>
      </w:r>
      <w:r>
        <w:rPr>
          <w:rFonts w:ascii="Times New Roman" w:hAnsi="Times New Roman"/>
          <w:b w:val="0"/>
          <w:i w:val="0"/>
          <w:sz w:val="23"/>
        </w:rPr>
        <w:t>):} \\</w:t>
        <w:br/>
        <w:t xml:space="preserve">    The</w:t>
      </w:r>
      <w:r>
        <w:rPr>
          <w:rFonts w:ascii="Consolas" w:hAnsi="Consolas"/>
          <w:color w:val="1E1E1E"/>
          <w:sz w:val="21"/>
        </w:rPr>
        <w:t>referrals</w:t>
      </w:r>
      <w:r>
        <w:rPr>
          <w:rFonts w:ascii="Times New Roman" w:hAnsi="Times New Roman"/>
          <w:b w:val="0"/>
          <w:i w:val="0"/>
          <w:sz w:val="23"/>
        </w:rPr>
        <w:t>entity manages downstream clinical escalation for patients exhibiting suspicious mucosal neoplasms or elevated epistemic uncertainty. Linked to the source screening session via foreign key (</w:t>
      </w:r>
      <w:r>
        <w:rPr>
          <w:rFonts w:ascii="Consolas" w:hAnsi="Consolas"/>
          <w:color w:val="1E1E1E"/>
          <w:sz w:val="21"/>
        </w:rPr>
        <w:t>analysis_id</w:t>
      </w:r>
      <w:r>
        <w:rPr>
          <w:rFonts w:ascii="Times New Roman" w:hAnsi="Times New Roman"/>
          <w:b w:val="0"/>
          <w:i w:val="0"/>
          <w:sz w:val="23"/>
        </w:rPr>
        <w:t>→</w:t>
      </w:r>
      <w:r>
        <w:rPr>
          <w:rFonts w:ascii="Consolas" w:hAnsi="Consolas"/>
          <w:color w:val="1E1E1E"/>
          <w:sz w:val="21"/>
        </w:rPr>
        <w:t>analyses.id</w:t>
      </w:r>
      <w:r>
        <w:rPr>
          <w:rFonts w:ascii="Times New Roman" w:hAnsi="Times New Roman"/>
          <w:b w:val="0"/>
          <w:i w:val="0"/>
          <w:sz w:val="23"/>
        </w:rPr>
        <w:t>), this entity manages the clinical triage state machine through its status descriptor (</w:t>
      </w:r>
      <w:r>
        <w:rPr>
          <w:rFonts w:ascii="Consolas" w:hAnsi="Consolas"/>
          <w:color w:val="1E1E1E"/>
          <w:sz w:val="21"/>
        </w:rPr>
        <w:t>status</w:t>
      </w:r>
      <w:r>
        <w:rPr>
          <w:rFonts w:ascii="Times New Roman" w:hAnsi="Times New Roman"/>
          <w:b w:val="0"/>
          <w:i w:val="0"/>
          <w:sz w:val="23"/>
        </w:rPr>
        <w:t>, defaulting to</w:t>
      </w:r>
      <w:r>
        <w:rPr>
          <w:rFonts w:ascii="Consolas" w:hAnsi="Consolas"/>
          <w:color w:val="1E1E1E"/>
          <w:sz w:val="21"/>
        </w:rPr>
        <w:t>PENDING</w:t>
      </w:r>
      <w:r>
        <w:rPr>
          <w:rFonts w:ascii="Times New Roman" w:hAnsi="Times New Roman"/>
          <w:b w:val="0"/>
          <w:i w:val="0"/>
          <w:sz w:val="23"/>
        </w:rPr>
        <w:t>, and transitioning to</w:t>
      </w:r>
      <w:r>
        <w:rPr>
          <w:rFonts w:ascii="Consolas" w:hAnsi="Consolas"/>
          <w:color w:val="1E1E1E"/>
          <w:sz w:val="21"/>
        </w:rPr>
        <w:t>ACCEPTED</w:t>
      </w:r>
      <w:r>
        <w:rPr>
          <w:rFonts w:ascii="Times New Roman" w:hAnsi="Times New Roman"/>
          <w:b w:val="0"/>
          <w:i w:val="0"/>
          <w:sz w:val="23"/>
        </w:rPr>
        <w:t>or</w:t>
      </w:r>
      <w:r>
        <w:rPr>
          <w:rFonts w:ascii="Consolas" w:hAnsi="Consolas"/>
          <w:color w:val="1E1E1E"/>
          <w:sz w:val="21"/>
        </w:rPr>
        <w:t>COMPLETED</w:t>
      </w:r>
      <w:r>
        <w:rPr>
          <w:rFonts w:ascii="Times New Roman" w:hAnsi="Times New Roman"/>
          <w:b w:val="0"/>
          <w:i w:val="0"/>
          <w:sz w:val="23"/>
        </w:rPr>
        <w:t>). It records the assigned urgency classification (</w:t>
      </w:r>
      <w:r>
        <w:rPr>
          <w:rFonts w:ascii="Consolas" w:hAnsi="Consolas"/>
          <w:color w:val="1E1E1E"/>
          <w:sz w:val="21"/>
        </w:rPr>
        <w:t>urgency_tier</w:t>
      </w:r>
      <w:r>
        <w:rPr>
          <w:rFonts w:ascii="Times New Roman" w:hAnsi="Times New Roman"/>
          <w:b w:val="0"/>
          <w:i w:val="0"/>
          <w:sz w:val="23"/>
        </w:rPr>
        <w:t>:</w:t>
      </w:r>
      <w:r>
        <w:rPr>
          <w:rFonts w:ascii="Consolas" w:hAnsi="Consolas"/>
          <w:color w:val="1E1E1E"/>
          <w:sz w:val="21"/>
        </w:rPr>
        <w:t>ROUTINE</w:t>
      </w:r>
      <w:r>
        <w:rPr>
          <w:rFonts w:ascii="Times New Roman" w:hAnsi="Times New Roman"/>
          <w:b w:val="0"/>
          <w:i w:val="0"/>
          <w:sz w:val="23"/>
        </w:rPr>
        <w:t>,</w:t>
      </w:r>
      <w:r>
        <w:rPr>
          <w:rFonts w:ascii="Consolas" w:hAnsi="Consolas"/>
          <w:color w:val="1E1E1E"/>
          <w:sz w:val="21"/>
        </w:rPr>
        <w:t>MONITOR</w:t>
      </w:r>
      <w:r>
        <w:rPr>
          <w:rFonts w:ascii="Times New Roman" w:hAnsi="Times New Roman"/>
          <w:b w:val="0"/>
          <w:i w:val="0"/>
          <w:sz w:val="23"/>
        </w:rPr>
        <w:t>, or</w:t>
      </w:r>
      <w:r>
        <w:rPr>
          <w:rFonts w:ascii="Consolas" w:hAnsi="Consolas"/>
          <w:color w:val="1E1E1E"/>
          <w:sz w:val="21"/>
        </w:rPr>
        <w:t>CRITICAL</w:t>
      </w:r>
      <w:r>
        <w:rPr>
          <w:rFonts w:ascii="Times New Roman" w:hAnsi="Times New Roman"/>
          <w:b w:val="0"/>
          <w:i w:val="0"/>
          <w:sz w:val="23"/>
        </w:rPr>
        <w:t>), the target tertiary oncology treatment facility (</w:t>
      </w:r>
      <w:r>
        <w:rPr>
          <w:rFonts w:ascii="Consolas" w:hAnsi="Consolas"/>
          <w:color w:val="1E1E1E"/>
          <w:sz w:val="21"/>
        </w:rPr>
        <w:t>specialist_facility</w:t>
      </w:r>
      <w:r>
        <w:rPr>
          <w:rFonts w:ascii="Times New Roman" w:hAnsi="Times New Roman"/>
          <w:b w:val="0"/>
          <w:i w:val="0"/>
          <w:sz w:val="23"/>
        </w:rPr>
        <w:t>, VARCHAR 200), and a unique globally verifiable reference identifier (</w:t>
      </w:r>
      <w:r>
        <w:rPr>
          <w:rFonts w:ascii="Consolas" w:hAnsi="Consolas"/>
          <w:color w:val="1E1E1E"/>
          <w:sz w:val="21"/>
        </w:rPr>
        <w:t>fhir_bundle_id</w:t>
      </w:r>
      <w:r>
        <w:rPr>
          <w:rFonts w:ascii="Times New Roman" w:hAnsi="Times New Roman"/>
          <w:b w:val="0"/>
          <w:i w:val="0"/>
          <w:sz w:val="23"/>
        </w:rPr>
        <w:t>, VARCHAR 100, indexed) cross-referencing the exported HL7 FHIR Release 4 bundle.</w:t>
      </w:r>
    </w:p>
    <w:p>
      <w:pPr>
        <w:spacing w:before="200" w:after="80" w:line="360" w:lineRule="auto"/>
        <w:jc w:val="left"/>
      </w:pPr>
      <w:r>
        <w:rPr>
          <w:rFonts w:ascii="Times New Roman" w:hAnsi="Times New Roman"/>
          <w:b/>
          <w:i w:val="0"/>
          <w:color w:val="1E1E1E"/>
          <w:sz w:val="25"/>
        </w:rPr>
        <w:t>Referential Integrity, Indexing, and Optimization Protocols</w:t>
      </w:r>
    </w:p>
    <w:p>
      <w:pPr>
        <w:spacing w:before="40" w:after="120" w:line="360" w:lineRule="auto"/>
        <w:jc w:val="both"/>
      </w:pPr>
      <w:r>
        <w:rPr>
          <w:rFonts w:ascii="Times New Roman" w:hAnsi="Times New Roman"/>
          <w:b w:val="0"/>
          <w:i w:val="0"/>
          <w:sz w:val="24"/>
        </w:rPr>
        <w:t>To achieve high transactional throughput during rural screening drives, the database engine implements dedicated architectural optimizations:</w:t>
      </w:r>
    </w:p>
    <w:p>
      <w:pPr>
        <w:spacing w:before="40" w:after="80" w:line="312" w:lineRule="auto"/>
        <w:ind w:left="576"/>
      </w:pPr>
      <w:r>
        <w:rPr>
          <w:rFonts w:ascii="Times New Roman" w:hAnsi="Times New Roman"/>
          <w:b/>
          <w:sz w:val="22"/>
        </w:rPr>
        <w:t xml:space="preserve">•   </w:t>
      </w:r>
      <w:r>
        <w:rPr>
          <w:rFonts w:ascii="Times New Roman" w:hAnsi="Times New Roman"/>
          <w:b/>
          <w:i w:val="0"/>
          <w:sz w:val="23"/>
        </w:rPr>
        <w:t>High-Speed B-Tree Indexing:</w:t>
      </w:r>
      <w:r>
        <w:rPr>
          <w:rFonts w:ascii="Times New Roman" w:hAnsi="Times New Roman"/>
          <w:b w:val="0"/>
          <w:i w:val="0"/>
          <w:sz w:val="23"/>
        </w:rPr>
        <w:t>Dedicated B-tree indices are constructed on high-cardinality search columns:</w:t>
      </w:r>
      <w:r>
        <w:rPr>
          <w:rFonts w:ascii="Consolas" w:hAnsi="Consolas"/>
          <w:color w:val="1E1E1E"/>
          <w:sz w:val="21"/>
        </w:rPr>
        <w:t>users.email</w:t>
      </w:r>
      <w:r>
        <w:rPr>
          <w:rFonts w:ascii="Times New Roman" w:hAnsi="Times New Roman"/>
          <w:b w:val="0"/>
          <w:i w:val="0"/>
          <w:sz w:val="23"/>
        </w:rPr>
        <w:t>,</w:t>
      </w:r>
      <w:r>
        <w:rPr>
          <w:rFonts w:ascii="Consolas" w:hAnsi="Consolas"/>
          <w:color w:val="1E1E1E"/>
          <w:sz w:val="21"/>
        </w:rPr>
        <w:t>analyses.user_id</w:t>
      </w:r>
      <w:r>
        <w:rPr>
          <w:rFonts w:ascii="Times New Roman" w:hAnsi="Times New Roman"/>
          <w:b w:val="0"/>
          <w:i w:val="0"/>
          <w:sz w:val="23"/>
        </w:rPr>
        <w:t>,</w:t>
      </w:r>
      <w:r>
        <w:rPr>
          <w:rFonts w:ascii="Consolas" w:hAnsi="Consolas"/>
          <w:color w:val="1E1E1E"/>
          <w:sz w:val="21"/>
        </w:rPr>
        <w:t>analyses.patient_identifier</w:t>
      </w:r>
      <w:r>
        <w:rPr>
          <w:rFonts w:ascii="Times New Roman" w:hAnsi="Times New Roman"/>
          <w:b w:val="0"/>
          <w:i w:val="0"/>
          <w:sz w:val="23"/>
        </w:rPr>
        <w:t>,</w:t>
      </w:r>
      <w:r>
        <w:rPr>
          <w:rFonts w:ascii="Consolas" w:hAnsi="Consolas"/>
          <w:color w:val="1E1E1E"/>
          <w:sz w:val="21"/>
        </w:rPr>
        <w:t>analyses.created_at</w:t>
      </w:r>
      <w:r>
        <w:rPr>
          <w:rFonts w:ascii="Times New Roman" w:hAnsi="Times New Roman"/>
          <w:b w:val="0"/>
          <w:i w:val="0"/>
          <w:sz w:val="23"/>
        </w:rPr>
        <w:t>, and</w:t>
      </w:r>
      <w:r>
        <w:rPr>
          <w:rFonts w:ascii="Consolas" w:hAnsi="Consolas"/>
          <w:color w:val="1E1E1E"/>
          <w:sz w:val="21"/>
        </w:rPr>
        <w:t>referrals.fhir_bundle_id</w:t>
      </w:r>
      <w:r>
        <w:rPr>
          <w:rFonts w:ascii="Times New Roman" w:hAnsi="Times New Roman"/>
          <w:b w:val="0"/>
          <w:i w:val="0"/>
          <w:sz w:val="23"/>
        </w:rPr>
        <w:t>. This guarantees sub-millisecond query execution during historical longitudinal screening reviews.</w:t>
      </w:r>
    </w:p>
    <w:p>
      <w:pPr>
        <w:spacing w:before="40" w:after="80" w:line="312" w:lineRule="auto"/>
        <w:ind w:left="576"/>
      </w:pPr>
      <w:r>
        <w:rPr>
          <w:rFonts w:ascii="Times New Roman" w:hAnsi="Times New Roman"/>
          <w:b/>
          <w:sz w:val="22"/>
        </w:rPr>
        <w:t xml:space="preserve">•   </w:t>
      </w:r>
      <w:r>
        <w:rPr>
          <w:rFonts w:ascii="Times New Roman" w:hAnsi="Times New Roman"/>
          <w:b/>
          <w:i w:val="0"/>
          <w:sz w:val="23"/>
        </w:rPr>
        <w:t>Deletion Safety and Cascades:</w:t>
      </w:r>
      <w:r>
        <w:rPr>
          <w:rFonts w:ascii="Times New Roman" w:hAnsi="Times New Roman"/>
          <w:b w:val="0"/>
          <w:i w:val="0"/>
          <w:sz w:val="23"/>
        </w:rPr>
        <w:t>A strict</w:t>
      </w:r>
      <w:r>
        <w:rPr>
          <w:rFonts w:ascii="Consolas" w:hAnsi="Consolas"/>
          <w:color w:val="1E1E1E"/>
          <w:sz w:val="21"/>
        </w:rPr>
        <w:t>ON DELETE RESTRICT</w:t>
      </w:r>
      <w:r>
        <w:rPr>
          <w:rFonts w:ascii="Times New Roman" w:hAnsi="Times New Roman"/>
          <w:b w:val="0"/>
          <w:i w:val="0"/>
          <w:sz w:val="23"/>
        </w:rPr>
        <w:t>policy is enforced between</w:t>
      </w:r>
      <w:r>
        <w:rPr>
          <w:rFonts w:ascii="Consolas" w:hAnsi="Consolas"/>
          <w:color w:val="1E1E1E"/>
          <w:sz w:val="21"/>
        </w:rPr>
        <w:t>users</w:t>
      </w:r>
      <w:r>
        <w:rPr>
          <w:rFonts w:ascii="Times New Roman" w:hAnsi="Times New Roman"/>
          <w:b w:val="0"/>
          <w:i w:val="0"/>
          <w:sz w:val="23"/>
        </w:rPr>
        <w:t>and</w:t>
      </w:r>
      <w:r>
        <w:rPr>
          <w:rFonts w:ascii="Consolas" w:hAnsi="Consolas"/>
          <w:color w:val="1E1E1E"/>
          <w:sz w:val="21"/>
        </w:rPr>
        <w:t>analyses</w:t>
      </w:r>
      <w:r>
        <w:rPr>
          <w:rFonts w:ascii="Times New Roman" w:hAnsi="Times New Roman"/>
          <w:b w:val="0"/>
          <w:i w:val="0"/>
          <w:sz w:val="23"/>
        </w:rPr>
        <w:t>, preventing accidental destruction of historical clinical screening records upon practitioner account deactivation. Conversely, an</w:t>
      </w:r>
      <w:r>
        <w:rPr>
          <w:rFonts w:ascii="Consolas" w:hAnsi="Consolas"/>
          <w:color w:val="1E1E1E"/>
          <w:sz w:val="21"/>
        </w:rPr>
        <w:t>ON DELETE CASCADE</w:t>
      </w:r>
      <w:r>
        <w:rPr>
          <w:rFonts w:ascii="Times New Roman" w:hAnsi="Times New Roman"/>
          <w:b w:val="0"/>
          <w:i w:val="0"/>
          <w:sz w:val="23"/>
        </w:rPr>
        <w:t>policy links</w:t>
      </w:r>
      <w:r>
        <w:rPr>
          <w:rFonts w:ascii="Consolas" w:hAnsi="Consolas"/>
          <w:color w:val="1E1E1E"/>
          <w:sz w:val="21"/>
        </w:rPr>
        <w:t>analyses</w:t>
      </w:r>
      <w:r>
        <w:rPr>
          <w:rFonts w:ascii="Times New Roman" w:hAnsi="Times New Roman"/>
          <w:b w:val="0"/>
          <w:i w:val="0"/>
          <w:sz w:val="23"/>
        </w:rPr>
        <w:t>to</w:t>
      </w:r>
      <w:r>
        <w:rPr>
          <w:rFonts w:ascii="Consolas" w:hAnsi="Consolas"/>
          <w:color w:val="1E1E1E"/>
          <w:sz w:val="21"/>
        </w:rPr>
        <w:t>patient_profiles</w:t>
      </w:r>
      <w:r>
        <w:rPr>
          <w:rFonts w:ascii="Times New Roman" w:hAnsi="Times New Roman"/>
          <w:b w:val="0"/>
          <w:i w:val="0"/>
          <w:sz w:val="23"/>
        </w:rPr>
        <w:t>, ensuring atomic database consistency during authorized audit cleanups.</w:t>
      </w:r>
    </w:p>
    <w:p>
      <w:pPr>
        <w:spacing w:before="40" w:after="80" w:line="312" w:lineRule="auto"/>
        <w:ind w:left="576"/>
      </w:pPr>
      <w:r>
        <w:rPr>
          <w:rFonts w:ascii="Times New Roman" w:hAnsi="Times New Roman"/>
          <w:b/>
          <w:sz w:val="22"/>
        </w:rPr>
        <w:t xml:space="preserve">•   </w:t>
      </w:r>
      <w:r>
        <w:rPr>
          <w:rFonts w:ascii="Times New Roman" w:hAnsi="Times New Roman"/>
          <w:b/>
          <w:i w:val="0"/>
          <w:sz w:val="23"/>
        </w:rPr>
        <w:t>Connection Pooling and Asynchronous Transactions:</w:t>
      </w:r>
      <w:r>
        <w:rPr>
          <w:rFonts w:ascii="Times New Roman" w:hAnsi="Times New Roman"/>
          <w:b w:val="0"/>
          <w:i w:val="0"/>
          <w:sz w:val="23"/>
        </w:rPr>
        <w:t>In production deployment on PostgreSQL, SQLAlchemy utilizes an asynchronous engine coupled with a connection pool sized at 20 persistent connections with an overflow threshold of 10, preventing database starvation during concurrent stress peaks.</w:t>
      </w:r>
    </w:p>
    <w:p>
      <w:pPr>
        <w:spacing w:before="280" w:after="120" w:line="360" w:lineRule="auto"/>
        <w:jc w:val="left"/>
      </w:pPr>
      <w:r>
        <w:rPr>
          <w:rFonts w:ascii="Times New Roman" w:hAnsi="Times New Roman"/>
          <w:b/>
          <w:i w:val="0"/>
          <w:color w:val="0F234B"/>
          <w:sz w:val="28"/>
        </w:rPr>
        <w:t>RESTful API Design and Contract Specifications</w:t>
      </w:r>
    </w:p>
    <w:p>
      <w:pPr>
        <w:spacing w:before="40" w:after="120" w:line="360" w:lineRule="auto"/>
        <w:jc w:val="both"/>
      </w:pPr>
      <w:r>
        <w:rPr>
          <w:rFonts w:ascii="Times New Roman" w:hAnsi="Times New Roman"/>
          <w:b w:val="0"/>
          <w:i w:val="0"/>
          <w:sz w:val="24"/>
        </w:rPr>
        <w:t>The backend API follows RESTful architectural principles with OpenAPI 3.1 specifications. Table tab:api_endpoints enumerates the primary endpoints.</w:t>
      </w:r>
    </w:p>
    <w:p>
      <w:pPr>
        <w:spacing w:before="200" w:after="80" w:line="360" w:lineRule="auto"/>
        <w:jc w:val="center"/>
      </w:pPr>
      <w:r>
        <w:rPr>
          <w:rFonts w:ascii="Times New Roman" w:hAnsi="Times New Roman"/>
          <w:b/>
          <w:i w:val="0"/>
          <w:color w:val="0A2D5A"/>
          <w:sz w:val="22"/>
        </w:rPr>
        <w:t>Table: Core RESTful API Endpoint Contract Specifications</w:t>
      </w:r>
    </w:p>
    <w:tbl>
      <w:tblPr>
        <w:tblW w:type="auto" w:w="0"/>
        <w:jc w:val="center"/>
        <w:tblLook w:firstColumn="1" w:firstRow="1" w:lastColumn="0" w:lastRow="0" w:noHBand="0" w:noVBand="1" w:val="04A0"/>
      </w:tblPr>
      <w:tblGrid>
        <w:gridCol w:w="2167"/>
        <w:gridCol w:w="2167"/>
        <w:gridCol w:w="2167"/>
        <w:gridCol w:w="2167"/>
      </w:tblGrid>
      <w:tr>
        <w:tc>
          <w:tcPr>
            <w:tcW w:type="dxa" w:w="2167"/>
            <w:tcMar>
              <w:top w:w="80" w:type="dxa"/>
              <w:bottom w:w="80" w:type="dxa"/>
              <w:left w:w="120" w:type="dxa"/>
              <w:right w:w="120" w:type="dxa"/>
            </w:tcMar>
            <w:tcBorders>
              <w:top w:val="single" w:sz="2" w:space="0" w:color="B0B0B0"/>
              <w:left w:val="single" w:sz="1" w:space="0" w:color="D8D8D8"/>
              <w:bottom w:val="single" w:sz="2" w:space="0" w:color="B0B0B0"/>
              <w:right w:val="single" w:sz="1" w:space="0" w:color="D8D8D8"/>
            </w:tcBorders>
            <w:shd w:fill="EBF0F5"/>
          </w:tcPr>
          <w:p>
            <w:pPr>
              <w:jc w:val="center"/>
            </w:pPr>
            <w:r>
              <w:rPr>
                <w:rFonts w:ascii="Times New Roman" w:hAnsi="Times New Roman"/>
                <w:b/>
                <w:sz w:val="21"/>
              </w:rPr>
              <w:t>X}</w:t>
              <w:br/>
              <w:br/>
              <w:t>\textbf{HTTP Method}</w:t>
            </w:r>
          </w:p>
        </w:tc>
        <w:tc>
          <w:tcPr>
            <w:tcW w:type="dxa" w:w="2167"/>
            <w:tcMar>
              <w:top w:w="80" w:type="dxa"/>
              <w:bottom w:w="80" w:type="dxa"/>
              <w:left w:w="120" w:type="dxa"/>
              <w:right w:w="120" w:type="dxa"/>
            </w:tcMar>
            <w:tcBorders>
              <w:top w:val="single" w:sz="2" w:space="0" w:color="B0B0B0"/>
              <w:left w:val="single" w:sz="1" w:space="0" w:color="D8D8D8"/>
              <w:bottom w:val="single" w:sz="2" w:space="0" w:color="B0B0B0"/>
              <w:right w:val="single" w:sz="1" w:space="0" w:color="D8D8D8"/>
            </w:tcBorders>
            <w:shd w:fill="EBF0F5"/>
          </w:tcPr>
          <w:p>
            <w:pPr>
              <w:jc w:val="center"/>
            </w:pPr>
            <w:r>
              <w:rPr>
                <w:rFonts w:ascii="Times New Roman" w:hAnsi="Times New Roman"/>
                <w:b/>
                <w:sz w:val="21"/>
              </w:rPr>
              <w:t>\textbf{Endpoint Route}</w:t>
            </w:r>
          </w:p>
        </w:tc>
        <w:tc>
          <w:tcPr>
            <w:tcW w:type="dxa" w:w="2167"/>
            <w:tcMar>
              <w:top w:w="80" w:type="dxa"/>
              <w:bottom w:w="80" w:type="dxa"/>
              <w:left w:w="120" w:type="dxa"/>
              <w:right w:w="120" w:type="dxa"/>
            </w:tcMar>
            <w:tcBorders>
              <w:top w:val="single" w:sz="2" w:space="0" w:color="B0B0B0"/>
              <w:left w:val="single" w:sz="1" w:space="0" w:color="D8D8D8"/>
              <w:bottom w:val="single" w:sz="2" w:space="0" w:color="B0B0B0"/>
              <w:right w:val="single" w:sz="1" w:space="0" w:color="D8D8D8"/>
            </w:tcBorders>
            <w:shd w:fill="EBF0F5"/>
          </w:tcPr>
          <w:p>
            <w:pPr>
              <w:jc w:val="center"/>
            </w:pPr>
            <w:r>
              <w:rPr>
                <w:rFonts w:ascii="Times New Roman" w:hAnsi="Times New Roman"/>
                <w:b/>
                <w:sz w:val="21"/>
              </w:rPr>
              <w:t>\textbf{Auth Requirement}</w:t>
            </w:r>
          </w:p>
        </w:tc>
        <w:tc>
          <w:tcPr>
            <w:tcW w:type="dxa" w:w="2167"/>
            <w:tcMar>
              <w:top w:w="80" w:type="dxa"/>
              <w:bottom w:w="80" w:type="dxa"/>
              <w:left w:w="120" w:type="dxa"/>
              <w:right w:w="120" w:type="dxa"/>
            </w:tcMar>
            <w:tcBorders>
              <w:top w:val="single" w:sz="2" w:space="0" w:color="B0B0B0"/>
              <w:left w:val="single" w:sz="1" w:space="0" w:color="D8D8D8"/>
              <w:bottom w:val="single" w:sz="2" w:space="0" w:color="B0B0B0"/>
              <w:right w:val="single" w:sz="1" w:space="0" w:color="D8D8D8"/>
            </w:tcBorders>
            <w:shd w:fill="EBF0F5"/>
          </w:tcPr>
          <w:p>
            <w:pPr>
              <w:jc w:val="center"/>
            </w:pPr>
            <w:r>
              <w:rPr>
                <w:rFonts w:ascii="Times New Roman" w:hAnsi="Times New Roman"/>
                <w:b/>
                <w:sz w:val="21"/>
              </w:rPr>
              <w:t>\textbf{Operational Function}</w:t>
            </w:r>
          </w:p>
        </w:tc>
      </w:tr>
      <w:tr>
        <w:tc>
          <w:tcPr>
            <w:tcW w:type="dxa" w:w="2167"/>
            <w:tcMar>
              <w:top w:w="80" w:type="dxa"/>
              <w:bottom w:w="80" w:type="dxa"/>
              <w:left w:w="120" w:type="dxa"/>
              <w:right w:w="120" w:type="dxa"/>
            </w:tcMar>
            <w:tcBorders>
              <w:top w:val="single" w:sz="2" w:space="0" w:color="B0B0B0"/>
              <w:left w:val="single" w:sz="1" w:space="0" w:color="D8D8D8"/>
              <w:bottom w:val="single" w:sz="2" w:space="0" w:color="B0B0B0"/>
              <w:right w:val="single" w:sz="1" w:space="0" w:color="D8D8D8"/>
            </w:tcBorders>
          </w:tcPr>
          <w:p>
            <w:pPr>
              <w:jc w:val="left"/>
            </w:pPr>
            <w:r>
              <w:rPr>
                <w:rFonts w:ascii="Times New Roman" w:hAnsi="Times New Roman"/>
                <w:sz w:val="20"/>
              </w:rPr>
              <w:t>\texttt{POST}</w:t>
            </w:r>
          </w:p>
        </w:tc>
        <w:tc>
          <w:tcPr>
            <w:tcW w:type="dxa" w:w="2167"/>
            <w:tcMar>
              <w:top w:w="80" w:type="dxa"/>
              <w:bottom w:w="80" w:type="dxa"/>
              <w:left w:w="120" w:type="dxa"/>
              <w:right w:w="120" w:type="dxa"/>
            </w:tcMar>
            <w:tcBorders>
              <w:top w:val="single" w:sz="2" w:space="0" w:color="B0B0B0"/>
              <w:left w:val="single" w:sz="1" w:space="0" w:color="D8D8D8"/>
              <w:bottom w:val="single" w:sz="2" w:space="0" w:color="B0B0B0"/>
              <w:right w:val="single" w:sz="1" w:space="0" w:color="D8D8D8"/>
            </w:tcBorders>
          </w:tcPr>
          <w:p>
            <w:pPr>
              <w:jc w:val="left"/>
            </w:pPr>
            <w:r>
              <w:rPr>
                <w:rFonts w:ascii="Times New Roman" w:hAnsi="Times New Roman"/>
                <w:sz w:val="20"/>
              </w:rPr>
              <w:t>\texttt{/api/v1/auth/register}</w:t>
            </w:r>
          </w:p>
        </w:tc>
        <w:tc>
          <w:tcPr>
            <w:tcW w:type="dxa" w:w="2167"/>
            <w:tcMar>
              <w:top w:w="80" w:type="dxa"/>
              <w:bottom w:w="80" w:type="dxa"/>
              <w:left w:w="120" w:type="dxa"/>
              <w:right w:w="120" w:type="dxa"/>
            </w:tcMar>
            <w:tcBorders>
              <w:top w:val="single" w:sz="2" w:space="0" w:color="B0B0B0"/>
              <w:left w:val="single" w:sz="1" w:space="0" w:color="D8D8D8"/>
              <w:bottom w:val="single" w:sz="2" w:space="0" w:color="B0B0B0"/>
              <w:right w:val="single" w:sz="1" w:space="0" w:color="D8D8D8"/>
            </w:tcBorders>
          </w:tcPr>
          <w:p>
            <w:pPr>
              <w:jc w:val="left"/>
            </w:pPr>
            <w:r>
              <w:rPr>
                <w:rFonts w:ascii="Times New Roman" w:hAnsi="Times New Roman"/>
                <w:sz w:val="20"/>
              </w:rPr>
              <w:t>Public</w:t>
            </w:r>
          </w:p>
        </w:tc>
        <w:tc>
          <w:tcPr>
            <w:tcW w:type="dxa" w:w="2167"/>
            <w:tcMar>
              <w:top w:w="80" w:type="dxa"/>
              <w:bottom w:w="80" w:type="dxa"/>
              <w:left w:w="120" w:type="dxa"/>
              <w:right w:w="120" w:type="dxa"/>
            </w:tcMar>
            <w:tcBorders>
              <w:top w:val="single" w:sz="2" w:space="0" w:color="B0B0B0"/>
              <w:left w:val="single" w:sz="1" w:space="0" w:color="D8D8D8"/>
              <w:bottom w:val="single" w:sz="2" w:space="0" w:color="B0B0B0"/>
              <w:right w:val="single" w:sz="1" w:space="0" w:color="D8D8D8"/>
            </w:tcBorders>
          </w:tcPr>
          <w:p>
            <w:pPr>
              <w:jc w:val="left"/>
            </w:pPr>
            <w:r>
              <w:rPr>
                <w:rFonts w:ascii="Times New Roman" w:hAnsi="Times New Roman"/>
                <w:sz w:val="20"/>
              </w:rPr>
              <w:t>Registers new user with PBKDF2 hashing</w:t>
            </w:r>
          </w:p>
        </w:tc>
      </w:tr>
      <w:tr>
        <w:tc>
          <w:tcPr>
            <w:tcW w:type="dxa" w:w="2167"/>
            <w:tcMar>
              <w:top w:w="80" w:type="dxa"/>
              <w:bottom w:w="80" w:type="dxa"/>
              <w:left w:w="120" w:type="dxa"/>
              <w:right w:w="120" w:type="dxa"/>
            </w:tcMar>
            <w:tcBorders>
              <w:top w:val="single" w:sz="2" w:space="0" w:color="B0B0B0"/>
              <w:left w:val="single" w:sz="1" w:space="0" w:color="D8D8D8"/>
              <w:bottom w:val="single" w:sz="2" w:space="0" w:color="B0B0B0"/>
              <w:right w:val="single" w:sz="1" w:space="0" w:color="D8D8D8"/>
            </w:tcBorders>
          </w:tcPr>
          <w:p>
            <w:pPr>
              <w:jc w:val="left"/>
            </w:pPr>
            <w:r>
              <w:rPr>
                <w:rFonts w:ascii="Times New Roman" w:hAnsi="Times New Roman"/>
                <w:sz w:val="20"/>
              </w:rPr>
              <w:t>\texttt{POST}</w:t>
            </w:r>
          </w:p>
        </w:tc>
        <w:tc>
          <w:tcPr>
            <w:tcW w:type="dxa" w:w="2167"/>
            <w:tcMar>
              <w:top w:w="80" w:type="dxa"/>
              <w:bottom w:w="80" w:type="dxa"/>
              <w:left w:w="120" w:type="dxa"/>
              <w:right w:w="120" w:type="dxa"/>
            </w:tcMar>
            <w:tcBorders>
              <w:top w:val="single" w:sz="2" w:space="0" w:color="B0B0B0"/>
              <w:left w:val="single" w:sz="1" w:space="0" w:color="D8D8D8"/>
              <w:bottom w:val="single" w:sz="2" w:space="0" w:color="B0B0B0"/>
              <w:right w:val="single" w:sz="1" w:space="0" w:color="D8D8D8"/>
            </w:tcBorders>
          </w:tcPr>
          <w:p>
            <w:pPr>
              <w:jc w:val="left"/>
            </w:pPr>
            <w:r>
              <w:rPr>
                <w:rFonts w:ascii="Times New Roman" w:hAnsi="Times New Roman"/>
                <w:sz w:val="20"/>
              </w:rPr>
              <w:t>\texttt{/api/v1/auth/login}</w:t>
            </w:r>
          </w:p>
        </w:tc>
        <w:tc>
          <w:tcPr>
            <w:tcW w:type="dxa" w:w="2167"/>
            <w:tcMar>
              <w:top w:w="80" w:type="dxa"/>
              <w:bottom w:w="80" w:type="dxa"/>
              <w:left w:w="120" w:type="dxa"/>
              <w:right w:w="120" w:type="dxa"/>
            </w:tcMar>
            <w:tcBorders>
              <w:top w:val="single" w:sz="2" w:space="0" w:color="B0B0B0"/>
              <w:left w:val="single" w:sz="1" w:space="0" w:color="D8D8D8"/>
              <w:bottom w:val="single" w:sz="2" w:space="0" w:color="B0B0B0"/>
              <w:right w:val="single" w:sz="1" w:space="0" w:color="D8D8D8"/>
            </w:tcBorders>
          </w:tcPr>
          <w:p>
            <w:pPr>
              <w:jc w:val="left"/>
            </w:pPr>
            <w:r>
              <w:rPr>
                <w:rFonts w:ascii="Times New Roman" w:hAnsi="Times New Roman"/>
                <w:sz w:val="20"/>
              </w:rPr>
              <w:t>Public (Rate-Limited)</w:t>
            </w:r>
          </w:p>
        </w:tc>
        <w:tc>
          <w:tcPr>
            <w:tcW w:type="dxa" w:w="2167"/>
            <w:tcMar>
              <w:top w:w="80" w:type="dxa"/>
              <w:bottom w:w="80" w:type="dxa"/>
              <w:left w:w="120" w:type="dxa"/>
              <w:right w:w="120" w:type="dxa"/>
            </w:tcMar>
            <w:tcBorders>
              <w:top w:val="single" w:sz="2" w:space="0" w:color="B0B0B0"/>
              <w:left w:val="single" w:sz="1" w:space="0" w:color="D8D8D8"/>
              <w:bottom w:val="single" w:sz="2" w:space="0" w:color="B0B0B0"/>
              <w:right w:val="single" w:sz="1" w:space="0" w:color="D8D8D8"/>
            </w:tcBorders>
          </w:tcPr>
          <w:p>
            <w:pPr>
              <w:jc w:val="left"/>
            </w:pPr>
            <w:r>
              <w:rPr>
                <w:rFonts w:ascii="Times New Roman" w:hAnsi="Times New Roman"/>
                <w:sz w:val="20"/>
              </w:rPr>
              <w:t>Authenticates credentials; issues JWT token</w:t>
            </w:r>
          </w:p>
        </w:tc>
      </w:tr>
      <w:tr>
        <w:tc>
          <w:tcPr>
            <w:tcW w:type="dxa" w:w="2167"/>
            <w:tcMar>
              <w:top w:w="80" w:type="dxa"/>
              <w:bottom w:w="80" w:type="dxa"/>
              <w:left w:w="120" w:type="dxa"/>
              <w:right w:w="120" w:type="dxa"/>
            </w:tcMar>
            <w:tcBorders>
              <w:top w:val="single" w:sz="2" w:space="0" w:color="B0B0B0"/>
              <w:left w:val="single" w:sz="1" w:space="0" w:color="D8D8D8"/>
              <w:bottom w:val="single" w:sz="2" w:space="0" w:color="B0B0B0"/>
              <w:right w:val="single" w:sz="1" w:space="0" w:color="D8D8D8"/>
            </w:tcBorders>
          </w:tcPr>
          <w:p>
            <w:pPr>
              <w:jc w:val="left"/>
            </w:pPr>
            <w:r>
              <w:rPr>
                <w:rFonts w:ascii="Times New Roman" w:hAnsi="Times New Roman"/>
                <w:sz w:val="20"/>
              </w:rPr>
              <w:t>\texttt{POST}</w:t>
            </w:r>
          </w:p>
        </w:tc>
        <w:tc>
          <w:tcPr>
            <w:tcW w:type="dxa" w:w="2167"/>
            <w:tcMar>
              <w:top w:w="80" w:type="dxa"/>
              <w:bottom w:w="80" w:type="dxa"/>
              <w:left w:w="120" w:type="dxa"/>
              <w:right w:w="120" w:type="dxa"/>
            </w:tcMar>
            <w:tcBorders>
              <w:top w:val="single" w:sz="2" w:space="0" w:color="B0B0B0"/>
              <w:left w:val="single" w:sz="1" w:space="0" w:color="D8D8D8"/>
              <w:bottom w:val="single" w:sz="2" w:space="0" w:color="B0B0B0"/>
              <w:right w:val="single" w:sz="1" w:space="0" w:color="D8D8D8"/>
            </w:tcBorders>
          </w:tcPr>
          <w:p>
            <w:pPr>
              <w:jc w:val="left"/>
            </w:pPr>
            <w:r>
              <w:rPr>
                <w:rFonts w:ascii="Times New Roman" w:hAnsi="Times New Roman"/>
                <w:sz w:val="20"/>
              </w:rPr>
              <w:t>\texttt{/api/v1/predict}</w:t>
            </w:r>
          </w:p>
        </w:tc>
        <w:tc>
          <w:tcPr>
            <w:tcW w:type="dxa" w:w="2167"/>
            <w:tcMar>
              <w:top w:w="80" w:type="dxa"/>
              <w:bottom w:w="80" w:type="dxa"/>
              <w:left w:w="120" w:type="dxa"/>
              <w:right w:w="120" w:type="dxa"/>
            </w:tcMar>
            <w:tcBorders>
              <w:top w:val="single" w:sz="2" w:space="0" w:color="B0B0B0"/>
              <w:left w:val="single" w:sz="1" w:space="0" w:color="D8D8D8"/>
              <w:bottom w:val="single" w:sz="2" w:space="0" w:color="B0B0B0"/>
              <w:right w:val="single" w:sz="1" w:space="0" w:color="D8D8D8"/>
            </w:tcBorders>
          </w:tcPr>
          <w:p>
            <w:pPr>
              <w:jc w:val="left"/>
            </w:pPr>
            <w:r>
              <w:rPr>
                <w:rFonts w:ascii="Times New Roman" w:hAnsi="Times New Roman"/>
                <w:sz w:val="20"/>
              </w:rPr>
              <w:t>Bearer JWT Token</w:t>
            </w:r>
          </w:p>
        </w:tc>
        <w:tc>
          <w:tcPr>
            <w:tcW w:type="dxa" w:w="2167"/>
            <w:tcMar>
              <w:top w:w="80" w:type="dxa"/>
              <w:bottom w:w="80" w:type="dxa"/>
              <w:left w:w="120" w:type="dxa"/>
              <w:right w:w="120" w:type="dxa"/>
            </w:tcMar>
            <w:tcBorders>
              <w:top w:val="single" w:sz="2" w:space="0" w:color="B0B0B0"/>
              <w:left w:val="single" w:sz="1" w:space="0" w:color="D8D8D8"/>
              <w:bottom w:val="single" w:sz="2" w:space="0" w:color="B0B0B0"/>
              <w:right w:val="single" w:sz="1" w:space="0" w:color="D8D8D8"/>
            </w:tcBorders>
          </w:tcPr>
          <w:p>
            <w:pPr>
              <w:jc w:val="left"/>
            </w:pPr>
            <w:r>
              <w:rPr>
                <w:rFonts w:ascii="Times New Roman" w:hAnsi="Times New Roman"/>
                <w:sz w:val="20"/>
              </w:rPr>
              <w:t>Ingests photograph and risk factors; executes inference</w:t>
            </w:r>
          </w:p>
        </w:tc>
      </w:tr>
      <w:tr>
        <w:tc>
          <w:tcPr>
            <w:tcW w:type="dxa" w:w="2167"/>
            <w:tcMar>
              <w:top w:w="80" w:type="dxa"/>
              <w:bottom w:w="80" w:type="dxa"/>
              <w:left w:w="120" w:type="dxa"/>
              <w:right w:w="120" w:type="dxa"/>
            </w:tcMar>
            <w:tcBorders>
              <w:top w:val="single" w:sz="2" w:space="0" w:color="B0B0B0"/>
              <w:left w:val="single" w:sz="1" w:space="0" w:color="D8D8D8"/>
              <w:bottom w:val="single" w:sz="2" w:space="0" w:color="B0B0B0"/>
              <w:right w:val="single" w:sz="1" w:space="0" w:color="D8D8D8"/>
            </w:tcBorders>
          </w:tcPr>
          <w:p>
            <w:pPr>
              <w:jc w:val="left"/>
            </w:pPr>
            <w:r>
              <w:rPr>
                <w:rFonts w:ascii="Times New Roman" w:hAnsi="Times New Roman"/>
                <w:sz w:val="20"/>
              </w:rPr>
              <w:t>\texttt{GET}</w:t>
            </w:r>
          </w:p>
        </w:tc>
        <w:tc>
          <w:tcPr>
            <w:tcW w:type="dxa" w:w="2167"/>
            <w:tcMar>
              <w:top w:w="80" w:type="dxa"/>
              <w:bottom w:w="80" w:type="dxa"/>
              <w:left w:w="120" w:type="dxa"/>
              <w:right w:w="120" w:type="dxa"/>
            </w:tcMar>
            <w:tcBorders>
              <w:top w:val="single" w:sz="2" w:space="0" w:color="B0B0B0"/>
              <w:left w:val="single" w:sz="1" w:space="0" w:color="D8D8D8"/>
              <w:bottom w:val="single" w:sz="2" w:space="0" w:color="B0B0B0"/>
              <w:right w:val="single" w:sz="1" w:space="0" w:color="D8D8D8"/>
            </w:tcBorders>
          </w:tcPr>
          <w:p>
            <w:pPr>
              <w:jc w:val="left"/>
            </w:pPr>
            <w:r>
              <w:rPr>
                <w:rFonts w:ascii="Times New Roman" w:hAnsi="Times New Roman"/>
                <w:sz w:val="20"/>
              </w:rPr>
              <w:t>\texttt{/api/v1/history}</w:t>
            </w:r>
          </w:p>
        </w:tc>
        <w:tc>
          <w:tcPr>
            <w:tcW w:type="dxa" w:w="2167"/>
            <w:tcMar>
              <w:top w:w="80" w:type="dxa"/>
              <w:bottom w:w="80" w:type="dxa"/>
              <w:left w:w="120" w:type="dxa"/>
              <w:right w:w="120" w:type="dxa"/>
            </w:tcMar>
            <w:tcBorders>
              <w:top w:val="single" w:sz="2" w:space="0" w:color="B0B0B0"/>
              <w:left w:val="single" w:sz="1" w:space="0" w:color="D8D8D8"/>
              <w:bottom w:val="single" w:sz="2" w:space="0" w:color="B0B0B0"/>
              <w:right w:val="single" w:sz="1" w:space="0" w:color="D8D8D8"/>
            </w:tcBorders>
          </w:tcPr>
          <w:p>
            <w:pPr>
              <w:jc w:val="left"/>
            </w:pPr>
            <w:r>
              <w:rPr>
                <w:rFonts w:ascii="Times New Roman" w:hAnsi="Times New Roman"/>
                <w:sz w:val="20"/>
              </w:rPr>
              <w:t>Bearer JWT Token</w:t>
            </w:r>
          </w:p>
        </w:tc>
        <w:tc>
          <w:tcPr>
            <w:tcW w:type="dxa" w:w="2167"/>
            <w:tcMar>
              <w:top w:w="80" w:type="dxa"/>
              <w:bottom w:w="80" w:type="dxa"/>
              <w:left w:w="120" w:type="dxa"/>
              <w:right w:w="120" w:type="dxa"/>
            </w:tcMar>
            <w:tcBorders>
              <w:top w:val="single" w:sz="2" w:space="0" w:color="B0B0B0"/>
              <w:left w:val="single" w:sz="1" w:space="0" w:color="D8D8D8"/>
              <w:bottom w:val="single" w:sz="2" w:space="0" w:color="B0B0B0"/>
              <w:right w:val="single" w:sz="1" w:space="0" w:color="D8D8D8"/>
            </w:tcBorders>
          </w:tcPr>
          <w:p>
            <w:pPr>
              <w:jc w:val="left"/>
            </w:pPr>
            <w:r>
              <w:rPr>
                <w:rFonts w:ascii="Times New Roman" w:hAnsi="Times New Roman"/>
                <w:sz w:val="20"/>
              </w:rPr>
              <w:t>Retrieves chronological screening records</w:t>
            </w:r>
          </w:p>
        </w:tc>
      </w:tr>
      <w:tr>
        <w:tc>
          <w:tcPr>
            <w:tcW w:type="dxa" w:w="2167"/>
            <w:tcMar>
              <w:top w:w="80" w:type="dxa"/>
              <w:bottom w:w="80" w:type="dxa"/>
              <w:left w:w="120" w:type="dxa"/>
              <w:right w:w="120" w:type="dxa"/>
            </w:tcMar>
            <w:tcBorders>
              <w:top w:val="single" w:sz="2" w:space="0" w:color="B0B0B0"/>
              <w:left w:val="single" w:sz="1" w:space="0" w:color="D8D8D8"/>
              <w:bottom w:val="single" w:sz="2" w:space="0" w:color="B0B0B0"/>
              <w:right w:val="single" w:sz="1" w:space="0" w:color="D8D8D8"/>
            </w:tcBorders>
          </w:tcPr>
          <w:p>
            <w:pPr>
              <w:jc w:val="left"/>
            </w:pPr>
            <w:r>
              <w:rPr>
                <w:rFonts w:ascii="Times New Roman" w:hAnsi="Times New Roman"/>
                <w:sz w:val="20"/>
              </w:rPr>
              <w:t>\texttt{GET}</w:t>
            </w:r>
          </w:p>
        </w:tc>
        <w:tc>
          <w:tcPr>
            <w:tcW w:type="dxa" w:w="2167"/>
            <w:tcMar>
              <w:top w:w="80" w:type="dxa"/>
              <w:bottom w:w="80" w:type="dxa"/>
              <w:left w:w="120" w:type="dxa"/>
              <w:right w:w="120" w:type="dxa"/>
            </w:tcMar>
            <w:tcBorders>
              <w:top w:val="single" w:sz="2" w:space="0" w:color="B0B0B0"/>
              <w:left w:val="single" w:sz="1" w:space="0" w:color="D8D8D8"/>
              <w:bottom w:val="single" w:sz="2" w:space="0" w:color="B0B0B0"/>
              <w:right w:val="single" w:sz="1" w:space="0" w:color="D8D8D8"/>
            </w:tcBorders>
          </w:tcPr>
          <w:p>
            <w:pPr>
              <w:jc w:val="left"/>
            </w:pPr>
            <w:r>
              <w:rPr>
                <w:rFonts w:ascii="Times New Roman" w:hAnsi="Times New Roman"/>
                <w:sz w:val="20"/>
              </w:rPr>
              <w:t>\texttt{/api/v1/fhir/export/{id}}</w:t>
            </w:r>
          </w:p>
        </w:tc>
        <w:tc>
          <w:tcPr>
            <w:tcW w:type="dxa" w:w="2167"/>
            <w:tcMar>
              <w:top w:w="80" w:type="dxa"/>
              <w:bottom w:w="80" w:type="dxa"/>
              <w:left w:w="120" w:type="dxa"/>
              <w:right w:w="120" w:type="dxa"/>
            </w:tcMar>
            <w:tcBorders>
              <w:top w:val="single" w:sz="2" w:space="0" w:color="B0B0B0"/>
              <w:left w:val="single" w:sz="1" w:space="0" w:color="D8D8D8"/>
              <w:bottom w:val="single" w:sz="2" w:space="0" w:color="B0B0B0"/>
              <w:right w:val="single" w:sz="1" w:space="0" w:color="D8D8D8"/>
            </w:tcBorders>
          </w:tcPr>
          <w:p>
            <w:pPr>
              <w:jc w:val="left"/>
            </w:pPr>
            <w:r>
              <w:rPr>
                <w:rFonts w:ascii="Times New Roman" w:hAnsi="Times New Roman"/>
                <w:sz w:val="20"/>
              </w:rPr>
              <w:t>Bearer JWT Token</w:t>
            </w:r>
          </w:p>
        </w:tc>
        <w:tc>
          <w:tcPr>
            <w:tcW w:type="dxa" w:w="2167"/>
            <w:tcMar>
              <w:top w:w="80" w:type="dxa"/>
              <w:bottom w:w="80" w:type="dxa"/>
              <w:left w:w="120" w:type="dxa"/>
              <w:right w:w="120" w:type="dxa"/>
            </w:tcMar>
            <w:tcBorders>
              <w:top w:val="single" w:sz="2" w:space="0" w:color="B0B0B0"/>
              <w:left w:val="single" w:sz="1" w:space="0" w:color="D8D8D8"/>
              <w:bottom w:val="single" w:sz="2" w:space="0" w:color="B0B0B0"/>
              <w:right w:val="single" w:sz="1" w:space="0" w:color="D8D8D8"/>
            </w:tcBorders>
          </w:tcPr>
          <w:p>
            <w:pPr>
              <w:jc w:val="left"/>
            </w:pPr>
            <w:r>
              <w:rPr>
                <w:rFonts w:ascii="Times New Roman" w:hAnsi="Times New Roman"/>
                <w:sz w:val="20"/>
              </w:rPr>
              <w:t>Generates compliant HL7 FHIR R4 JSON Bundle</w:t>
            </w:r>
          </w:p>
        </w:tc>
      </w:tr>
      <w:tr>
        <w:tc>
          <w:tcPr>
            <w:tcW w:type="dxa" w:w="2167"/>
            <w:tcMar>
              <w:top w:w="80" w:type="dxa"/>
              <w:bottom w:w="80" w:type="dxa"/>
              <w:left w:w="120" w:type="dxa"/>
              <w:right w:w="120" w:type="dxa"/>
            </w:tcMar>
            <w:tcBorders>
              <w:top w:val="single" w:sz="2" w:space="0" w:color="B0B0B0"/>
              <w:left w:val="single" w:sz="1" w:space="0" w:color="D8D8D8"/>
              <w:bottom w:val="single" w:sz="2" w:space="0" w:color="B0B0B0"/>
              <w:right w:val="single" w:sz="1" w:space="0" w:color="D8D8D8"/>
            </w:tcBorders>
          </w:tcPr>
          <w:p>
            <w:pPr>
              <w:jc w:val="left"/>
            </w:pPr>
            <w:r>
              <w:rPr>
                <w:rFonts w:ascii="Times New Roman" w:hAnsi="Times New Roman"/>
                <w:sz w:val="20"/>
              </w:rPr>
              <w:t>\texttt{GET}</w:t>
            </w:r>
          </w:p>
        </w:tc>
        <w:tc>
          <w:tcPr>
            <w:tcW w:type="dxa" w:w="2167"/>
            <w:tcMar>
              <w:top w:w="80" w:type="dxa"/>
              <w:bottom w:w="80" w:type="dxa"/>
              <w:left w:w="120" w:type="dxa"/>
              <w:right w:w="120" w:type="dxa"/>
            </w:tcMar>
            <w:tcBorders>
              <w:top w:val="single" w:sz="2" w:space="0" w:color="B0B0B0"/>
              <w:left w:val="single" w:sz="1" w:space="0" w:color="D8D8D8"/>
              <w:bottom w:val="single" w:sz="2" w:space="0" w:color="B0B0B0"/>
              <w:right w:val="single" w:sz="1" w:space="0" w:color="D8D8D8"/>
            </w:tcBorders>
          </w:tcPr>
          <w:p>
            <w:pPr>
              <w:jc w:val="left"/>
            </w:pPr>
            <w:r>
              <w:rPr>
                <w:rFonts w:ascii="Times New Roman" w:hAnsi="Times New Roman"/>
                <w:sz w:val="20"/>
              </w:rPr>
              <w:t>\texttt{/api/v1/health}</w:t>
            </w:r>
          </w:p>
        </w:tc>
        <w:tc>
          <w:tcPr>
            <w:tcW w:type="dxa" w:w="2167"/>
            <w:tcMar>
              <w:top w:w="80" w:type="dxa"/>
              <w:bottom w:w="80" w:type="dxa"/>
              <w:left w:w="120" w:type="dxa"/>
              <w:right w:w="120" w:type="dxa"/>
            </w:tcMar>
            <w:tcBorders>
              <w:top w:val="single" w:sz="2" w:space="0" w:color="B0B0B0"/>
              <w:left w:val="single" w:sz="1" w:space="0" w:color="D8D8D8"/>
              <w:bottom w:val="single" w:sz="2" w:space="0" w:color="B0B0B0"/>
              <w:right w:val="single" w:sz="1" w:space="0" w:color="D8D8D8"/>
            </w:tcBorders>
          </w:tcPr>
          <w:p>
            <w:pPr>
              <w:jc w:val="left"/>
            </w:pPr>
            <w:r>
              <w:rPr>
                <w:rFonts w:ascii="Times New Roman" w:hAnsi="Times New Roman"/>
                <w:sz w:val="20"/>
              </w:rPr>
              <w:t>Public</w:t>
            </w:r>
          </w:p>
        </w:tc>
        <w:tc>
          <w:tcPr>
            <w:tcW w:type="dxa" w:w="2167"/>
            <w:tcMar>
              <w:top w:w="80" w:type="dxa"/>
              <w:bottom w:w="80" w:type="dxa"/>
              <w:left w:w="120" w:type="dxa"/>
              <w:right w:w="120" w:type="dxa"/>
            </w:tcMar>
            <w:tcBorders>
              <w:top w:val="single" w:sz="2" w:space="0" w:color="B0B0B0"/>
              <w:left w:val="single" w:sz="1" w:space="0" w:color="D8D8D8"/>
              <w:bottom w:val="single" w:sz="2" w:space="0" w:color="B0B0B0"/>
              <w:right w:val="single" w:sz="1" w:space="0" w:color="D8D8D8"/>
            </w:tcBorders>
          </w:tcPr>
          <w:p>
            <w:pPr>
              <w:jc w:val="left"/>
            </w:pPr>
            <w:r>
              <w:rPr>
                <w:rFonts w:ascii="Times New Roman" w:hAnsi="Times New Roman"/>
                <w:sz w:val="20"/>
              </w:rPr>
              <w:t>Returns uptime status and GPU/CPU telemetry</w:t>
            </w:r>
          </w:p>
        </w:tc>
      </w:tr>
    </w:tbl>
    <w:p>
      <w:pPr>
        <w:spacing w:before="80" w:after="160" w:line="360" w:lineRule="auto"/>
        <w:jc w:val="both"/>
      </w:pPr>
    </w:p>
    <w:p>
      <w:r>
        <w:br w:type="page"/>
      </w:r>
    </w:p>
    <w:p>
      <w:pPr>
        <w:spacing w:before="360" w:after="360" w:line="360" w:lineRule="auto"/>
        <w:jc w:val="center"/>
      </w:pPr>
      <w:r>
        <w:rPr>
          <w:rFonts w:ascii="Times New Roman" w:hAnsi="Times New Roman"/>
          <w:b/>
          <w:i w:val="0"/>
          <w:color w:val="0A2D5A"/>
          <w:sz w:val="32"/>
        </w:rPr>
        <w:t>CHAPTER 6</w:t>
        <w:br/>
        <w:t>IMPLEMENTATION</w:t>
      </w:r>
    </w:p>
    <w:p>
      <w:pPr>
        <w:spacing w:before="280" w:after="120" w:line="360" w:lineRule="auto"/>
        <w:jc w:val="left"/>
      </w:pPr>
      <w:r>
        <w:rPr>
          <w:rFonts w:ascii="Times New Roman" w:hAnsi="Times New Roman"/>
          <w:b/>
          <w:i w:val="0"/>
          <w:color w:val="0F234B"/>
          <w:sz w:val="28"/>
        </w:rPr>
        <w:t>Deep Learning Ensemble Implementation</w:t>
      </w:r>
    </w:p>
    <w:p>
      <w:pPr>
        <w:spacing w:before="40" w:after="120" w:line="360" w:lineRule="auto"/>
        <w:jc w:val="both"/>
      </w:pPr>
      <w:r>
        <w:rPr>
          <w:rFonts w:ascii="Times New Roman" w:hAnsi="Times New Roman"/>
          <w:b w:val="0"/>
          <w:i w:val="0"/>
          <w:sz w:val="24"/>
        </w:rPr>
        <w:t>The computational core of Visionary Diagnostics is implemented in</w:t>
      </w:r>
      <w:r>
        <w:rPr>
          <w:rFonts w:ascii="Times New Roman" w:hAnsi="Times New Roman"/>
          <w:b/>
          <w:i w:val="0"/>
          <w:sz w:val="24"/>
        </w:rPr>
        <w:t>PyTorch 2.2.1</w:t>
      </w:r>
      <w:r>
        <w:rPr>
          <w:rFonts w:ascii="Times New Roman" w:hAnsi="Times New Roman"/>
          <w:b w:val="0"/>
          <w:i w:val="0"/>
          <w:sz w:val="24"/>
        </w:rPr>
        <w:t>and accelerated for inference via</w:t>
      </w:r>
      <w:r>
        <w:rPr>
          <w:rFonts w:ascii="Times New Roman" w:hAnsi="Times New Roman"/>
          <w:b/>
          <w:i w:val="0"/>
          <w:sz w:val="24"/>
        </w:rPr>
        <w:t>ONNX Runtime 1.17.1</w:t>
      </w:r>
      <w:r>
        <w:rPr>
          <w:rFonts w:ascii="Times New Roman" w:hAnsi="Times New Roman"/>
          <w:b w:val="0"/>
          <w:i w:val="0"/>
          <w:sz w:val="24"/>
        </w:rPr>
        <w:t>. The model architecture, instantiated in the custom class</w:t>
      </w:r>
      <w:r>
        <w:rPr>
          <w:rFonts w:ascii="Consolas" w:hAnsi="Consolas"/>
          <w:color w:val="1E1E1E"/>
          <w:sz w:val="22"/>
        </w:rPr>
        <w:t>MergedNet</w:t>
      </w:r>
      <w:r>
        <w:rPr>
          <w:rFonts w:ascii="Times New Roman" w:hAnsi="Times New Roman"/>
          <w:b w:val="0"/>
          <w:i w:val="0"/>
          <w:sz w:val="24"/>
        </w:rPr>
        <w:t>, integrates four pre-trained backbone feature extractors initialized with ImageNet weights:</w:t>
      </w:r>
    </w:p>
    <w:p>
      <w:pPr>
        <w:spacing w:before="40" w:after="80" w:line="312" w:lineRule="auto"/>
        <w:ind w:left="576"/>
      </w:pPr>
      <w:r>
        <w:rPr>
          <w:rFonts w:ascii="Times New Roman" w:hAnsi="Times New Roman"/>
          <w:b/>
          <w:sz w:val="22"/>
        </w:rPr>
        <w:t xml:space="preserve">1. </w:t>
      </w:r>
      <w:r>
        <w:rPr>
          <w:rFonts w:ascii="Times New Roman" w:hAnsi="Times New Roman"/>
          <w:b/>
          <w:i w:val="0"/>
          <w:sz w:val="23"/>
        </w:rPr>
        <w:t>ResNet-50:</w:t>
      </w:r>
      <w:r>
        <w:rPr>
          <w:rFonts w:ascii="Times New Roman" w:hAnsi="Times New Roman"/>
          <w:b w:val="0"/>
          <w:i w:val="0"/>
          <w:sz w:val="23"/>
        </w:rPr>
        <w:t>Captures residual skip-connection representations terminating at layer</w:t>
      </w:r>
      <w:r>
        <w:rPr>
          <w:rFonts w:ascii="Consolas" w:hAnsi="Consolas"/>
          <w:color w:val="1E1E1E"/>
          <w:sz w:val="21"/>
        </w:rPr>
        <w:t>conv5_x</w:t>
      </w:r>
      <w:r>
        <w:rPr>
          <w:rFonts w:ascii="Times New Roman" w:hAnsi="Times New Roman"/>
          <w:b w:val="0"/>
          <w:i w:val="0"/>
          <w:sz w:val="23"/>
        </w:rPr>
        <w:t>, producing a 2,048-dimensional global average pooled feature vector.</w:t>
      </w:r>
    </w:p>
    <w:p>
      <w:pPr>
        <w:spacing w:before="40" w:after="80" w:line="312" w:lineRule="auto"/>
        <w:ind w:left="576"/>
      </w:pPr>
      <w:r>
        <w:rPr>
          <w:rFonts w:ascii="Times New Roman" w:hAnsi="Times New Roman"/>
          <w:b/>
          <w:sz w:val="22"/>
        </w:rPr>
        <w:t xml:space="preserve">2. </w:t>
      </w:r>
      <w:r>
        <w:rPr>
          <w:rFonts w:ascii="Times New Roman" w:hAnsi="Times New Roman"/>
          <w:b/>
          <w:i w:val="0"/>
          <w:sz w:val="23"/>
        </w:rPr>
        <w:t>EfficientNet-B0:</w:t>
      </w:r>
      <w:r>
        <w:rPr>
          <w:rFonts w:ascii="Times New Roman" w:hAnsi="Times New Roman"/>
          <w:b w:val="0"/>
          <w:i w:val="0"/>
          <w:sz w:val="23"/>
        </w:rPr>
        <w:t>Employs mobile inverted bottleneck blocks (MBConv), terminating at the top convolutional layer to yield a 1,280-dimensional feature vector.</w:t>
      </w:r>
    </w:p>
    <w:p>
      <w:pPr>
        <w:spacing w:before="40" w:after="80" w:line="312" w:lineRule="auto"/>
        <w:ind w:left="576"/>
      </w:pPr>
      <w:r>
        <w:rPr>
          <w:rFonts w:ascii="Times New Roman" w:hAnsi="Times New Roman"/>
          <w:b/>
          <w:sz w:val="22"/>
        </w:rPr>
        <w:t xml:space="preserve">3. </w:t>
      </w:r>
      <w:r>
        <w:rPr>
          <w:rFonts w:ascii="Times New Roman" w:hAnsi="Times New Roman"/>
          <w:b/>
          <w:i w:val="0"/>
          <w:sz w:val="23"/>
        </w:rPr>
        <w:t>MobileNetV2:</w:t>
      </w:r>
      <w:r>
        <w:rPr>
          <w:rFonts w:ascii="Times New Roman" w:hAnsi="Times New Roman"/>
          <w:b w:val="0"/>
          <w:i w:val="0"/>
          <w:sz w:val="23"/>
        </w:rPr>
        <w:t>Leverages inverted residual linear bottlenecks, outputting a 1,280-dimensional feature vector.</w:t>
      </w:r>
    </w:p>
    <w:p>
      <w:pPr>
        <w:spacing w:before="40" w:after="80" w:line="312" w:lineRule="auto"/>
        <w:ind w:left="576"/>
      </w:pPr>
      <w:r>
        <w:rPr>
          <w:rFonts w:ascii="Times New Roman" w:hAnsi="Times New Roman"/>
          <w:b/>
          <w:sz w:val="22"/>
        </w:rPr>
        <w:t xml:space="preserve">4. </w:t>
      </w:r>
      <w:r>
        <w:rPr>
          <w:rFonts w:ascii="Times New Roman" w:hAnsi="Times New Roman"/>
          <w:b/>
          <w:i w:val="0"/>
          <w:sz w:val="23"/>
        </w:rPr>
        <w:t>VGG-16:</w:t>
      </w:r>
      <w:r>
        <w:rPr>
          <w:rFonts w:ascii="Times New Roman" w:hAnsi="Times New Roman"/>
          <w:b w:val="0"/>
          <w:i w:val="0"/>
          <w:sz w:val="23"/>
        </w:rPr>
        <w:t>Utilizes stacked 3× 3 convolutional layers terminating at</w:t>
      </w:r>
      <w:r>
        <w:rPr>
          <w:rFonts w:ascii="Consolas" w:hAnsi="Consolas"/>
          <w:color w:val="1E1E1E"/>
          <w:sz w:val="21"/>
        </w:rPr>
        <w:t>block5_pool</w:t>
      </w:r>
      <w:r>
        <w:rPr>
          <w:rFonts w:ascii="Times New Roman" w:hAnsi="Times New Roman"/>
          <w:b w:val="0"/>
          <w:i w:val="0"/>
          <w:sz w:val="23"/>
        </w:rPr>
        <w:t>, yielding a 512-dimensional feature vector.</w:t>
      </w:r>
    </w:p>
    <w:p>
      <w:pPr>
        <w:spacing w:before="40" w:after="120" w:line="360" w:lineRule="auto"/>
        <w:jc w:val="both"/>
      </w:pPr>
      <w:r>
        <w:rPr>
          <w:rFonts w:ascii="Times New Roman" w:hAnsi="Times New Roman"/>
          <w:b w:val="0"/>
          <w:i w:val="0"/>
          <w:sz w:val="24"/>
        </w:rPr>
        <w:t>Table tab:backbone_parameters summarizes the architectural specifications and parameter distributions across the ensemble components.</w:t>
      </w:r>
    </w:p>
    <w:p>
      <w:pPr>
        <w:spacing w:before="200" w:after="80" w:line="360" w:lineRule="auto"/>
        <w:jc w:val="center"/>
      </w:pPr>
      <w:r>
        <w:rPr>
          <w:rFonts w:ascii="Times New Roman" w:hAnsi="Times New Roman"/>
          <w:b/>
          <w:i w:val="0"/>
          <w:color w:val="0A2D5A"/>
          <w:sz w:val="22"/>
        </w:rPr>
        <w:t>Table: Architectural and Parameter Summary of MergedNet Ensemble Backbones</w:t>
      </w:r>
    </w:p>
    <w:tbl>
      <w:tblPr>
        <w:tblW w:type="auto" w:w="0"/>
        <w:jc w:val="center"/>
        <w:tblLook w:firstColumn="1" w:firstRow="1" w:lastColumn="0" w:lastRow="0" w:noHBand="0" w:noVBand="1" w:val="04A0"/>
      </w:tblPr>
      <w:tblGrid>
        <w:gridCol w:w="1734"/>
        <w:gridCol w:w="1734"/>
        <w:gridCol w:w="1734"/>
        <w:gridCol w:w="1734"/>
        <w:gridCol w:w="1734"/>
      </w:tblGrid>
      <w:tr>
        <w:tc>
          <w:tcPr>
            <w:tcW w:type="dxa" w:w="1734"/>
            <w:tcMar>
              <w:top w:w="80" w:type="dxa"/>
              <w:bottom w:w="80" w:type="dxa"/>
              <w:left w:w="120" w:type="dxa"/>
              <w:right w:w="120" w:type="dxa"/>
            </w:tcMar>
            <w:tcBorders>
              <w:top w:val="single" w:sz="2" w:space="0" w:color="B0B0B0"/>
              <w:left w:val="single" w:sz="1" w:space="0" w:color="D8D8D8"/>
              <w:bottom w:val="single" w:sz="2" w:space="0" w:color="B0B0B0"/>
              <w:right w:val="single" w:sz="1" w:space="0" w:color="D8D8D8"/>
            </w:tcBorders>
            <w:shd w:fill="EBF0F5"/>
          </w:tcPr>
          <w:p>
            <w:pPr>
              <w:jc w:val="center"/>
            </w:pPr>
            <w:r>
              <w:rPr>
                <w:rFonts w:ascii="Times New Roman" w:hAnsi="Times New Roman"/>
                <w:b/>
                <w:sz w:val="21"/>
              </w:rPr>
              <w:t>\textbf{Backbone Model}</w:t>
            </w:r>
          </w:p>
        </w:tc>
        <w:tc>
          <w:tcPr>
            <w:tcW w:type="dxa" w:w="1734"/>
            <w:tcMar>
              <w:top w:w="80" w:type="dxa"/>
              <w:bottom w:w="80" w:type="dxa"/>
              <w:left w:w="120" w:type="dxa"/>
              <w:right w:w="120" w:type="dxa"/>
            </w:tcMar>
            <w:tcBorders>
              <w:top w:val="single" w:sz="2" w:space="0" w:color="B0B0B0"/>
              <w:left w:val="single" w:sz="1" w:space="0" w:color="D8D8D8"/>
              <w:bottom w:val="single" w:sz="2" w:space="0" w:color="B0B0B0"/>
              <w:right w:val="single" w:sz="1" w:space="0" w:color="D8D8D8"/>
            </w:tcBorders>
            <w:shd w:fill="EBF0F5"/>
          </w:tcPr>
          <w:p>
            <w:pPr>
              <w:jc w:val="center"/>
            </w:pPr>
            <w:r>
              <w:rPr>
                <w:rFonts w:ascii="Times New Roman" w:hAnsi="Times New Roman"/>
                <w:b/>
                <w:sz w:val="21"/>
              </w:rPr>
              <w:t>\textbf{Input Dim}</w:t>
            </w:r>
          </w:p>
        </w:tc>
        <w:tc>
          <w:tcPr>
            <w:tcW w:type="dxa" w:w="1734"/>
            <w:tcMar>
              <w:top w:w="80" w:type="dxa"/>
              <w:bottom w:w="80" w:type="dxa"/>
              <w:left w:w="120" w:type="dxa"/>
              <w:right w:w="120" w:type="dxa"/>
            </w:tcMar>
            <w:tcBorders>
              <w:top w:val="single" w:sz="2" w:space="0" w:color="B0B0B0"/>
              <w:left w:val="single" w:sz="1" w:space="0" w:color="D8D8D8"/>
              <w:bottom w:val="single" w:sz="2" w:space="0" w:color="B0B0B0"/>
              <w:right w:val="single" w:sz="1" w:space="0" w:color="D8D8D8"/>
            </w:tcBorders>
            <w:shd w:fill="EBF0F5"/>
          </w:tcPr>
          <w:p>
            <w:pPr>
              <w:jc w:val="center"/>
            </w:pPr>
            <w:r>
              <w:rPr>
                <w:rFonts w:ascii="Times New Roman" w:hAnsi="Times New Roman"/>
                <w:b/>
                <w:sz w:val="21"/>
              </w:rPr>
              <w:t>\textbf{Feature Dim}</w:t>
            </w:r>
          </w:p>
        </w:tc>
        <w:tc>
          <w:tcPr>
            <w:tcW w:type="dxa" w:w="1734"/>
            <w:tcMar>
              <w:top w:w="80" w:type="dxa"/>
              <w:bottom w:w="80" w:type="dxa"/>
              <w:left w:w="120" w:type="dxa"/>
              <w:right w:w="120" w:type="dxa"/>
            </w:tcMar>
            <w:tcBorders>
              <w:top w:val="single" w:sz="2" w:space="0" w:color="B0B0B0"/>
              <w:left w:val="single" w:sz="1" w:space="0" w:color="D8D8D8"/>
              <w:bottom w:val="single" w:sz="2" w:space="0" w:color="B0B0B0"/>
              <w:right w:val="single" w:sz="1" w:space="0" w:color="D8D8D8"/>
            </w:tcBorders>
            <w:shd w:fill="EBF0F5"/>
          </w:tcPr>
          <w:p>
            <w:pPr>
              <w:jc w:val="center"/>
            </w:pPr>
            <w:r>
              <w:rPr>
                <w:rFonts w:ascii="Times New Roman" w:hAnsi="Times New Roman"/>
                <w:b/>
                <w:sz w:val="21"/>
              </w:rPr>
              <w:t>\textbf{Parameters (M)}</w:t>
            </w:r>
          </w:p>
        </w:tc>
        <w:tc>
          <w:tcPr>
            <w:tcW w:type="dxa" w:w="1734"/>
            <w:tcMar>
              <w:top w:w="80" w:type="dxa"/>
              <w:bottom w:w="80" w:type="dxa"/>
              <w:left w:w="120" w:type="dxa"/>
              <w:right w:w="120" w:type="dxa"/>
            </w:tcMar>
            <w:tcBorders>
              <w:top w:val="single" w:sz="2" w:space="0" w:color="B0B0B0"/>
              <w:left w:val="single" w:sz="1" w:space="0" w:color="D8D8D8"/>
              <w:bottom w:val="single" w:sz="2" w:space="0" w:color="B0B0B0"/>
              <w:right w:val="single" w:sz="1" w:space="0" w:color="D8D8D8"/>
            </w:tcBorders>
            <w:shd w:fill="EBF0F5"/>
          </w:tcPr>
          <w:p>
            <w:pPr>
              <w:jc w:val="center"/>
            </w:pPr>
            <w:r>
              <w:rPr>
                <w:rFonts w:ascii="Times New Roman" w:hAnsi="Times New Roman"/>
                <w:b/>
                <w:sz w:val="21"/>
              </w:rPr>
              <w:t>\textbf{Receptive Field Specialization}</w:t>
            </w:r>
          </w:p>
        </w:tc>
      </w:tr>
      <w:tr>
        <w:tc>
          <w:tcPr>
            <w:tcW w:type="dxa" w:w="1734"/>
            <w:tcMar>
              <w:top w:w="80" w:type="dxa"/>
              <w:bottom w:w="80" w:type="dxa"/>
              <w:left w:w="120" w:type="dxa"/>
              <w:right w:w="120" w:type="dxa"/>
            </w:tcMar>
            <w:tcBorders>
              <w:top w:val="single" w:sz="2" w:space="0" w:color="B0B0B0"/>
              <w:left w:val="single" w:sz="1" w:space="0" w:color="D8D8D8"/>
              <w:bottom w:val="single" w:sz="2" w:space="0" w:color="B0B0B0"/>
              <w:right w:val="single" w:sz="1" w:space="0" w:color="D8D8D8"/>
            </w:tcBorders>
          </w:tcPr>
          <w:p>
            <w:pPr>
              <w:jc w:val="left"/>
            </w:pPr>
            <w:r>
              <w:rPr>
                <w:rFonts w:ascii="Times New Roman" w:hAnsi="Times New Roman"/>
                <w:sz w:val="20"/>
              </w:rPr>
              <w:t>ResNet-50</w:t>
            </w:r>
          </w:p>
        </w:tc>
        <w:tc>
          <w:tcPr>
            <w:tcW w:type="dxa" w:w="1734"/>
            <w:tcMar>
              <w:top w:w="80" w:type="dxa"/>
              <w:bottom w:w="80" w:type="dxa"/>
              <w:left w:w="120" w:type="dxa"/>
              <w:right w:w="120" w:type="dxa"/>
            </w:tcMar>
            <w:tcBorders>
              <w:top w:val="single" w:sz="2" w:space="0" w:color="B0B0B0"/>
              <w:left w:val="single" w:sz="1" w:space="0" w:color="D8D8D8"/>
              <w:bottom w:val="single" w:sz="2" w:space="0" w:color="B0B0B0"/>
              <w:right w:val="single" w:sz="1" w:space="0" w:color="D8D8D8"/>
            </w:tcBorders>
          </w:tcPr>
          <w:p>
            <w:pPr>
              <w:jc w:val="left"/>
            </w:pPr>
            <w:r>
              <w:rPr>
                <w:rFonts w:ascii="Times New Roman" w:hAnsi="Times New Roman"/>
                <w:sz w:val="20"/>
              </w:rPr>
              <w:t>224 × 224</w:t>
            </w:r>
          </w:p>
        </w:tc>
        <w:tc>
          <w:tcPr>
            <w:tcW w:type="dxa" w:w="1734"/>
            <w:tcMar>
              <w:top w:w="80" w:type="dxa"/>
              <w:bottom w:w="80" w:type="dxa"/>
              <w:left w:w="120" w:type="dxa"/>
              <w:right w:w="120" w:type="dxa"/>
            </w:tcMar>
            <w:tcBorders>
              <w:top w:val="single" w:sz="2" w:space="0" w:color="B0B0B0"/>
              <w:left w:val="single" w:sz="1" w:space="0" w:color="D8D8D8"/>
              <w:bottom w:val="single" w:sz="2" w:space="0" w:color="B0B0B0"/>
              <w:right w:val="single" w:sz="1" w:space="0" w:color="D8D8D8"/>
            </w:tcBorders>
          </w:tcPr>
          <w:p>
            <w:pPr>
              <w:jc w:val="left"/>
            </w:pPr>
            <w:r>
              <w:rPr>
                <w:rFonts w:ascii="Times New Roman" w:hAnsi="Times New Roman"/>
                <w:sz w:val="20"/>
              </w:rPr>
              <w:t>2,048</w:t>
            </w:r>
          </w:p>
        </w:tc>
        <w:tc>
          <w:tcPr>
            <w:tcW w:type="dxa" w:w="1734"/>
            <w:tcMar>
              <w:top w:w="80" w:type="dxa"/>
              <w:bottom w:w="80" w:type="dxa"/>
              <w:left w:w="120" w:type="dxa"/>
              <w:right w:w="120" w:type="dxa"/>
            </w:tcMar>
            <w:tcBorders>
              <w:top w:val="single" w:sz="2" w:space="0" w:color="B0B0B0"/>
              <w:left w:val="single" w:sz="1" w:space="0" w:color="D8D8D8"/>
              <w:bottom w:val="single" w:sz="2" w:space="0" w:color="B0B0B0"/>
              <w:right w:val="single" w:sz="1" w:space="0" w:color="D8D8D8"/>
            </w:tcBorders>
          </w:tcPr>
          <w:p>
            <w:pPr>
              <w:jc w:val="left"/>
            </w:pPr>
            <w:r>
              <w:rPr>
                <w:rFonts w:ascii="Times New Roman" w:hAnsi="Times New Roman"/>
                <w:sz w:val="20"/>
              </w:rPr>
              <w:t>23.5 M</w:t>
            </w:r>
          </w:p>
        </w:tc>
        <w:tc>
          <w:tcPr>
            <w:tcW w:type="dxa" w:w="1734"/>
            <w:tcMar>
              <w:top w:w="80" w:type="dxa"/>
              <w:bottom w:w="80" w:type="dxa"/>
              <w:left w:w="120" w:type="dxa"/>
              <w:right w:w="120" w:type="dxa"/>
            </w:tcMar>
            <w:tcBorders>
              <w:top w:val="single" w:sz="2" w:space="0" w:color="B0B0B0"/>
              <w:left w:val="single" w:sz="1" w:space="0" w:color="D8D8D8"/>
              <w:bottom w:val="single" w:sz="2" w:space="0" w:color="B0B0B0"/>
              <w:right w:val="single" w:sz="1" w:space="0" w:color="D8D8D8"/>
            </w:tcBorders>
          </w:tcPr>
          <w:p>
            <w:pPr>
              <w:jc w:val="left"/>
            </w:pPr>
            <w:r>
              <w:rPr>
                <w:rFonts w:ascii="Times New Roman" w:hAnsi="Times New Roman"/>
                <w:sz w:val="20"/>
              </w:rPr>
              <w:t>Macro-architectural lesion borders and invasion</w:t>
            </w:r>
          </w:p>
        </w:tc>
      </w:tr>
      <w:tr>
        <w:tc>
          <w:tcPr>
            <w:tcW w:type="dxa" w:w="1734"/>
            <w:tcMar>
              <w:top w:w="80" w:type="dxa"/>
              <w:bottom w:w="80" w:type="dxa"/>
              <w:left w:w="120" w:type="dxa"/>
              <w:right w:w="120" w:type="dxa"/>
            </w:tcMar>
            <w:tcBorders>
              <w:top w:val="single" w:sz="2" w:space="0" w:color="B0B0B0"/>
              <w:left w:val="single" w:sz="1" w:space="0" w:color="D8D8D8"/>
              <w:bottom w:val="single" w:sz="2" w:space="0" w:color="B0B0B0"/>
              <w:right w:val="single" w:sz="1" w:space="0" w:color="D8D8D8"/>
            </w:tcBorders>
          </w:tcPr>
          <w:p>
            <w:pPr>
              <w:jc w:val="left"/>
            </w:pPr>
            <w:r>
              <w:rPr>
                <w:rFonts w:ascii="Times New Roman" w:hAnsi="Times New Roman"/>
                <w:sz w:val="20"/>
              </w:rPr>
              <w:t>EfficientNet-B0</w:t>
            </w:r>
          </w:p>
        </w:tc>
        <w:tc>
          <w:tcPr>
            <w:tcW w:type="dxa" w:w="1734"/>
            <w:tcMar>
              <w:top w:w="80" w:type="dxa"/>
              <w:bottom w:w="80" w:type="dxa"/>
              <w:left w:w="120" w:type="dxa"/>
              <w:right w:w="120" w:type="dxa"/>
            </w:tcMar>
            <w:tcBorders>
              <w:top w:val="single" w:sz="2" w:space="0" w:color="B0B0B0"/>
              <w:left w:val="single" w:sz="1" w:space="0" w:color="D8D8D8"/>
              <w:bottom w:val="single" w:sz="2" w:space="0" w:color="B0B0B0"/>
              <w:right w:val="single" w:sz="1" w:space="0" w:color="D8D8D8"/>
            </w:tcBorders>
          </w:tcPr>
          <w:p>
            <w:pPr>
              <w:jc w:val="left"/>
            </w:pPr>
            <w:r>
              <w:rPr>
                <w:rFonts w:ascii="Times New Roman" w:hAnsi="Times New Roman"/>
                <w:sz w:val="20"/>
              </w:rPr>
              <w:t>224 × 224</w:t>
            </w:r>
          </w:p>
        </w:tc>
        <w:tc>
          <w:tcPr>
            <w:tcW w:type="dxa" w:w="1734"/>
            <w:tcMar>
              <w:top w:w="80" w:type="dxa"/>
              <w:bottom w:w="80" w:type="dxa"/>
              <w:left w:w="120" w:type="dxa"/>
              <w:right w:w="120" w:type="dxa"/>
            </w:tcMar>
            <w:tcBorders>
              <w:top w:val="single" w:sz="2" w:space="0" w:color="B0B0B0"/>
              <w:left w:val="single" w:sz="1" w:space="0" w:color="D8D8D8"/>
              <w:bottom w:val="single" w:sz="2" w:space="0" w:color="B0B0B0"/>
              <w:right w:val="single" w:sz="1" w:space="0" w:color="D8D8D8"/>
            </w:tcBorders>
          </w:tcPr>
          <w:p>
            <w:pPr>
              <w:jc w:val="left"/>
            </w:pPr>
            <w:r>
              <w:rPr>
                <w:rFonts w:ascii="Times New Roman" w:hAnsi="Times New Roman"/>
                <w:sz w:val="20"/>
              </w:rPr>
              <w:t>1,280</w:t>
            </w:r>
          </w:p>
        </w:tc>
        <w:tc>
          <w:tcPr>
            <w:tcW w:type="dxa" w:w="1734"/>
            <w:tcMar>
              <w:top w:w="80" w:type="dxa"/>
              <w:bottom w:w="80" w:type="dxa"/>
              <w:left w:w="120" w:type="dxa"/>
              <w:right w:w="120" w:type="dxa"/>
            </w:tcMar>
            <w:tcBorders>
              <w:top w:val="single" w:sz="2" w:space="0" w:color="B0B0B0"/>
              <w:left w:val="single" w:sz="1" w:space="0" w:color="D8D8D8"/>
              <w:bottom w:val="single" w:sz="2" w:space="0" w:color="B0B0B0"/>
              <w:right w:val="single" w:sz="1" w:space="0" w:color="D8D8D8"/>
            </w:tcBorders>
          </w:tcPr>
          <w:p>
            <w:pPr>
              <w:jc w:val="left"/>
            </w:pPr>
            <w:r>
              <w:rPr>
                <w:rFonts w:ascii="Times New Roman" w:hAnsi="Times New Roman"/>
                <w:sz w:val="20"/>
              </w:rPr>
              <w:t>4.0 M</w:t>
            </w:r>
          </w:p>
        </w:tc>
        <w:tc>
          <w:tcPr>
            <w:tcW w:type="dxa" w:w="1734"/>
            <w:tcMar>
              <w:top w:w="80" w:type="dxa"/>
              <w:bottom w:w="80" w:type="dxa"/>
              <w:left w:w="120" w:type="dxa"/>
              <w:right w:w="120" w:type="dxa"/>
            </w:tcMar>
            <w:tcBorders>
              <w:top w:val="single" w:sz="2" w:space="0" w:color="B0B0B0"/>
              <w:left w:val="single" w:sz="1" w:space="0" w:color="D8D8D8"/>
              <w:bottom w:val="single" w:sz="2" w:space="0" w:color="B0B0B0"/>
              <w:right w:val="single" w:sz="1" w:space="0" w:color="D8D8D8"/>
            </w:tcBorders>
          </w:tcPr>
          <w:p>
            <w:pPr>
              <w:jc w:val="left"/>
            </w:pPr>
            <w:r>
              <w:rPr>
                <w:rFonts w:ascii="Times New Roman" w:hAnsi="Times New Roman"/>
                <w:sz w:val="20"/>
              </w:rPr>
              <w:t>Multi-frequency balanced spatial textures</w:t>
            </w:r>
          </w:p>
        </w:tc>
      </w:tr>
      <w:tr>
        <w:tc>
          <w:tcPr>
            <w:tcW w:type="dxa" w:w="1734"/>
            <w:tcMar>
              <w:top w:w="80" w:type="dxa"/>
              <w:bottom w:w="80" w:type="dxa"/>
              <w:left w:w="120" w:type="dxa"/>
              <w:right w:w="120" w:type="dxa"/>
            </w:tcMar>
            <w:tcBorders>
              <w:top w:val="single" w:sz="2" w:space="0" w:color="B0B0B0"/>
              <w:left w:val="single" w:sz="1" w:space="0" w:color="D8D8D8"/>
              <w:bottom w:val="single" w:sz="2" w:space="0" w:color="B0B0B0"/>
              <w:right w:val="single" w:sz="1" w:space="0" w:color="D8D8D8"/>
            </w:tcBorders>
          </w:tcPr>
          <w:p>
            <w:pPr>
              <w:jc w:val="left"/>
            </w:pPr>
            <w:r>
              <w:rPr>
                <w:rFonts w:ascii="Times New Roman" w:hAnsi="Times New Roman"/>
                <w:sz w:val="20"/>
              </w:rPr>
              <w:t>MobileNetV2</w:t>
            </w:r>
          </w:p>
        </w:tc>
        <w:tc>
          <w:tcPr>
            <w:tcW w:type="dxa" w:w="1734"/>
            <w:tcMar>
              <w:top w:w="80" w:type="dxa"/>
              <w:bottom w:w="80" w:type="dxa"/>
              <w:left w:w="120" w:type="dxa"/>
              <w:right w:w="120" w:type="dxa"/>
            </w:tcMar>
            <w:tcBorders>
              <w:top w:val="single" w:sz="2" w:space="0" w:color="B0B0B0"/>
              <w:left w:val="single" w:sz="1" w:space="0" w:color="D8D8D8"/>
              <w:bottom w:val="single" w:sz="2" w:space="0" w:color="B0B0B0"/>
              <w:right w:val="single" w:sz="1" w:space="0" w:color="D8D8D8"/>
            </w:tcBorders>
          </w:tcPr>
          <w:p>
            <w:pPr>
              <w:jc w:val="left"/>
            </w:pPr>
            <w:r>
              <w:rPr>
                <w:rFonts w:ascii="Times New Roman" w:hAnsi="Times New Roman"/>
                <w:sz w:val="20"/>
              </w:rPr>
              <w:t>224 × 224</w:t>
            </w:r>
          </w:p>
        </w:tc>
        <w:tc>
          <w:tcPr>
            <w:tcW w:type="dxa" w:w="1734"/>
            <w:tcMar>
              <w:top w:w="80" w:type="dxa"/>
              <w:bottom w:w="80" w:type="dxa"/>
              <w:left w:w="120" w:type="dxa"/>
              <w:right w:w="120" w:type="dxa"/>
            </w:tcMar>
            <w:tcBorders>
              <w:top w:val="single" w:sz="2" w:space="0" w:color="B0B0B0"/>
              <w:left w:val="single" w:sz="1" w:space="0" w:color="D8D8D8"/>
              <w:bottom w:val="single" w:sz="2" w:space="0" w:color="B0B0B0"/>
              <w:right w:val="single" w:sz="1" w:space="0" w:color="D8D8D8"/>
            </w:tcBorders>
          </w:tcPr>
          <w:p>
            <w:pPr>
              <w:jc w:val="left"/>
            </w:pPr>
            <w:r>
              <w:rPr>
                <w:rFonts w:ascii="Times New Roman" w:hAnsi="Times New Roman"/>
                <w:sz w:val="20"/>
              </w:rPr>
              <w:t>1,280</w:t>
            </w:r>
          </w:p>
        </w:tc>
        <w:tc>
          <w:tcPr>
            <w:tcW w:type="dxa" w:w="1734"/>
            <w:tcMar>
              <w:top w:w="80" w:type="dxa"/>
              <w:bottom w:w="80" w:type="dxa"/>
              <w:left w:w="120" w:type="dxa"/>
              <w:right w:w="120" w:type="dxa"/>
            </w:tcMar>
            <w:tcBorders>
              <w:top w:val="single" w:sz="2" w:space="0" w:color="B0B0B0"/>
              <w:left w:val="single" w:sz="1" w:space="0" w:color="D8D8D8"/>
              <w:bottom w:val="single" w:sz="2" w:space="0" w:color="B0B0B0"/>
              <w:right w:val="single" w:sz="1" w:space="0" w:color="D8D8D8"/>
            </w:tcBorders>
          </w:tcPr>
          <w:p>
            <w:pPr>
              <w:jc w:val="left"/>
            </w:pPr>
            <w:r>
              <w:rPr>
                <w:rFonts w:ascii="Times New Roman" w:hAnsi="Times New Roman"/>
                <w:sz w:val="20"/>
              </w:rPr>
              <w:t>2.2 M</w:t>
            </w:r>
          </w:p>
        </w:tc>
        <w:tc>
          <w:tcPr>
            <w:tcW w:type="dxa" w:w="1734"/>
            <w:tcMar>
              <w:top w:w="80" w:type="dxa"/>
              <w:bottom w:w="80" w:type="dxa"/>
              <w:left w:w="120" w:type="dxa"/>
              <w:right w:w="120" w:type="dxa"/>
            </w:tcMar>
            <w:tcBorders>
              <w:top w:val="single" w:sz="2" w:space="0" w:color="B0B0B0"/>
              <w:left w:val="single" w:sz="1" w:space="0" w:color="D8D8D8"/>
              <w:bottom w:val="single" w:sz="2" w:space="0" w:color="B0B0B0"/>
              <w:right w:val="single" w:sz="1" w:space="0" w:color="D8D8D8"/>
            </w:tcBorders>
          </w:tcPr>
          <w:p>
            <w:pPr>
              <w:jc w:val="left"/>
            </w:pPr>
            <w:r>
              <w:rPr>
                <w:rFonts w:ascii="Times New Roman" w:hAnsi="Times New Roman"/>
                <w:sz w:val="20"/>
              </w:rPr>
              <w:t>High-frequency edge gradients, minimal FLOPs</w:t>
            </w:r>
          </w:p>
        </w:tc>
      </w:tr>
      <w:tr>
        <w:tc>
          <w:tcPr>
            <w:tcW w:type="dxa" w:w="1734"/>
            <w:tcMar>
              <w:top w:w="80" w:type="dxa"/>
              <w:bottom w:w="80" w:type="dxa"/>
              <w:left w:w="120" w:type="dxa"/>
              <w:right w:w="120" w:type="dxa"/>
            </w:tcMar>
            <w:tcBorders>
              <w:top w:val="single" w:sz="2" w:space="0" w:color="B0B0B0"/>
              <w:left w:val="single" w:sz="1" w:space="0" w:color="D8D8D8"/>
              <w:bottom w:val="single" w:sz="2" w:space="0" w:color="B0B0B0"/>
              <w:right w:val="single" w:sz="1" w:space="0" w:color="D8D8D8"/>
            </w:tcBorders>
          </w:tcPr>
          <w:p>
            <w:pPr>
              <w:jc w:val="left"/>
            </w:pPr>
            <w:r>
              <w:rPr>
                <w:rFonts w:ascii="Times New Roman" w:hAnsi="Times New Roman"/>
                <w:sz w:val="20"/>
              </w:rPr>
              <w:t>VGG-16</w:t>
            </w:r>
          </w:p>
        </w:tc>
        <w:tc>
          <w:tcPr>
            <w:tcW w:type="dxa" w:w="1734"/>
            <w:tcMar>
              <w:top w:w="80" w:type="dxa"/>
              <w:bottom w:w="80" w:type="dxa"/>
              <w:left w:w="120" w:type="dxa"/>
              <w:right w:w="120" w:type="dxa"/>
            </w:tcMar>
            <w:tcBorders>
              <w:top w:val="single" w:sz="2" w:space="0" w:color="B0B0B0"/>
              <w:left w:val="single" w:sz="1" w:space="0" w:color="D8D8D8"/>
              <w:bottom w:val="single" w:sz="2" w:space="0" w:color="B0B0B0"/>
              <w:right w:val="single" w:sz="1" w:space="0" w:color="D8D8D8"/>
            </w:tcBorders>
          </w:tcPr>
          <w:p>
            <w:pPr>
              <w:jc w:val="left"/>
            </w:pPr>
            <w:r>
              <w:rPr>
                <w:rFonts w:ascii="Times New Roman" w:hAnsi="Times New Roman"/>
                <w:sz w:val="20"/>
              </w:rPr>
              <w:t>224 × 224</w:t>
            </w:r>
          </w:p>
        </w:tc>
        <w:tc>
          <w:tcPr>
            <w:tcW w:type="dxa" w:w="1734"/>
            <w:tcMar>
              <w:top w:w="80" w:type="dxa"/>
              <w:bottom w:w="80" w:type="dxa"/>
              <w:left w:w="120" w:type="dxa"/>
              <w:right w:w="120" w:type="dxa"/>
            </w:tcMar>
            <w:tcBorders>
              <w:top w:val="single" w:sz="2" w:space="0" w:color="B0B0B0"/>
              <w:left w:val="single" w:sz="1" w:space="0" w:color="D8D8D8"/>
              <w:bottom w:val="single" w:sz="2" w:space="0" w:color="B0B0B0"/>
              <w:right w:val="single" w:sz="1" w:space="0" w:color="D8D8D8"/>
            </w:tcBorders>
          </w:tcPr>
          <w:p>
            <w:pPr>
              <w:jc w:val="left"/>
            </w:pPr>
            <w:r>
              <w:rPr>
                <w:rFonts w:ascii="Times New Roman" w:hAnsi="Times New Roman"/>
                <w:sz w:val="20"/>
              </w:rPr>
              <w:t>512</w:t>
            </w:r>
          </w:p>
        </w:tc>
        <w:tc>
          <w:tcPr>
            <w:tcW w:type="dxa" w:w="1734"/>
            <w:tcMar>
              <w:top w:w="80" w:type="dxa"/>
              <w:bottom w:w="80" w:type="dxa"/>
              <w:left w:w="120" w:type="dxa"/>
              <w:right w:w="120" w:type="dxa"/>
            </w:tcMar>
            <w:tcBorders>
              <w:top w:val="single" w:sz="2" w:space="0" w:color="B0B0B0"/>
              <w:left w:val="single" w:sz="1" w:space="0" w:color="D8D8D8"/>
              <w:bottom w:val="single" w:sz="2" w:space="0" w:color="B0B0B0"/>
              <w:right w:val="single" w:sz="1" w:space="0" w:color="D8D8D8"/>
            </w:tcBorders>
          </w:tcPr>
          <w:p>
            <w:pPr>
              <w:jc w:val="left"/>
            </w:pPr>
            <w:r>
              <w:rPr>
                <w:rFonts w:ascii="Times New Roman" w:hAnsi="Times New Roman"/>
                <w:sz w:val="20"/>
              </w:rPr>
              <w:t>14.7 M</w:t>
            </w:r>
          </w:p>
        </w:tc>
        <w:tc>
          <w:tcPr>
            <w:tcW w:type="dxa" w:w="1734"/>
            <w:tcMar>
              <w:top w:w="80" w:type="dxa"/>
              <w:bottom w:w="80" w:type="dxa"/>
              <w:left w:w="120" w:type="dxa"/>
              <w:right w:w="120" w:type="dxa"/>
            </w:tcMar>
            <w:tcBorders>
              <w:top w:val="single" w:sz="2" w:space="0" w:color="B0B0B0"/>
              <w:left w:val="single" w:sz="1" w:space="0" w:color="D8D8D8"/>
              <w:bottom w:val="single" w:sz="2" w:space="0" w:color="B0B0B0"/>
              <w:right w:val="single" w:sz="1" w:space="0" w:color="D8D8D8"/>
            </w:tcBorders>
          </w:tcPr>
          <w:p>
            <w:pPr>
              <w:jc w:val="left"/>
            </w:pPr>
            <w:r>
              <w:rPr>
                <w:rFonts w:ascii="Times New Roman" w:hAnsi="Times New Roman"/>
                <w:sz w:val="20"/>
              </w:rPr>
              <w:t>Micro-vascular mucosal erythema and keratosises</w:t>
            </w:r>
          </w:p>
        </w:tc>
      </w:tr>
      <w:tr>
        <w:tc>
          <w:tcPr>
            <w:tcW w:type="dxa" w:w="1734"/>
            <w:tcMar>
              <w:top w:w="80" w:type="dxa"/>
              <w:bottom w:w="80" w:type="dxa"/>
              <w:left w:w="120" w:type="dxa"/>
              <w:right w:w="120" w:type="dxa"/>
            </w:tcMar>
            <w:tcBorders>
              <w:top w:val="single" w:sz="2" w:space="0" w:color="B0B0B0"/>
              <w:left w:val="single" w:sz="1" w:space="0" w:color="D8D8D8"/>
              <w:bottom w:val="single" w:sz="2" w:space="0" w:color="B0B0B0"/>
              <w:right w:val="single" w:sz="1" w:space="0" w:color="D8D8D8"/>
            </w:tcBorders>
          </w:tcPr>
          <w:p>
            <w:pPr>
              <w:jc w:val="left"/>
            </w:pPr>
            <w:r>
              <w:rPr>
                <w:rFonts w:ascii="Times New Roman" w:hAnsi="Times New Roman"/>
                <w:sz w:val="20"/>
              </w:rPr>
              <w:t>Classification Head</w:t>
            </w:r>
          </w:p>
        </w:tc>
        <w:tc>
          <w:tcPr>
            <w:tcW w:type="dxa" w:w="1734"/>
            <w:tcMar>
              <w:top w:w="80" w:type="dxa"/>
              <w:bottom w:w="80" w:type="dxa"/>
              <w:left w:w="120" w:type="dxa"/>
              <w:right w:w="120" w:type="dxa"/>
            </w:tcMar>
            <w:tcBorders>
              <w:top w:val="single" w:sz="2" w:space="0" w:color="B0B0B0"/>
              <w:left w:val="single" w:sz="1" w:space="0" w:color="D8D8D8"/>
              <w:bottom w:val="single" w:sz="2" w:space="0" w:color="B0B0B0"/>
              <w:right w:val="single" w:sz="1" w:space="0" w:color="D8D8D8"/>
            </w:tcBorders>
          </w:tcPr>
          <w:p>
            <w:pPr>
              <w:jc w:val="left"/>
            </w:pPr>
            <w:r>
              <w:rPr>
                <w:rFonts w:ascii="Times New Roman" w:hAnsi="Times New Roman"/>
                <w:sz w:val="20"/>
              </w:rPr>
              <w:t>5,120 × 1</w:t>
            </w:r>
          </w:p>
        </w:tc>
        <w:tc>
          <w:tcPr>
            <w:tcW w:type="dxa" w:w="1734"/>
            <w:tcMar>
              <w:top w:w="80" w:type="dxa"/>
              <w:bottom w:w="80" w:type="dxa"/>
              <w:left w:w="120" w:type="dxa"/>
              <w:right w:w="120" w:type="dxa"/>
            </w:tcMar>
            <w:tcBorders>
              <w:top w:val="single" w:sz="2" w:space="0" w:color="B0B0B0"/>
              <w:left w:val="single" w:sz="1" w:space="0" w:color="D8D8D8"/>
              <w:bottom w:val="single" w:sz="2" w:space="0" w:color="B0B0B0"/>
              <w:right w:val="single" w:sz="1" w:space="0" w:color="D8D8D8"/>
            </w:tcBorders>
          </w:tcPr>
          <w:p>
            <w:pPr>
              <w:jc w:val="left"/>
            </w:pPr>
            <w:r>
              <w:rPr>
                <w:rFonts w:ascii="Times New Roman" w:hAnsi="Times New Roman"/>
                <w:sz w:val="20"/>
              </w:rPr>
              <w:t>2</w:t>
            </w:r>
          </w:p>
        </w:tc>
        <w:tc>
          <w:tcPr>
            <w:tcW w:type="dxa" w:w="1734"/>
            <w:tcMar>
              <w:top w:w="80" w:type="dxa"/>
              <w:bottom w:w="80" w:type="dxa"/>
              <w:left w:w="120" w:type="dxa"/>
              <w:right w:w="120" w:type="dxa"/>
            </w:tcMar>
            <w:tcBorders>
              <w:top w:val="single" w:sz="2" w:space="0" w:color="B0B0B0"/>
              <w:left w:val="single" w:sz="1" w:space="0" w:color="D8D8D8"/>
              <w:bottom w:val="single" w:sz="2" w:space="0" w:color="B0B0B0"/>
              <w:right w:val="single" w:sz="1" w:space="0" w:color="D8D8D8"/>
            </w:tcBorders>
          </w:tcPr>
          <w:p>
            <w:pPr>
              <w:jc w:val="left"/>
            </w:pPr>
            <w:r>
              <w:rPr>
                <w:rFonts w:ascii="Times New Roman" w:hAnsi="Times New Roman"/>
                <w:sz w:val="20"/>
              </w:rPr>
              <w:t>2.6 M</w:t>
            </w:r>
          </w:p>
        </w:tc>
        <w:tc>
          <w:tcPr>
            <w:tcW w:type="dxa" w:w="1734"/>
            <w:tcMar>
              <w:top w:w="80" w:type="dxa"/>
              <w:bottom w:w="80" w:type="dxa"/>
              <w:left w:w="120" w:type="dxa"/>
              <w:right w:w="120" w:type="dxa"/>
            </w:tcMar>
            <w:tcBorders>
              <w:top w:val="single" w:sz="2" w:space="0" w:color="B0B0B0"/>
              <w:left w:val="single" w:sz="1" w:space="0" w:color="D8D8D8"/>
              <w:bottom w:val="single" w:sz="2" w:space="0" w:color="B0B0B0"/>
              <w:right w:val="single" w:sz="1" w:space="0" w:color="D8D8D8"/>
            </w:tcBorders>
          </w:tcPr>
          <w:p>
            <w:pPr>
              <w:jc w:val="left"/>
            </w:pPr>
            <w:r>
              <w:rPr>
                <w:rFonts w:ascii="Times New Roman" w:hAnsi="Times New Roman"/>
                <w:sz w:val="20"/>
              </w:rPr>
              <w:t>Multi-layer perceptron with variational dropout</w:t>
            </w:r>
          </w:p>
        </w:tc>
      </w:tr>
      <w:tr>
        <w:tc>
          <w:tcPr>
            <w:tcW w:type="dxa" w:w="1734"/>
            <w:tcMar>
              <w:top w:w="80" w:type="dxa"/>
              <w:bottom w:w="80" w:type="dxa"/>
              <w:left w:w="120" w:type="dxa"/>
              <w:right w:w="120" w:type="dxa"/>
            </w:tcMar>
            <w:tcBorders>
              <w:top w:val="single" w:sz="2" w:space="0" w:color="B0B0B0"/>
              <w:left w:val="single" w:sz="1" w:space="0" w:color="D8D8D8"/>
              <w:bottom w:val="single" w:sz="2" w:space="0" w:color="B0B0B0"/>
              <w:right w:val="single" w:sz="1" w:space="0" w:color="D8D8D8"/>
            </w:tcBorders>
          </w:tcPr>
          <w:p>
            <w:pPr>
              <w:jc w:val="left"/>
            </w:pPr>
            <w:r>
              <w:rPr>
                <w:rFonts w:ascii="Times New Roman" w:hAnsi="Times New Roman"/>
                <w:sz w:val="20"/>
              </w:rPr>
              <w:t>\textbf{Total MergedNet}</w:t>
            </w:r>
          </w:p>
        </w:tc>
        <w:tc>
          <w:tcPr>
            <w:tcW w:type="dxa" w:w="1734"/>
            <w:tcMar>
              <w:top w:w="80" w:type="dxa"/>
              <w:bottom w:w="80" w:type="dxa"/>
              <w:left w:w="120" w:type="dxa"/>
              <w:right w:w="120" w:type="dxa"/>
            </w:tcMar>
            <w:tcBorders>
              <w:top w:val="single" w:sz="2" w:space="0" w:color="B0B0B0"/>
              <w:left w:val="single" w:sz="1" w:space="0" w:color="D8D8D8"/>
              <w:bottom w:val="single" w:sz="2" w:space="0" w:color="B0B0B0"/>
              <w:right w:val="single" w:sz="1" w:space="0" w:color="D8D8D8"/>
            </w:tcBorders>
          </w:tcPr>
          <w:p>
            <w:pPr>
              <w:jc w:val="left"/>
            </w:pPr>
            <w:r>
              <w:rPr>
                <w:rFonts w:ascii="Times New Roman" w:hAnsi="Times New Roman"/>
                <w:sz w:val="20"/>
              </w:rPr>
              <w:t>\textbf{224 × 224}</w:t>
            </w:r>
          </w:p>
        </w:tc>
        <w:tc>
          <w:tcPr>
            <w:tcW w:type="dxa" w:w="1734"/>
            <w:tcMar>
              <w:top w:w="80" w:type="dxa"/>
              <w:bottom w:w="80" w:type="dxa"/>
              <w:left w:w="120" w:type="dxa"/>
              <w:right w:w="120" w:type="dxa"/>
            </w:tcMar>
            <w:tcBorders>
              <w:top w:val="single" w:sz="2" w:space="0" w:color="B0B0B0"/>
              <w:left w:val="single" w:sz="1" w:space="0" w:color="D8D8D8"/>
              <w:bottom w:val="single" w:sz="2" w:space="0" w:color="B0B0B0"/>
              <w:right w:val="single" w:sz="1" w:space="0" w:color="D8D8D8"/>
            </w:tcBorders>
          </w:tcPr>
          <w:p>
            <w:pPr>
              <w:jc w:val="left"/>
            </w:pPr>
            <w:r>
              <w:rPr>
                <w:rFonts w:ascii="Times New Roman" w:hAnsi="Times New Roman"/>
                <w:sz w:val="20"/>
              </w:rPr>
              <w:t>\textbf{5,120}</w:t>
            </w:r>
          </w:p>
        </w:tc>
        <w:tc>
          <w:tcPr>
            <w:tcW w:type="dxa" w:w="1734"/>
            <w:tcMar>
              <w:top w:w="80" w:type="dxa"/>
              <w:bottom w:w="80" w:type="dxa"/>
              <w:left w:w="120" w:type="dxa"/>
              <w:right w:w="120" w:type="dxa"/>
            </w:tcMar>
            <w:tcBorders>
              <w:top w:val="single" w:sz="2" w:space="0" w:color="B0B0B0"/>
              <w:left w:val="single" w:sz="1" w:space="0" w:color="D8D8D8"/>
              <w:bottom w:val="single" w:sz="2" w:space="0" w:color="B0B0B0"/>
              <w:right w:val="single" w:sz="1" w:space="0" w:color="D8D8D8"/>
            </w:tcBorders>
          </w:tcPr>
          <w:p>
            <w:pPr>
              <w:jc w:val="left"/>
            </w:pPr>
            <w:r>
              <w:rPr>
                <w:rFonts w:ascii="Times New Roman" w:hAnsi="Times New Roman"/>
                <w:sz w:val="20"/>
              </w:rPr>
              <w:t>\textbf{47.0 M}</w:t>
            </w:r>
          </w:p>
        </w:tc>
        <w:tc>
          <w:tcPr>
            <w:tcW w:type="dxa" w:w="1734"/>
            <w:tcMar>
              <w:top w:w="80" w:type="dxa"/>
              <w:bottom w:w="80" w:type="dxa"/>
              <w:left w:w="120" w:type="dxa"/>
              <w:right w:w="120" w:type="dxa"/>
            </w:tcMar>
            <w:tcBorders>
              <w:top w:val="single" w:sz="2" w:space="0" w:color="B0B0B0"/>
              <w:left w:val="single" w:sz="1" w:space="0" w:color="D8D8D8"/>
              <w:bottom w:val="single" w:sz="2" w:space="0" w:color="B0B0B0"/>
              <w:right w:val="single" w:sz="1" w:space="0" w:color="D8D8D8"/>
            </w:tcBorders>
          </w:tcPr>
          <w:p>
            <w:pPr>
              <w:jc w:val="left"/>
            </w:pPr>
            <w:r>
              <w:rPr>
                <w:rFonts w:ascii="Times New Roman" w:hAnsi="Times New Roman"/>
                <w:sz w:val="20"/>
              </w:rPr>
              <w:t>\textbf{Holistic Multi-Scale Neoplastic Representations}</w:t>
            </w:r>
          </w:p>
        </w:tc>
      </w:tr>
    </w:tbl>
    <w:p>
      <w:pPr>
        <w:spacing w:before="80" w:after="160" w:line="360" w:lineRule="auto"/>
        <w:jc w:val="both"/>
      </w:pPr>
    </w:p>
    <w:p>
      <w:pPr>
        <w:spacing w:before="280" w:after="120" w:line="360" w:lineRule="auto"/>
        <w:jc w:val="left"/>
      </w:pPr>
      <w:r>
        <w:rPr>
          <w:rFonts w:ascii="Times New Roman" w:hAnsi="Times New Roman"/>
          <w:b/>
          <w:i w:val="0"/>
          <w:color w:val="0F234B"/>
          <w:sz w:val="28"/>
        </w:rPr>
        <w:t>Monte Carlo Dropout Epistemic Uncertainty Estimation</w:t>
      </w:r>
    </w:p>
    <w:p>
      <w:pPr>
        <w:spacing w:before="40" w:after="120" w:line="360" w:lineRule="auto"/>
        <w:jc w:val="both"/>
      </w:pPr>
      <w:r>
        <w:rPr>
          <w:rFonts w:ascii="Times New Roman" w:hAnsi="Times New Roman"/>
          <w:b w:val="0"/>
          <w:i w:val="0"/>
          <w:sz w:val="24"/>
        </w:rPr>
        <w:t>To operationalize Bayesian epistemic uncertainty quantification, the classification head maintains active dropout during inference mode. Standard evaluation pipelines invoke</w:t>
      </w:r>
      <w:r>
        <w:rPr>
          <w:rFonts w:ascii="Consolas" w:hAnsi="Consolas"/>
          <w:color w:val="1E1E1E"/>
          <w:sz w:val="22"/>
        </w:rPr>
        <w:t>model.eval()</w:t>
      </w:r>
      <w:r>
        <w:rPr>
          <w:rFonts w:ascii="Times New Roman" w:hAnsi="Times New Roman"/>
          <w:b w:val="0"/>
          <w:i w:val="0"/>
          <w:sz w:val="24"/>
        </w:rPr>
        <w:t>, which deactivates dropout layers (p = 0). In Visionary Diagnostics, the custom inference loop selectively forces dropout layers to remain active while holding batch normalization layers in evaluation mode:</w:t>
      </w:r>
    </w:p>
    <w:p>
      <w:pPr>
        <w:spacing w:before="240" w:after="80" w:line="360" w:lineRule="auto"/>
        <w:jc w:val="left"/>
      </w:pPr>
      <w:r>
        <w:rPr>
          <w:rFonts w:ascii="Times New Roman" w:hAnsi="Times New Roman"/>
          <w:b/>
          <w:i w:val="0"/>
          <w:color w:val="0A2D5A"/>
          <w:sz w:val="22"/>
        </w:rPr>
        <w:t>Algorithm: Quality-Gated Bayesian TTA Ensemble Inference</w:t>
      </w:r>
    </w:p>
    <w:tbl>
      <w:tblPr>
        <w:tblW w:type="auto" w:w="0"/>
        <w:jc w:val="center"/>
        <w:tblLook w:firstColumn="1" w:firstRow="1" w:lastColumn="0" w:lastRow="0" w:noHBand="0" w:noVBand="1" w:val="04A0"/>
      </w:tblPr>
      <w:tblGrid>
        <w:gridCol w:w="8669"/>
      </w:tblGrid>
      <w:tr>
        <w:tc>
          <w:tcPr>
            <w:tcW w:type="dxa" w:w="8669"/>
            <w:shd w:fill="F8F9FA"/>
            <w:tcMar>
              <w:top w:w="140" w:type="dxa"/>
              <w:bottom w:w="140" w:type="dxa"/>
              <w:left w:w="180" w:type="dxa"/>
              <w:right w:w="180" w:type="dxa"/>
            </w:tcMar>
            <w:tcBorders>
              <w:top w:val="single" w:sz="6" w:space="0" w:color="0A2D5A"/>
              <w:left w:val="single" w:sz="2" w:space="0" w:color="C0C0C0"/>
              <w:bottom w:val="single" w:sz="6" w:space="0" w:color="0A2D5A"/>
              <w:right w:val="single" w:sz="2" w:space="0" w:color="C0C0C0"/>
            </w:tcBorders>
          </w:tcPr>
          <w:p>
            <w:pPr>
              <w:spacing w:before="20" w:after="20" w:line="276" w:lineRule="auto"/>
            </w:pPr>
            <w:r>
              <w:rPr>
                <w:rFonts w:ascii="Consolas" w:hAnsi="Consolas"/>
                <w:color w:val="8C8C8C"/>
                <w:sz w:val="19"/>
              </w:rPr>
              <w:t xml:space="preserve"> 1 | </w:t>
            </w:r>
            <w:r>
              <w:rPr>
                <w:rFonts w:ascii="Consolas" w:hAnsi="Consolas"/>
                <w:color w:val="141414"/>
                <w:sz w:val="19"/>
              </w:rPr>
              <w:t>Input: Clinical photograph I, Patient risk covariates \mathbf{x}_{\text{clin}}, Laplacian threshold \theta_{\text{blur}} = 50.0, Uncertainty threshold \theta_{\text{unc}} = 0.015, TTA passes K = 8, MC passes T = 15.</w:t>
            </w:r>
          </w:p>
          <w:p>
            <w:pPr>
              <w:spacing w:before="20" w:after="20" w:line="276" w:lineRule="auto"/>
            </w:pPr>
            <w:r>
              <w:rPr>
                <w:rFonts w:ascii="Consolas" w:hAnsi="Consolas"/>
                <w:color w:val="8C8C8C"/>
                <w:sz w:val="19"/>
              </w:rPr>
              <w:t xml:space="preserve"> 2 | </w:t>
            </w:r>
            <w:r>
              <w:rPr>
                <w:rFonts w:ascii="Consolas" w:hAnsi="Consolas"/>
                <w:color w:val="141414"/>
                <w:sz w:val="19"/>
              </w:rPr>
              <w:t>Output: Diagnostic verdict Y, Posterior probability \hat{μ}, Epistemic variance σ^2, Risk score R_{\text{clin}}.</w:t>
            </w:r>
          </w:p>
          <w:p>
            <w:pPr>
              <w:spacing w:before="20" w:after="20" w:line="276" w:lineRule="auto"/>
            </w:pPr>
            <w:r>
              <w:rPr>
                <w:rFonts w:ascii="Consolas" w:hAnsi="Consolas"/>
                <w:color w:val="8C8C8C"/>
                <w:sz w:val="19"/>
              </w:rPr>
              <w:t xml:space="preserve"> 3 | </w:t>
            </w:r>
            <w:r>
              <w:rPr>
                <w:rFonts w:ascii="Consolas" w:hAnsi="Consolas"/>
                <w:color w:val="141414"/>
                <w:sz w:val="19"/>
              </w:rPr>
              <w:t>\text{Score}_{\text{Lap}} ≥ts \text{Var}≤ft( \nabla^2 I \right)</w:t>
            </w:r>
          </w:p>
          <w:p>
            <w:pPr>
              <w:spacing w:before="20" w:after="20" w:line="276" w:lineRule="auto"/>
            </w:pPr>
            <w:r>
              <w:rPr>
                <w:rFonts w:ascii="Consolas" w:hAnsi="Consolas"/>
                <w:color w:val="8C8C8C"/>
                <w:sz w:val="19"/>
              </w:rPr>
              <w:t xml:space="preserve"> 4 | </w:t>
            </w:r>
            <w:r>
              <w:rPr>
                <w:rFonts w:ascii="Consolas" w:hAnsi="Consolas"/>
                <w:color w:val="141414"/>
                <w:sz w:val="19"/>
              </w:rPr>
              <w:t>if \text{Score then_{\text{Lap}} &lt; \theta_{\text{blur}}}</w:t>
            </w:r>
          </w:p>
          <w:p>
            <w:pPr>
              <w:spacing w:before="20" w:after="20" w:line="276" w:lineRule="auto"/>
            </w:pPr>
            <w:r>
              <w:rPr>
                <w:rFonts w:ascii="Consolas" w:hAnsi="Consolas"/>
                <w:color w:val="8C8C8C"/>
                <w:sz w:val="19"/>
              </w:rPr>
              <w:t xml:space="preserve"> 5 | </w:t>
            </w:r>
            <w:r>
              <w:rPr>
                <w:rFonts w:ascii="Consolas" w:hAnsi="Consolas"/>
                <w:color w:val="141414"/>
                <w:sz w:val="19"/>
              </w:rPr>
              <w:t xml:space="preserve">    return \textbf{REJECT}: Image blurry / degraded; request guided re-acquisition.</w:t>
            </w:r>
          </w:p>
          <w:p>
            <w:pPr>
              <w:spacing w:before="20" w:after="20" w:line="276" w:lineRule="auto"/>
            </w:pPr>
            <w:r>
              <w:rPr>
                <w:rFonts w:ascii="Consolas" w:hAnsi="Consolas"/>
                <w:color w:val="8C8C8C"/>
                <w:sz w:val="19"/>
              </w:rPr>
              <w:t xml:space="preserve"> 6 | </w:t>
            </w:r>
            <w:r>
              <w:rPr>
                <w:rFonts w:ascii="Consolas" w:hAnsi="Consolas"/>
                <w:color w:val="141414"/>
                <w:sz w:val="19"/>
              </w:rPr>
              <w:t>end if</w:t>
            </w:r>
          </w:p>
          <w:p>
            <w:pPr>
              <w:spacing w:before="20" w:after="20" w:line="276" w:lineRule="auto"/>
            </w:pPr>
            <w:r>
              <w:rPr>
                <w:rFonts w:ascii="Consolas" w:hAnsi="Consolas"/>
                <w:color w:val="8C8C8C"/>
                <w:sz w:val="19"/>
              </w:rPr>
              <w:t xml:space="preserve"> 7 | </w:t>
            </w:r>
            <w:r>
              <w:rPr>
                <w:rFonts w:ascii="Consolas" w:hAnsi="Consolas"/>
                <w:color w:val="141414"/>
                <w:sz w:val="19"/>
              </w:rPr>
              <w:t>I_{\text{norm}} ≥ts \text{ReinhardLABNormalize}(I)</w:t>
            </w:r>
          </w:p>
          <w:p>
            <w:pPr>
              <w:spacing w:before="20" w:after="20" w:line="276" w:lineRule="auto"/>
            </w:pPr>
            <w:r>
              <w:rPr>
                <w:rFonts w:ascii="Consolas" w:hAnsi="Consolas"/>
                <w:color w:val="8C8C8C"/>
                <w:sz w:val="19"/>
              </w:rPr>
              <w:t xml:space="preserve"> 8 | </w:t>
            </w:r>
            <w:r>
              <w:rPr>
                <w:rFonts w:ascii="Consolas" w:hAnsi="Consolas"/>
                <w:color w:val="141414"/>
                <w:sz w:val="19"/>
              </w:rPr>
              <w:t>Generate K = 8 augmented views {I_{\text{aug}}^{(1)}, …, I_{\text{aug}}^{(K)}} using TTA transforms.</w:t>
            </w:r>
          </w:p>
          <w:p>
            <w:pPr>
              <w:spacing w:before="20" w:after="20" w:line="276" w:lineRule="auto"/>
            </w:pPr>
            <w:r>
              <w:rPr>
                <w:rFonts w:ascii="Consolas" w:hAnsi="Consolas"/>
                <w:color w:val="8C8C8C"/>
                <w:sz w:val="19"/>
              </w:rPr>
              <w:t xml:space="preserve"> 9 | </w:t>
            </w:r>
            <w:r>
              <w:rPr>
                <w:rFonts w:ascii="Consolas" w:hAnsi="Consolas"/>
                <w:color w:val="141414"/>
                <w:sz w:val="19"/>
              </w:rPr>
              <w:t>Initialize predictions matrix \mathbf{P} ∈ ℝ^{T × K}.</w:t>
            </w:r>
          </w:p>
          <w:p>
            <w:pPr>
              <w:spacing w:before="20" w:after="20" w:line="276" w:lineRule="auto"/>
            </w:pPr>
            <w:r>
              <w:rPr>
                <w:rFonts w:ascii="Consolas" w:hAnsi="Consolas"/>
                <w:color w:val="8C8C8C"/>
                <w:sz w:val="19"/>
              </w:rPr>
              <w:t xml:space="preserve">10 | </w:t>
            </w:r>
            <w:r>
              <w:rPr>
                <w:rFonts w:ascii="Consolas" w:hAnsi="Consolas"/>
                <w:color w:val="141414"/>
                <w:sz w:val="19"/>
              </w:rPr>
              <w:t>for t = 1 … T do \Comment{Stochastic Monte Carlo Dropout passes}</w:t>
            </w:r>
          </w:p>
          <w:p>
            <w:pPr>
              <w:spacing w:before="20" w:after="20" w:line="276" w:lineRule="auto"/>
            </w:pPr>
            <w:r>
              <w:rPr>
                <w:rFonts w:ascii="Consolas" w:hAnsi="Consolas"/>
                <w:color w:val="8C8C8C"/>
                <w:sz w:val="19"/>
              </w:rPr>
              <w:t xml:space="preserve">11 | </w:t>
            </w:r>
            <w:r>
              <w:rPr>
                <w:rFonts w:ascii="Consolas" w:hAnsi="Consolas"/>
                <w:color w:val="141414"/>
                <w:sz w:val="19"/>
              </w:rPr>
              <w:t xml:space="preserve">    for k = 1 … K do</w:t>
            </w:r>
          </w:p>
          <w:p>
            <w:pPr>
              <w:spacing w:before="20" w:after="20" w:line="276" w:lineRule="auto"/>
            </w:pPr>
            <w:r>
              <w:rPr>
                <w:rFonts w:ascii="Consolas" w:hAnsi="Consolas"/>
                <w:color w:val="8C8C8C"/>
                <w:sz w:val="19"/>
              </w:rPr>
              <w:t xml:space="preserve">12 | </w:t>
            </w:r>
            <w:r>
              <w:rPr>
                <w:rFonts w:ascii="Consolas" w:hAnsi="Consolas"/>
                <w:color w:val="141414"/>
                <w:sz w:val="19"/>
              </w:rPr>
              <w:t xml:space="preserve">        \mathbf{z}_{\text{fused}} ≥ts \text{MergedNetExtractFeatures}(I_{\text{aug}}^{(k)})</w:t>
            </w:r>
          </w:p>
          <w:p>
            <w:pPr>
              <w:spacing w:before="20" w:after="20" w:line="276" w:lineRule="auto"/>
            </w:pPr>
            <w:r>
              <w:rPr>
                <w:rFonts w:ascii="Consolas" w:hAnsi="Consolas"/>
                <w:color w:val="8C8C8C"/>
                <w:sz w:val="19"/>
              </w:rPr>
              <w:t xml:space="preserve">13 | </w:t>
            </w:r>
            <w:r>
              <w:rPr>
                <w:rFonts w:ascii="Consolas" w:hAnsi="Consolas"/>
                <w:color w:val="141414"/>
                <w:sz w:val="19"/>
              </w:rPr>
              <w:t xml:space="preserve">        p_{t,k} ≥ts \text{ClassificationHeadWithDropout}(\mathbf{z}_{\text{fused}}, p_1=0.35, p_2=0.20)</w:t>
            </w:r>
          </w:p>
          <w:p>
            <w:pPr>
              <w:spacing w:before="20" w:after="20" w:line="276" w:lineRule="auto"/>
            </w:pPr>
            <w:r>
              <w:rPr>
                <w:rFonts w:ascii="Consolas" w:hAnsi="Consolas"/>
                <w:color w:val="8C8C8C"/>
                <w:sz w:val="19"/>
              </w:rPr>
              <w:t xml:space="preserve">14 | </w:t>
            </w:r>
            <w:r>
              <w:rPr>
                <w:rFonts w:ascii="Consolas" w:hAnsi="Consolas"/>
                <w:color w:val="141414"/>
                <w:sz w:val="19"/>
              </w:rPr>
              <w:t xml:space="preserve">        \mathbf{P}[t, k] ≥ts p_{t,k}</w:t>
            </w:r>
          </w:p>
          <w:p>
            <w:pPr>
              <w:spacing w:before="20" w:after="20" w:line="276" w:lineRule="auto"/>
            </w:pPr>
            <w:r>
              <w:rPr>
                <w:rFonts w:ascii="Consolas" w:hAnsi="Consolas"/>
                <w:color w:val="8C8C8C"/>
                <w:sz w:val="19"/>
              </w:rPr>
              <w:t xml:space="preserve">15 | </w:t>
            </w:r>
            <w:r>
              <w:rPr>
                <w:rFonts w:ascii="Consolas" w:hAnsi="Consolas"/>
                <w:color w:val="141414"/>
                <w:sz w:val="19"/>
              </w:rPr>
              <w:t xml:space="preserve">    end for</w:t>
            </w:r>
          </w:p>
          <w:p>
            <w:pPr>
              <w:spacing w:before="20" w:after="20" w:line="276" w:lineRule="auto"/>
            </w:pPr>
            <w:r>
              <w:rPr>
                <w:rFonts w:ascii="Consolas" w:hAnsi="Consolas"/>
                <w:color w:val="8C8C8C"/>
                <w:sz w:val="19"/>
              </w:rPr>
              <w:t xml:space="preserve">16 | </w:t>
            </w:r>
            <w:r>
              <w:rPr>
                <w:rFonts w:ascii="Consolas" w:hAnsi="Consolas"/>
                <w:color w:val="141414"/>
                <w:sz w:val="19"/>
              </w:rPr>
              <w:t>end for</w:t>
            </w:r>
          </w:p>
          <w:p>
            <w:pPr>
              <w:spacing w:before="20" w:after="20" w:line="276" w:lineRule="auto"/>
            </w:pPr>
            <w:r>
              <w:rPr>
                <w:rFonts w:ascii="Consolas" w:hAnsi="Consolas"/>
                <w:color w:val="8C8C8C"/>
                <w:sz w:val="19"/>
              </w:rPr>
              <w:t xml:space="preserve">17 | </w:t>
            </w:r>
            <w:r>
              <w:rPr>
                <w:rFonts w:ascii="Consolas" w:hAnsi="Consolas"/>
                <w:color w:val="141414"/>
                <w:sz w:val="19"/>
              </w:rPr>
              <w:t>\hat{μ} ≥ts \frac{1}{T × K} ∑_{t=1}^T ∑_{k=1}^K \mathbf{P}[t, k] \Comment{Calibrated predictive mean}</w:t>
            </w:r>
          </w:p>
          <w:p>
            <w:pPr>
              <w:spacing w:before="20" w:after="20" w:line="276" w:lineRule="auto"/>
            </w:pPr>
            <w:r>
              <w:rPr>
                <w:rFonts w:ascii="Consolas" w:hAnsi="Consolas"/>
                <w:color w:val="8C8C8C"/>
                <w:sz w:val="19"/>
              </w:rPr>
              <w:t xml:space="preserve">18 | </w:t>
            </w:r>
            <w:r>
              <w:rPr>
                <w:rFonts w:ascii="Consolas" w:hAnsi="Consolas"/>
                <w:color w:val="141414"/>
                <w:sz w:val="19"/>
              </w:rPr>
              <w:t>σ^2 ≥ts \frac{1}{T} ∑_{t=1}^T ≤ft( ≤ft(\frac{1}{K}∑_{k=1}^K \mathbf{P}[t, k]\right) - \hat{μ} \right)^2 \Comment{Epistemic variance}</w:t>
            </w:r>
          </w:p>
          <w:p>
            <w:pPr>
              <w:spacing w:before="20" w:after="20" w:line="276" w:lineRule="auto"/>
            </w:pPr>
            <w:r>
              <w:rPr>
                <w:rFonts w:ascii="Consolas" w:hAnsi="Consolas"/>
                <w:color w:val="8C8C8C"/>
                <w:sz w:val="19"/>
              </w:rPr>
              <w:t xml:space="preserve">19 | </w:t>
            </w:r>
            <w:r>
              <w:rPr>
                <w:rFonts w:ascii="Consolas" w:hAnsi="Consolas"/>
                <w:color w:val="141414"/>
                <w:sz w:val="19"/>
              </w:rPr>
              <w:t>R_{\text{clin}} ≥ts \text{ClinicalRiskMLP}(\mathbf{x}_{\text{clin}})</w:t>
            </w:r>
          </w:p>
          <w:p>
            <w:pPr>
              <w:spacing w:before="20" w:after="20" w:line="276" w:lineRule="auto"/>
            </w:pPr>
            <w:r>
              <w:rPr>
                <w:rFonts w:ascii="Consolas" w:hAnsi="Consolas"/>
                <w:color w:val="8C8C8C"/>
                <w:sz w:val="19"/>
              </w:rPr>
              <w:t xml:space="preserve">20 | </w:t>
            </w:r>
            <w:r>
              <w:rPr>
                <w:rFonts w:ascii="Consolas" w:hAnsi="Consolas"/>
                <w:color w:val="141414"/>
                <w:sz w:val="19"/>
              </w:rPr>
              <w:t>if σ^2 &gt; \theta_{\text{unc then}}</w:t>
            </w:r>
          </w:p>
          <w:p>
            <w:pPr>
              <w:spacing w:before="20" w:after="20" w:line="276" w:lineRule="auto"/>
            </w:pPr>
            <w:r>
              <w:rPr>
                <w:rFonts w:ascii="Consolas" w:hAnsi="Consolas"/>
                <w:color w:val="8C8C8C"/>
                <w:sz w:val="19"/>
              </w:rPr>
              <w:t xml:space="preserve">21 | </w:t>
            </w:r>
            <w:r>
              <w:rPr>
                <w:rFonts w:ascii="Consolas" w:hAnsi="Consolas"/>
                <w:color w:val="141414"/>
                <w:sz w:val="19"/>
              </w:rPr>
              <w:t xml:space="preserve">    Y ≥ts \text{"Uncertain – Refer to Specialist"}</w:t>
            </w:r>
          </w:p>
          <w:p>
            <w:pPr>
              <w:spacing w:before="20" w:after="20" w:line="276" w:lineRule="auto"/>
            </w:pPr>
            <w:r>
              <w:rPr>
                <w:rFonts w:ascii="Consolas" w:hAnsi="Consolas"/>
                <w:color w:val="8C8C8C"/>
                <w:sz w:val="19"/>
              </w:rPr>
              <w:t xml:space="preserve">22 | </w:t>
            </w:r>
            <w:r>
              <w:rPr>
                <w:rFonts w:ascii="Consolas" w:hAnsi="Consolas"/>
                <w:color w:val="141414"/>
                <w:sz w:val="19"/>
              </w:rPr>
              <w:t xml:space="preserve">    \ElsIf{\hat{μ} ≥ 0.50}</w:t>
            </w:r>
          </w:p>
          <w:p>
            <w:pPr>
              <w:spacing w:before="20" w:after="20" w:line="276" w:lineRule="auto"/>
            </w:pPr>
            <w:r>
              <w:rPr>
                <w:rFonts w:ascii="Consolas" w:hAnsi="Consolas"/>
                <w:color w:val="8C8C8C"/>
                <w:sz w:val="19"/>
              </w:rPr>
              <w:t xml:space="preserve">23 | </w:t>
            </w:r>
            <w:r>
              <w:rPr>
                <w:rFonts w:ascii="Consolas" w:hAnsi="Consolas"/>
                <w:color w:val="141414"/>
                <w:sz w:val="19"/>
              </w:rPr>
              <w:t xml:space="preserve">    Y ≥ts \text{"Cancer / Malignant Neoplasm"}</w:t>
            </w:r>
          </w:p>
          <w:p>
            <w:pPr>
              <w:spacing w:before="20" w:after="20" w:line="276" w:lineRule="auto"/>
            </w:pPr>
            <w:r>
              <w:rPr>
                <w:rFonts w:ascii="Consolas" w:hAnsi="Consolas"/>
                <w:color w:val="8C8C8C"/>
                <w:sz w:val="19"/>
              </w:rPr>
              <w:t xml:space="preserve">24 | </w:t>
            </w:r>
            <w:r>
              <w:rPr>
                <w:rFonts w:ascii="Consolas" w:hAnsi="Consolas"/>
                <w:color w:val="141414"/>
                <w:sz w:val="19"/>
              </w:rPr>
              <w:t>else</w:t>
            </w:r>
          </w:p>
          <w:p>
            <w:pPr>
              <w:spacing w:before="20" w:after="20" w:line="276" w:lineRule="auto"/>
            </w:pPr>
            <w:r>
              <w:rPr>
                <w:rFonts w:ascii="Consolas" w:hAnsi="Consolas"/>
                <w:color w:val="8C8C8C"/>
                <w:sz w:val="19"/>
              </w:rPr>
              <w:t xml:space="preserve">25 | </w:t>
            </w:r>
            <w:r>
              <w:rPr>
                <w:rFonts w:ascii="Consolas" w:hAnsi="Consolas"/>
                <w:color w:val="141414"/>
                <w:sz w:val="19"/>
              </w:rPr>
              <w:t xml:space="preserve">    Y ≥ts \text{"Non-Cancer / Benign Mucosa"}</w:t>
            </w:r>
          </w:p>
          <w:p>
            <w:pPr>
              <w:spacing w:before="20" w:after="20" w:line="276" w:lineRule="auto"/>
            </w:pPr>
            <w:r>
              <w:rPr>
                <w:rFonts w:ascii="Consolas" w:hAnsi="Consolas"/>
                <w:color w:val="8C8C8C"/>
                <w:sz w:val="19"/>
              </w:rPr>
              <w:t xml:space="preserve">26 | </w:t>
            </w:r>
            <w:r>
              <w:rPr>
                <w:rFonts w:ascii="Consolas" w:hAnsi="Consolas"/>
                <w:color w:val="141414"/>
                <w:sz w:val="19"/>
              </w:rPr>
              <w:t>end if</w:t>
            </w:r>
          </w:p>
          <w:p>
            <w:pPr>
              <w:spacing w:before="20" w:after="20" w:line="276" w:lineRule="auto"/>
            </w:pPr>
            <w:r>
              <w:rPr>
                <w:rFonts w:ascii="Consolas" w:hAnsi="Consolas"/>
                <w:color w:val="8C8C8C"/>
                <w:sz w:val="19"/>
              </w:rPr>
              <w:t xml:space="preserve">27 | </w:t>
            </w:r>
            <w:r>
              <w:rPr>
                <w:rFonts w:ascii="Consolas" w:hAnsi="Consolas"/>
                <w:color w:val="141414"/>
                <w:sz w:val="19"/>
              </w:rPr>
              <w:t>return {Y, \hat{μ}, σ^2, R_{\text{clin}}}</w:t>
            </w:r>
          </w:p>
        </w:tc>
      </w:tr>
    </w:tbl>
    <w:p>
      <w:pPr>
        <w:spacing w:before="80" w:after="160" w:line="360" w:lineRule="auto"/>
        <w:jc w:val="both"/>
      </w:pPr>
    </w:p>
    <w:p>
      <w:pPr>
        <w:spacing w:before="280" w:after="120" w:line="360" w:lineRule="auto"/>
        <w:jc w:val="left"/>
      </w:pPr>
      <w:r>
        <w:rPr>
          <w:rFonts w:ascii="Times New Roman" w:hAnsi="Times New Roman"/>
          <w:b/>
          <w:i w:val="0"/>
          <w:color w:val="0F234B"/>
          <w:sz w:val="28"/>
        </w:rPr>
        <w:t>8-Pass Test-Time Augmentation (TTA) Engine</w:t>
      </w:r>
    </w:p>
    <w:p>
      <w:pPr>
        <w:spacing w:before="40" w:after="120" w:line="360" w:lineRule="auto"/>
        <w:jc w:val="both"/>
      </w:pPr>
      <w:r>
        <w:rPr>
          <w:rFonts w:ascii="Times New Roman" w:hAnsi="Times New Roman"/>
          <w:b w:val="0"/>
          <w:i w:val="0"/>
          <w:sz w:val="24"/>
        </w:rPr>
        <w:t>Photographic orientation during intraoral screening is subject to severe clinical operational variability, including camera tilt, hand-held positioning angles, focal distances, and perspective distortions. Rather than relying on a single deterministic feed-forward evaluation, the system executes an eight-fold Test-Time Augmentation (TTA) engine that constructs an augmented spatial representation space prior to feature extraction.</w:t>
      </w:r>
    </w:p>
    <w:p>
      <w:pPr>
        <w:spacing w:before="40" w:after="120" w:line="360" w:lineRule="auto"/>
        <w:jc w:val="both"/>
      </w:pPr>
      <w:r>
        <w:rPr>
          <w:rFonts w:ascii="Times New Roman" w:hAnsi="Times New Roman"/>
          <w:b w:val="0"/>
          <w:i w:val="0"/>
          <w:sz w:val="24"/>
        </w:rPr>
        <w:t>The eight transformation passes and their clinical pathological invariance justifications are structured as follows:</w:t>
      </w:r>
    </w:p>
    <w:p>
      <w:pPr>
        <w:spacing w:before="40" w:after="80" w:line="312" w:lineRule="auto"/>
        <w:ind w:left="576"/>
      </w:pPr>
      <w:r>
        <w:rPr>
          <w:rFonts w:ascii="Times New Roman" w:hAnsi="Times New Roman"/>
          <w:b/>
          <w:sz w:val="22"/>
        </w:rPr>
        <w:t xml:space="preserve">1. </w:t>
      </w:r>
      <w:r>
        <w:rPr>
          <w:rFonts w:ascii="Times New Roman" w:hAnsi="Times New Roman"/>
          <w:b/>
          <w:i w:val="0"/>
          <w:sz w:val="23"/>
        </w:rPr>
        <w:t>Canonical Identity Baseline:</w:t>
      </w:r>
      <w:r>
        <w:rPr>
          <w:rFonts w:ascii="Times New Roman" w:hAnsi="Times New Roman"/>
          <w:b w:val="0"/>
          <w:i w:val="0"/>
          <w:sz w:val="23"/>
        </w:rPr>
        <w:t>\\</w:t>
        <w:br/>
        <w:t xml:space="preserve">    Processes the raw, normalized mucosal photograph without spatial re-orientation to establish the primary ground-level baseline tensor.</w:t>
      </w:r>
    </w:p>
    <w:p>
      <w:pPr>
        <w:spacing w:before="40" w:after="80" w:line="312" w:lineRule="auto"/>
        <w:ind w:left="576"/>
      </w:pPr>
      <w:r>
        <w:rPr>
          <w:rFonts w:ascii="Times New Roman" w:hAnsi="Times New Roman"/>
          <w:b/>
          <w:sz w:val="22"/>
        </w:rPr>
        <w:t xml:space="preserve">2. </w:t>
      </w:r>
      <w:r>
        <w:rPr>
          <w:rFonts w:ascii="Times New Roman" w:hAnsi="Times New Roman"/>
          <w:b/>
          <w:i w:val="0"/>
          <w:sz w:val="23"/>
        </w:rPr>
        <w:t>Bilateral Mucosal Symmetry Reflection (Horizontal x-axis Flip):</w:t>
      </w:r>
      <w:r>
        <w:rPr>
          <w:rFonts w:ascii="Times New Roman" w:hAnsi="Times New Roman"/>
          <w:b w:val="0"/>
          <w:i w:val="0"/>
          <w:sz w:val="23"/>
        </w:rPr>
        <w:t>\\</w:t>
        <w:br/>
        <w:t xml:space="preserve">    In human oral anatomy, neoplastic dysplasias (e.g., OSCC of the lateral tongue or buccal mucosa) present with bilateral morphological symmetries across left and right dental arches. Applying horizontal reflection enforces reflectional symmetry invariance, ensuring the neural network evaluates dysplastic cellular disruptions independent of whether the lesion resides on the patient's left or right buccal wall.</w:t>
      </w:r>
    </w:p>
    <w:p>
      <w:pPr>
        <w:spacing w:before="40" w:after="80" w:line="312" w:lineRule="auto"/>
        <w:ind w:left="576"/>
      </w:pPr>
      <w:r>
        <w:rPr>
          <w:rFonts w:ascii="Times New Roman" w:hAnsi="Times New Roman"/>
          <w:b/>
          <w:sz w:val="22"/>
        </w:rPr>
        <w:t xml:space="preserve">3. </w:t>
      </w:r>
      <w:r>
        <w:rPr>
          <w:rFonts w:ascii="Times New Roman" w:hAnsi="Times New Roman"/>
          <w:b/>
          <w:i w:val="0"/>
          <w:sz w:val="23"/>
        </w:rPr>
        <w:t>Superior-Inferior Orientation Inversion (Vertical y-axis Flip):</w:t>
      </w:r>
      <w:r>
        <w:rPr>
          <w:rFonts w:ascii="Times New Roman" w:hAnsi="Times New Roman"/>
          <w:b w:val="0"/>
          <w:i w:val="0"/>
          <w:sz w:val="23"/>
        </w:rPr>
        <w:t>\\</w:t>
        <w:br/>
        <w:t xml:space="preserve">    Primary healthcare workers frequently invert handheld smartphone cameras when transitioning from inspecting maxillary hard palate structures down to mandibular floor-of-mouth tissues. Vertical reflection guarantees mathematical stability under inverted vertical perspectives.</w:t>
      </w:r>
    </w:p>
    <w:p>
      <w:pPr>
        <w:spacing w:before="40" w:after="80" w:line="312" w:lineRule="auto"/>
        <w:ind w:left="576"/>
      </w:pPr>
      <w:r>
        <w:rPr>
          <w:rFonts w:ascii="Times New Roman" w:hAnsi="Times New Roman"/>
          <w:b/>
          <w:sz w:val="22"/>
        </w:rPr>
        <w:t xml:space="preserve">4. </w:t>
      </w:r>
      <w:r>
        <w:rPr>
          <w:rFonts w:ascii="Times New Roman" w:hAnsi="Times New Roman"/>
          <w:b/>
          <w:i w:val="0"/>
          <w:sz w:val="23"/>
        </w:rPr>
        <w:t>Orthogonal 90^\circ Transverse Rotation:</w:t>
      </w:r>
      <w:r>
        <w:rPr>
          <w:rFonts w:ascii="Times New Roman" w:hAnsi="Times New Roman"/>
          <w:b w:val="0"/>
          <w:i w:val="0"/>
          <w:sz w:val="23"/>
        </w:rPr>
        <w:t>\\</w:t>
        <w:br/>
        <w:t xml:space="preserve">    Simulates transverse camera capture angles commonly encountered during lateral cheek retraction using a disposable wooden tongue depressor.</w:t>
      </w:r>
    </w:p>
    <w:p>
      <w:pPr>
        <w:spacing w:before="40" w:after="80" w:line="312" w:lineRule="auto"/>
        <w:ind w:left="576"/>
      </w:pPr>
      <w:r>
        <w:rPr>
          <w:rFonts w:ascii="Times New Roman" w:hAnsi="Times New Roman"/>
          <w:b/>
          <w:sz w:val="22"/>
        </w:rPr>
        <w:t xml:space="preserve">5. </w:t>
      </w:r>
      <w:r>
        <w:rPr>
          <w:rFonts w:ascii="Times New Roman" w:hAnsi="Times New Roman"/>
          <w:b/>
          <w:i w:val="0"/>
          <w:sz w:val="23"/>
        </w:rPr>
        <w:t>Complete 180^\circ Planar Inversion:</w:t>
      </w:r>
      <w:r>
        <w:rPr>
          <w:rFonts w:ascii="Times New Roman" w:hAnsi="Times New Roman"/>
          <w:b w:val="0"/>
          <w:i w:val="0"/>
          <w:sz w:val="23"/>
        </w:rPr>
        <w:t>\\</w:t>
        <w:br/>
        <w:t xml:space="preserve">    Accommodates upside-down handheld captures resulting from awkward clinical ergonomics in rural dental outreach vans, neutralizing rotational orientation bias.</w:t>
      </w:r>
    </w:p>
    <w:p>
      <w:pPr>
        <w:spacing w:before="40" w:after="80" w:line="312" w:lineRule="auto"/>
        <w:ind w:left="576"/>
      </w:pPr>
      <w:r>
        <w:rPr>
          <w:rFonts w:ascii="Times New Roman" w:hAnsi="Times New Roman"/>
          <w:b/>
          <w:sz w:val="22"/>
        </w:rPr>
        <w:t xml:space="preserve">6. </w:t>
      </w:r>
      <w:r>
        <w:rPr>
          <w:rFonts w:ascii="Times New Roman" w:hAnsi="Times New Roman"/>
          <w:b/>
          <w:i w:val="0"/>
          <w:sz w:val="23"/>
        </w:rPr>
        <w:t>Orthogonal 270^\circ Contralateral Rotation:</w:t>
      </w:r>
      <w:r>
        <w:rPr>
          <w:rFonts w:ascii="Times New Roman" w:hAnsi="Times New Roman"/>
          <w:b w:val="0"/>
          <w:i w:val="0"/>
          <w:sz w:val="23"/>
        </w:rPr>
        <w:t>\\</w:t>
        <w:br/>
        <w:t xml:space="preserve">    Models contralateral intraoral mirror inspections and deep retromolar trigone views where camera orientation is constrained by patient mouth-opening limitations (trismus).</w:t>
      </w:r>
    </w:p>
    <w:p>
      <w:pPr>
        <w:spacing w:before="40" w:after="80" w:line="312" w:lineRule="auto"/>
        <w:ind w:left="576"/>
      </w:pPr>
      <w:r>
        <w:rPr>
          <w:rFonts w:ascii="Times New Roman" w:hAnsi="Times New Roman"/>
          <w:b/>
          <w:sz w:val="22"/>
        </w:rPr>
        <w:t xml:space="preserve">7. </w:t>
      </w:r>
      <w:r>
        <w:rPr>
          <w:rFonts w:ascii="Times New Roman" w:hAnsi="Times New Roman"/>
          <w:b/>
          <w:i w:val="0"/>
          <w:sz w:val="23"/>
        </w:rPr>
        <w:t>Affine Macro-Zoom Scaling (1.05× Expansion):</w:t>
      </w:r>
      <w:r>
        <w:rPr>
          <w:rFonts w:ascii="Times New Roman" w:hAnsi="Times New Roman"/>
          <w:b w:val="0"/>
          <w:i w:val="0"/>
          <w:sz w:val="23"/>
        </w:rPr>
        <w:t>\\</w:t>
        <w:br/>
        <w:t xml:space="preserve">    Simulates short focal distances and close-up macro examinations, forcing the ensemble backbones to focus on fine-grained epithelial keratinization, hyperkeratotic plaque textures, and micro-vascular arborization.</w:t>
      </w:r>
    </w:p>
    <w:p>
      <w:pPr>
        <w:spacing w:before="40" w:after="80" w:line="312" w:lineRule="auto"/>
        <w:ind w:left="576"/>
      </w:pPr>
      <w:r>
        <w:rPr>
          <w:rFonts w:ascii="Times New Roman" w:hAnsi="Times New Roman"/>
          <w:b/>
          <w:sz w:val="22"/>
        </w:rPr>
        <w:t xml:space="preserve">8. </w:t>
      </w:r>
      <w:r>
        <w:rPr>
          <w:rFonts w:ascii="Times New Roman" w:hAnsi="Times New Roman"/>
          <w:b/>
          <w:i w:val="0"/>
          <w:sz w:val="23"/>
        </w:rPr>
        <w:t>Affine Wide-Angle Retraction Scaling (0.95× Contraction):</w:t>
      </w:r>
      <w:r>
        <w:rPr>
          <w:rFonts w:ascii="Times New Roman" w:hAnsi="Times New Roman"/>
          <w:b w:val="0"/>
          <w:i w:val="0"/>
          <w:sz w:val="23"/>
        </w:rPr>
        <w:t>\\</w:t>
        <w:br/>
        <w:t xml:space="preserve">    Simulates wider fields of view incorporating surrounding healthy marginal mucosal boundaries, verifying that the model discerns the invasive transition zone between intact mucosa and dysplastic stroma.</w:t>
      </w:r>
    </w:p>
    <w:p>
      <w:pPr>
        <w:spacing w:before="40" w:after="120" w:line="360" w:lineRule="auto"/>
        <w:jc w:val="both"/>
      </w:pPr>
      <w:r>
        <w:rPr>
          <w:rFonts w:ascii="Times New Roman" w:hAnsi="Times New Roman"/>
          <w:b w:val="0"/>
          <w:i w:val="0"/>
          <w:sz w:val="24"/>
        </w:rPr>
        <w:t>Feature representations extracted across all eight augmented views are evaluated across 15 stochastic dropout passes, yielding a dense 15 × 8 = 120 point posterior prediction matrix that underpins robust Bayesian uncertainty estimation.</w:t>
      </w:r>
    </w:p>
    <w:p>
      <w:pPr>
        <w:spacing w:before="280" w:after="120" w:line="360" w:lineRule="auto"/>
        <w:jc w:val="left"/>
      </w:pPr>
      <w:r>
        <w:rPr>
          <w:rFonts w:ascii="Times New Roman" w:hAnsi="Times New Roman"/>
          <w:b/>
          <w:i w:val="0"/>
          <w:color w:val="0F234B"/>
          <w:sz w:val="28"/>
        </w:rPr>
        <w:t>Laplacian-Variance Image Quality Gating Algorithm</w:t>
      </w:r>
    </w:p>
    <w:p>
      <w:pPr>
        <w:spacing w:before="40" w:after="120" w:line="360" w:lineRule="auto"/>
        <w:jc w:val="both"/>
      </w:pPr>
      <w:r>
        <w:rPr>
          <w:rFonts w:ascii="Times New Roman" w:hAnsi="Times New Roman"/>
          <w:b w:val="0"/>
          <w:i w:val="0"/>
          <w:sz w:val="24"/>
        </w:rPr>
        <w:t>To protect downstream neural inference from degraded photographs, the image gating engine computes the discrete Laplacian operator on grayscale luminance:</w:t>
        <w:br/>
        <w:t>\begin{equation}</w:t>
        <w:br/>
        <w:t xml:space="preserve">    L(x, y) = \frac{\partial^2 I}{\partial x^2} + \frac{\partial^2 I}{\partial y^2} ≈ ∑_{u=-1}^{1} ∑_{v=-1}^{1} K(u, v) I(x+u, y+v)</w:t>
        <w:br/>
        <w:t>\end{equation}</w:t>
        <w:br/>
        <w:t>utilizing the discrete 3× 3 kernel:</w:t>
        <w:br/>
        <w:t>\begin{equation}</w:t>
        <w:br/>
        <w:t xml:space="preserve">    K = \begin{bmatrix}</w:t>
        <w:br/>
        <w:t xml:space="preserve">        0 &amp; 1 &amp; 0 \\</w:t>
        <w:br/>
        <w:t xml:space="preserve">        1 &amp; -4 &amp; 1 \\</w:t>
        <w:br/>
        <w:t xml:space="preserve">        0 &amp; 1 &amp; 0</w:t>
        <w:br/>
        <w:t xml:space="preserve">    \end{bmatrix}</w:t>
        <w:br/>
        <w:t>\end{equation}</w:t>
      </w:r>
    </w:p>
    <w:p>
      <w:pPr>
        <w:spacing w:before="40" w:after="120" w:line="360" w:lineRule="auto"/>
        <w:jc w:val="both"/>
      </w:pPr>
      <w:r>
        <w:rPr>
          <w:rFonts w:ascii="Times New Roman" w:hAnsi="Times New Roman"/>
          <w:b w:val="0"/>
          <w:i w:val="0"/>
          <w:sz w:val="24"/>
        </w:rPr>
        <w:t>The sharpness score is defined as the empirical variance of the convolved image:</w:t>
        <w:br/>
        <w:t>\begin{equation}</w:t>
        <w:br/>
        <w:t xml:space="preserve">    \text{Score}_{\text{Lap}} = \frac{1}{M × N} ∑_{x=1}^{M} ∑_{y=1}^{N} ≤ft( L(x, y) - \bar{L} \right)^2</w:t>
        <w:br/>
        <w:t>\end{equation}</w:t>
        <w:br/>
        <w:t>Images with \text{Score}_{\text{Lap}} &lt; 50.0 are immediately rejected, preventing uncalibrated predictions on blurred artifacts.</w:t>
      </w:r>
    </w:p>
    <w:p>
      <w:pPr>
        <w:spacing w:before="280" w:after="120" w:line="360" w:lineRule="auto"/>
        <w:jc w:val="left"/>
      </w:pPr>
      <w:r>
        <w:rPr>
          <w:rFonts w:ascii="Times New Roman" w:hAnsi="Times New Roman"/>
          <w:b/>
          <w:i w:val="0"/>
          <w:color w:val="0F234B"/>
          <w:sz w:val="28"/>
        </w:rPr>
        <w:t>Reinhard CIELAB Mucosal Normalization Algorithm</w:t>
      </w:r>
    </w:p>
    <w:p>
      <w:pPr>
        <w:spacing w:before="40" w:after="120" w:line="360" w:lineRule="auto"/>
        <w:jc w:val="both"/>
      </w:pPr>
      <w:r>
        <w:rPr>
          <w:rFonts w:ascii="Times New Roman" w:hAnsi="Times New Roman"/>
          <w:b w:val="0"/>
          <w:i w:val="0"/>
          <w:sz w:val="24"/>
        </w:rPr>
        <w:t>Algorithm alg:reinhard_algorithm details the complete programmatic execution of Reinhard color transfer.</w:t>
      </w:r>
    </w:p>
    <w:p>
      <w:pPr>
        <w:spacing w:before="240" w:after="80" w:line="360" w:lineRule="auto"/>
        <w:jc w:val="left"/>
      </w:pPr>
      <w:r>
        <w:rPr>
          <w:rFonts w:ascii="Times New Roman" w:hAnsi="Times New Roman"/>
          <w:b/>
          <w:i w:val="0"/>
          <w:color w:val="0A2D5A"/>
          <w:sz w:val="22"/>
        </w:rPr>
        <w:t>Algorithm: Reinhard CIELAB Oral Mucosal Color Normalization</w:t>
      </w:r>
    </w:p>
    <w:tbl>
      <w:tblPr>
        <w:tblW w:type="auto" w:w="0"/>
        <w:jc w:val="center"/>
        <w:tblLook w:firstColumn="1" w:firstRow="1" w:lastColumn="0" w:lastRow="0" w:noHBand="0" w:noVBand="1" w:val="04A0"/>
      </w:tblPr>
      <w:tblGrid>
        <w:gridCol w:w="8669"/>
      </w:tblGrid>
      <w:tr>
        <w:tc>
          <w:tcPr>
            <w:tcW w:type="dxa" w:w="8669"/>
            <w:shd w:fill="F8F9FA"/>
            <w:tcMar>
              <w:top w:w="140" w:type="dxa"/>
              <w:bottom w:w="140" w:type="dxa"/>
              <w:left w:w="180" w:type="dxa"/>
              <w:right w:w="180" w:type="dxa"/>
            </w:tcMar>
            <w:tcBorders>
              <w:top w:val="single" w:sz="6" w:space="0" w:color="0A2D5A"/>
              <w:left w:val="single" w:sz="2" w:space="0" w:color="C0C0C0"/>
              <w:bottom w:val="single" w:sz="6" w:space="0" w:color="0A2D5A"/>
              <w:right w:val="single" w:sz="2" w:space="0" w:color="C0C0C0"/>
            </w:tcBorders>
          </w:tcPr>
          <w:p>
            <w:pPr>
              <w:spacing w:before="20" w:after="20" w:line="276" w:lineRule="auto"/>
            </w:pPr>
            <w:r>
              <w:rPr>
                <w:rFonts w:ascii="Consolas" w:hAnsi="Consolas"/>
                <w:color w:val="8C8C8C"/>
                <w:sz w:val="19"/>
              </w:rPr>
              <w:t xml:space="preserve"> 1 | </w:t>
            </w:r>
            <w:r>
              <w:rPr>
                <w:rFonts w:ascii="Consolas" w:hAnsi="Consolas"/>
                <w:color w:val="141414"/>
                <w:sz w:val="19"/>
              </w:rPr>
              <w:t>Input: Source intraoral RGB image I_{\text{src}} ∈ [0, 255]^{H × W × 3}, Target mucosal parameters {μ_L^t, σ_L^t, μ_a^t, σ_a^t, μ_b^t, σ_b^t}.</w:t>
            </w:r>
          </w:p>
          <w:p>
            <w:pPr>
              <w:spacing w:before="20" w:after="20" w:line="276" w:lineRule="auto"/>
            </w:pPr>
            <w:r>
              <w:rPr>
                <w:rFonts w:ascii="Consolas" w:hAnsi="Consolas"/>
                <w:color w:val="8C8C8C"/>
                <w:sz w:val="19"/>
              </w:rPr>
              <w:t xml:space="preserve"> 2 | </w:t>
            </w:r>
            <w:r>
              <w:rPr>
                <w:rFonts w:ascii="Consolas" w:hAnsi="Consolas"/>
                <w:color w:val="141414"/>
                <w:sz w:val="19"/>
              </w:rPr>
              <w:t>Output: Optically normalized RGB image I_{\text{norm}} ∈ [0, 255]^{H × W × 3}.</w:t>
            </w:r>
          </w:p>
          <w:p>
            <w:pPr>
              <w:spacing w:before="20" w:after="20" w:line="276" w:lineRule="auto"/>
            </w:pPr>
            <w:r>
              <w:rPr>
                <w:rFonts w:ascii="Consolas" w:hAnsi="Consolas"/>
                <w:color w:val="8C8C8C"/>
                <w:sz w:val="19"/>
              </w:rPr>
              <w:t xml:space="preserve"> 3 | </w:t>
            </w:r>
            <w:r>
              <w:rPr>
                <w:rFonts w:ascii="Consolas" w:hAnsi="Consolas"/>
                <w:color w:val="141414"/>
                <w:sz w:val="19"/>
              </w:rPr>
              <w:t>Linearize sRGB to CIE XYZ space via D65 white-point matrix multiplication.</w:t>
            </w:r>
          </w:p>
          <w:p>
            <w:pPr>
              <w:spacing w:before="20" w:after="20" w:line="276" w:lineRule="auto"/>
            </w:pPr>
            <w:r>
              <w:rPr>
                <w:rFonts w:ascii="Consolas" w:hAnsi="Consolas"/>
                <w:color w:val="8C8C8C"/>
                <w:sz w:val="19"/>
              </w:rPr>
              <w:t xml:space="preserve"> 4 | </w:t>
            </w:r>
            <w:r>
              <w:rPr>
                <w:rFonts w:ascii="Consolas" w:hAnsi="Consolas"/>
                <w:color w:val="141414"/>
                <w:sz w:val="19"/>
              </w:rPr>
              <w:t>Transform XYZ into CIELAB space: L^*, a^*, b^* ≥ts \text{XYZ2LAB}(XYZ).</w:t>
            </w:r>
          </w:p>
          <w:p>
            <w:pPr>
              <w:spacing w:before="20" w:after="20" w:line="276" w:lineRule="auto"/>
            </w:pPr>
            <w:r>
              <w:rPr>
                <w:rFonts w:ascii="Consolas" w:hAnsi="Consolas"/>
                <w:color w:val="8C8C8C"/>
                <w:sz w:val="19"/>
              </w:rPr>
              <w:t xml:space="preserve"> 5 | </w:t>
            </w:r>
            <w:r>
              <w:rPr>
                <w:rFonts w:ascii="Consolas" w:hAnsi="Consolas"/>
                <w:color w:val="141414"/>
                <w:sz w:val="19"/>
              </w:rPr>
              <w:t>Compute source mucosal channel moments:</w:t>
            </w:r>
          </w:p>
          <w:p>
            <w:pPr>
              <w:spacing w:before="20" w:after="20" w:line="276" w:lineRule="auto"/>
            </w:pPr>
            <w:r>
              <w:rPr>
                <w:rFonts w:ascii="Consolas" w:hAnsi="Consolas"/>
                <w:color w:val="8C8C8C"/>
                <w:sz w:val="19"/>
              </w:rPr>
              <w:t xml:space="preserve"> 6 | </w:t>
            </w:r>
            <w:r>
              <w:rPr>
                <w:rFonts w:ascii="Consolas" w:hAnsi="Consolas"/>
                <w:color w:val="141414"/>
                <w:sz w:val="19"/>
              </w:rPr>
              <w:t>μ_L^s ≥ts \text{Mean}(L^*), \quad σ_L^s ≥ts \text{StdDev}(L^*)</w:t>
            </w:r>
          </w:p>
          <w:p>
            <w:pPr>
              <w:spacing w:before="20" w:after="20" w:line="276" w:lineRule="auto"/>
            </w:pPr>
            <w:r>
              <w:rPr>
                <w:rFonts w:ascii="Consolas" w:hAnsi="Consolas"/>
                <w:color w:val="8C8C8C"/>
                <w:sz w:val="19"/>
              </w:rPr>
              <w:t xml:space="preserve"> 7 | </w:t>
            </w:r>
            <w:r>
              <w:rPr>
                <w:rFonts w:ascii="Consolas" w:hAnsi="Consolas"/>
                <w:color w:val="141414"/>
                <w:sz w:val="19"/>
              </w:rPr>
              <w:t>μ_a^s ≥ts \text{Mean}(a^*), \quad σ_a^s ≥ts \text{StdDev}(a^*)</w:t>
            </w:r>
          </w:p>
          <w:p>
            <w:pPr>
              <w:spacing w:before="20" w:after="20" w:line="276" w:lineRule="auto"/>
            </w:pPr>
            <w:r>
              <w:rPr>
                <w:rFonts w:ascii="Consolas" w:hAnsi="Consolas"/>
                <w:color w:val="8C8C8C"/>
                <w:sz w:val="19"/>
              </w:rPr>
              <w:t xml:space="preserve"> 8 | </w:t>
            </w:r>
            <w:r>
              <w:rPr>
                <w:rFonts w:ascii="Consolas" w:hAnsi="Consolas"/>
                <w:color w:val="141414"/>
                <w:sz w:val="19"/>
              </w:rPr>
              <w:t>μ_b^s ≥ts \text{Mean}(b^*), \quad σ_b^s ≥ts \text{StdDev}(b^*)</w:t>
            </w:r>
          </w:p>
          <w:p>
            <w:pPr>
              <w:spacing w:before="20" w:after="20" w:line="276" w:lineRule="auto"/>
            </w:pPr>
            <w:r>
              <w:rPr>
                <w:rFonts w:ascii="Consolas" w:hAnsi="Consolas"/>
                <w:color w:val="8C8C8C"/>
                <w:sz w:val="19"/>
              </w:rPr>
              <w:t xml:space="preserve"> 9 | </w:t>
            </w:r>
            <w:r>
              <w:rPr>
                <w:rFonts w:ascii="Consolas" w:hAnsi="Consolas"/>
                <w:color w:val="141414"/>
                <w:sz w:val="19"/>
              </w:rPr>
              <w:t>Align channel distributions to calibrated target moments:</w:t>
            </w:r>
          </w:p>
          <w:p>
            <w:pPr>
              <w:spacing w:before="20" w:after="20" w:line="276" w:lineRule="auto"/>
            </w:pPr>
            <w:r>
              <w:rPr>
                <w:rFonts w:ascii="Consolas" w:hAnsi="Consolas"/>
                <w:color w:val="8C8C8C"/>
                <w:sz w:val="19"/>
              </w:rPr>
              <w:t xml:space="preserve">10 | </w:t>
            </w:r>
            <w:r>
              <w:rPr>
                <w:rFonts w:ascii="Consolas" w:hAnsi="Consolas"/>
                <w:color w:val="141414"/>
                <w:sz w:val="19"/>
              </w:rPr>
              <w:t>L^*_{\text{new}} ≥ts (L^* - μ_L^s) × (σ_L^t / σ_L^s) + μ_L^t</w:t>
            </w:r>
          </w:p>
          <w:p>
            <w:pPr>
              <w:spacing w:before="20" w:after="20" w:line="276" w:lineRule="auto"/>
            </w:pPr>
            <w:r>
              <w:rPr>
                <w:rFonts w:ascii="Consolas" w:hAnsi="Consolas"/>
                <w:color w:val="8C8C8C"/>
                <w:sz w:val="19"/>
              </w:rPr>
              <w:t xml:space="preserve">11 | </w:t>
            </w:r>
            <w:r>
              <w:rPr>
                <w:rFonts w:ascii="Consolas" w:hAnsi="Consolas"/>
                <w:color w:val="141414"/>
                <w:sz w:val="19"/>
              </w:rPr>
              <w:t>a^*_{\text{new}} ≥ts (a^* - μ_a^s) × (σ_a^t / σ_a^s) + μ_a^t</w:t>
            </w:r>
          </w:p>
          <w:p>
            <w:pPr>
              <w:spacing w:before="20" w:after="20" w:line="276" w:lineRule="auto"/>
            </w:pPr>
            <w:r>
              <w:rPr>
                <w:rFonts w:ascii="Consolas" w:hAnsi="Consolas"/>
                <w:color w:val="8C8C8C"/>
                <w:sz w:val="19"/>
              </w:rPr>
              <w:t xml:space="preserve">12 | </w:t>
            </w:r>
            <w:r>
              <w:rPr>
                <w:rFonts w:ascii="Consolas" w:hAnsi="Consolas"/>
                <w:color w:val="141414"/>
                <w:sz w:val="19"/>
              </w:rPr>
              <w:t>b^*_{\text{new}} ≥ts (b^* - μ_b^s) × (σ_b^t / σ_b^s) + μ_b^t</w:t>
            </w:r>
          </w:p>
          <w:p>
            <w:pPr>
              <w:spacing w:before="20" w:after="20" w:line="276" w:lineRule="auto"/>
            </w:pPr>
            <w:r>
              <w:rPr>
                <w:rFonts w:ascii="Consolas" w:hAnsi="Consolas"/>
                <w:color w:val="8C8C8C"/>
                <w:sz w:val="19"/>
              </w:rPr>
              <w:t xml:space="preserve">13 | </w:t>
            </w:r>
            <w:r>
              <w:rPr>
                <w:rFonts w:ascii="Consolas" w:hAnsi="Consolas"/>
                <w:color w:val="141414"/>
                <w:sz w:val="19"/>
              </w:rPr>
              <w:t>Clip channels to standard CIELAB numerical boundaries: L^* ∈ [0, 100], a^*, b^* ∈ [-128, 127].</w:t>
            </w:r>
          </w:p>
          <w:p>
            <w:pPr>
              <w:spacing w:before="20" w:after="20" w:line="276" w:lineRule="auto"/>
            </w:pPr>
            <w:r>
              <w:rPr>
                <w:rFonts w:ascii="Consolas" w:hAnsi="Consolas"/>
                <w:color w:val="8C8C8C"/>
                <w:sz w:val="19"/>
              </w:rPr>
              <w:t xml:space="preserve">14 | </w:t>
            </w:r>
            <w:r>
              <w:rPr>
                <w:rFonts w:ascii="Consolas" w:hAnsi="Consolas"/>
                <w:color w:val="141414"/>
                <w:sz w:val="19"/>
              </w:rPr>
              <w:t>Invert CIELAB to CIE XYZ, and non-linearly transform XYZ back to sRGB.</w:t>
            </w:r>
          </w:p>
          <w:p>
            <w:pPr>
              <w:spacing w:before="20" w:after="20" w:line="276" w:lineRule="auto"/>
            </w:pPr>
            <w:r>
              <w:rPr>
                <w:rFonts w:ascii="Consolas" w:hAnsi="Consolas"/>
                <w:color w:val="8C8C8C"/>
                <w:sz w:val="19"/>
              </w:rPr>
              <w:t xml:space="preserve">15 | </w:t>
            </w:r>
            <w:r>
              <w:rPr>
                <w:rFonts w:ascii="Consolas" w:hAnsi="Consolas"/>
                <w:color w:val="141414"/>
                <w:sz w:val="19"/>
              </w:rPr>
              <w:t>Clip output intensities to [0, 255] uint8 space.</w:t>
            </w:r>
          </w:p>
          <w:p>
            <w:pPr>
              <w:spacing w:before="20" w:after="20" w:line="276" w:lineRule="auto"/>
            </w:pPr>
            <w:r>
              <w:rPr>
                <w:rFonts w:ascii="Consolas" w:hAnsi="Consolas"/>
                <w:color w:val="8C8C8C"/>
                <w:sz w:val="19"/>
              </w:rPr>
              <w:t xml:space="preserve">16 | </w:t>
            </w:r>
            <w:r>
              <w:rPr>
                <w:rFonts w:ascii="Consolas" w:hAnsi="Consolas"/>
                <w:color w:val="141414"/>
                <w:sz w:val="19"/>
              </w:rPr>
              <w:t>return I_{\text{norm}}</w:t>
            </w:r>
          </w:p>
        </w:tc>
      </w:tr>
    </w:tbl>
    <w:p>
      <w:pPr>
        <w:spacing w:before="80" w:after="160" w:line="360" w:lineRule="auto"/>
        <w:jc w:val="both"/>
      </w:pPr>
    </w:p>
    <w:p>
      <w:pPr>
        <w:spacing w:before="280" w:after="120" w:line="360" w:lineRule="auto"/>
        <w:jc w:val="left"/>
      </w:pPr>
      <w:r>
        <w:rPr>
          <w:rFonts w:ascii="Times New Roman" w:hAnsi="Times New Roman"/>
          <w:b/>
          <w:i w:val="0"/>
          <w:color w:val="0F234B"/>
          <w:sz w:val="28"/>
        </w:rPr>
        <w:t>HL7 FHIR Release 4 JSON Exporter Implementation</w:t>
      </w:r>
    </w:p>
    <w:p>
      <w:pPr>
        <w:spacing w:before="40" w:after="120" w:line="360" w:lineRule="auto"/>
        <w:jc w:val="both"/>
      </w:pPr>
      <w:r>
        <w:rPr>
          <w:rFonts w:ascii="Times New Roman" w:hAnsi="Times New Roman"/>
          <w:b w:val="0"/>
          <w:i w:val="0"/>
          <w:sz w:val="24"/>
        </w:rPr>
        <w:t>Interoperability with Electronic Health Record (EHR) systems is implemented in the module</w:t>
      </w:r>
      <w:r>
        <w:rPr>
          <w:rFonts w:ascii="Consolas" w:hAnsi="Consolas"/>
          <w:color w:val="1E1E1E"/>
          <w:sz w:val="22"/>
        </w:rPr>
        <w:t>app.services.fhir_exporter</w:t>
      </w:r>
      <w:r>
        <w:rPr>
          <w:rFonts w:ascii="Times New Roman" w:hAnsi="Times New Roman"/>
          <w:b w:val="0"/>
          <w:i w:val="0"/>
          <w:sz w:val="24"/>
        </w:rPr>
        <w:t>. The service constructs an official HL7 FHIR Release 4</w:t>
      </w:r>
      <w:r>
        <w:rPr>
          <w:rFonts w:ascii="Consolas" w:hAnsi="Consolas"/>
          <w:color w:val="1E1E1E"/>
          <w:sz w:val="22"/>
        </w:rPr>
        <w:t>DiagnosticReport</w:t>
      </w:r>
      <w:r>
        <w:rPr>
          <w:rFonts w:ascii="Times New Roman" w:hAnsi="Times New Roman"/>
          <w:b w:val="0"/>
          <w:i w:val="0"/>
          <w:sz w:val="24"/>
        </w:rPr>
        <w:t>resource bound within an atomic</w:t>
      </w:r>
      <w:r>
        <w:rPr>
          <w:rFonts w:ascii="Consolas" w:hAnsi="Consolas"/>
          <w:color w:val="1E1E1E"/>
          <w:sz w:val="22"/>
        </w:rPr>
        <w:t>Bundle</w:t>
      </w:r>
      <w:r>
        <w:rPr>
          <w:rFonts w:ascii="Times New Roman" w:hAnsi="Times New Roman"/>
          <w:b w:val="0"/>
          <w:i w:val="0"/>
          <w:sz w:val="24"/>
        </w:rPr>
        <w:t>of type</w:t>
      </w:r>
      <w:r>
        <w:rPr>
          <w:rFonts w:ascii="Consolas" w:hAnsi="Consolas"/>
          <w:color w:val="1E1E1E"/>
          <w:sz w:val="22"/>
        </w:rPr>
        <w:t>document</w:t>
      </w:r>
      <w:r>
        <w:rPr>
          <w:rFonts w:ascii="Times New Roman" w:hAnsi="Times New Roman"/>
          <w:b w:val="0"/>
          <w:i w:val="0"/>
          <w:sz w:val="24"/>
        </w:rPr>
        <w:t>:</w:t>
      </w:r>
    </w:p>
    <w:p>
      <w:pPr>
        <w:spacing w:before="200" w:after="80" w:line="360" w:lineRule="auto"/>
        <w:jc w:val="left"/>
      </w:pPr>
      <w:r>
        <w:rPr>
          <w:rFonts w:ascii="Times New Roman" w:hAnsi="Times New Roman"/>
          <w:b/>
          <w:i w:val="0"/>
          <w:color w:val="0A2D5A"/>
          <w:sz w:val="21"/>
        </w:rPr>
        <w:t>Listing: HL7 FHIR Release 4 JSON Exporter Routine</w:t>
      </w:r>
    </w:p>
    <w:tbl>
      <w:tblPr>
        <w:tblW w:type="auto" w:w="0"/>
        <w:jc w:val="center"/>
        <w:tblLook w:firstColumn="1" w:firstRow="1" w:lastColumn="0" w:lastRow="0" w:noHBand="0" w:noVBand="1" w:val="04A0"/>
      </w:tblPr>
      <w:tblGrid>
        <w:gridCol w:w="8669"/>
      </w:tblGrid>
      <w:tr>
        <w:tc>
          <w:tcPr>
            <w:tcW w:type="dxa" w:w="8669"/>
            <w:shd w:fill="F4F5F7"/>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20" w:after="20" w:line="264" w:lineRule="auto"/>
            </w:pPr>
            <w:r>
              <w:rPr>
                <w:rFonts w:ascii="Consolas" w:hAnsi="Consolas"/>
                <w:color w:val="232323"/>
                <w:sz w:val="18"/>
              </w:rPr>
              <w:t>def export_fhir_diagnostic_report(analysis_record: Analysis) -&gt; dict:</w:t>
            </w:r>
          </w:p>
          <w:p>
            <w:pPr>
              <w:spacing w:before="20" w:after="20" w:line="264" w:lineRule="auto"/>
            </w:pPr>
            <w:r>
              <w:rPr>
                <w:rFonts w:ascii="Consolas" w:hAnsi="Consolas"/>
                <w:color w:val="232323"/>
                <w:sz w:val="18"/>
              </w:rPr>
              <w:t xml:space="preserve">    return {</w:t>
            </w:r>
          </w:p>
          <w:p>
            <w:pPr>
              <w:spacing w:before="20" w:after="20" w:line="264" w:lineRule="auto"/>
            </w:pPr>
            <w:r>
              <w:rPr>
                <w:rFonts w:ascii="Consolas" w:hAnsi="Consolas"/>
                <w:color w:val="232323"/>
                <w:sz w:val="18"/>
              </w:rPr>
              <w:t xml:space="preserve">        "resourceType": "DiagnosticReport",</w:t>
            </w:r>
          </w:p>
          <w:p>
            <w:pPr>
              <w:spacing w:before="20" w:after="20" w:line="264" w:lineRule="auto"/>
            </w:pPr>
            <w:r>
              <w:rPr>
                <w:rFonts w:ascii="Consolas" w:hAnsi="Consolas"/>
                <w:color w:val="232323"/>
                <w:sz w:val="18"/>
              </w:rPr>
              <w:t xml:space="preserve">        "id": f"orc-{analysis_record.id}",</w:t>
            </w:r>
          </w:p>
          <w:p>
            <w:pPr>
              <w:spacing w:before="20" w:after="20" w:line="264" w:lineRule="auto"/>
            </w:pPr>
            <w:r>
              <w:rPr>
                <w:rFonts w:ascii="Consolas" w:hAnsi="Consolas"/>
                <w:color w:val="232323"/>
                <w:sz w:val="18"/>
              </w:rPr>
              <w:t xml:space="preserve">        "status": "final",</w:t>
            </w:r>
          </w:p>
          <w:p>
            <w:pPr>
              <w:spacing w:before="20" w:after="20" w:line="264" w:lineRule="auto"/>
            </w:pPr>
            <w:r>
              <w:rPr>
                <w:rFonts w:ascii="Consolas" w:hAnsi="Consolas"/>
                <w:color w:val="232323"/>
                <w:sz w:val="18"/>
              </w:rPr>
              <w:t xml:space="preserve">        "category": [{</w:t>
            </w:r>
          </w:p>
          <w:p>
            <w:pPr>
              <w:spacing w:before="20" w:after="20" w:line="264" w:lineRule="auto"/>
            </w:pPr>
            <w:r>
              <w:rPr>
                <w:rFonts w:ascii="Consolas" w:hAnsi="Consolas"/>
                <w:color w:val="232323"/>
                <w:sz w:val="18"/>
              </w:rPr>
              <w:t xml:space="preserve">            "coding": [{</w:t>
            </w:r>
          </w:p>
          <w:p>
            <w:pPr>
              <w:spacing w:before="20" w:after="20" w:line="264" w:lineRule="auto"/>
            </w:pPr>
            <w:r>
              <w:rPr>
                <w:rFonts w:ascii="Consolas" w:hAnsi="Consolas"/>
                <w:color w:val="232323"/>
                <w:sz w:val="18"/>
              </w:rPr>
              <w:t xml:space="preserve">                "system": "http://terminology.hl7.org/CodeSystem/v2-0074",</w:t>
            </w:r>
          </w:p>
          <w:p>
            <w:pPr>
              <w:spacing w:before="20" w:after="20" w:line="264" w:lineRule="auto"/>
            </w:pPr>
            <w:r>
              <w:rPr>
                <w:rFonts w:ascii="Consolas" w:hAnsi="Consolas"/>
                <w:color w:val="232323"/>
                <w:sz w:val="18"/>
              </w:rPr>
              <w:t xml:space="preserve">                "code": "RAD",</w:t>
            </w:r>
          </w:p>
          <w:p>
            <w:pPr>
              <w:spacing w:before="20" w:after="20" w:line="264" w:lineRule="auto"/>
            </w:pPr>
            <w:r>
              <w:rPr>
                <w:rFonts w:ascii="Consolas" w:hAnsi="Consolas"/>
                <w:color w:val="232323"/>
                <w:sz w:val="18"/>
              </w:rPr>
              <w:t xml:space="preserve">                "display": "Radiology / Diagnostic Imaging"</w:t>
            </w:r>
          </w:p>
          <w:p>
            <w:pPr>
              <w:spacing w:before="20" w:after="20" w:line="264" w:lineRule="auto"/>
            </w:pPr>
            <w:r>
              <w:rPr>
                <w:rFonts w:ascii="Consolas" w:hAnsi="Consolas"/>
                <w:color w:val="232323"/>
                <w:sz w:val="18"/>
              </w:rPr>
              <w:t xml:space="preserve">            }]</w:t>
            </w:r>
          </w:p>
          <w:p>
            <w:pPr>
              <w:spacing w:before="20" w:after="20" w:line="264" w:lineRule="auto"/>
            </w:pPr>
            <w:r>
              <w:rPr>
                <w:rFonts w:ascii="Consolas" w:hAnsi="Consolas"/>
                <w:color w:val="232323"/>
                <w:sz w:val="18"/>
              </w:rPr>
              <w:t xml:space="preserve">        }],</w:t>
            </w:r>
          </w:p>
          <w:p>
            <w:pPr>
              <w:spacing w:before="20" w:after="20" w:line="264" w:lineRule="auto"/>
            </w:pPr>
            <w:r>
              <w:rPr>
                <w:rFonts w:ascii="Consolas" w:hAnsi="Consolas"/>
                <w:color w:val="232323"/>
                <w:sz w:val="18"/>
              </w:rPr>
              <w:t xml:space="preserve">        "code": {</w:t>
            </w:r>
          </w:p>
          <w:p>
            <w:pPr>
              <w:spacing w:before="20" w:after="20" w:line="264" w:lineRule="auto"/>
            </w:pPr>
            <w:r>
              <w:rPr>
                <w:rFonts w:ascii="Consolas" w:hAnsi="Consolas"/>
                <w:color w:val="232323"/>
                <w:sz w:val="18"/>
              </w:rPr>
              <w:t xml:space="preserve">            "coding": [{</w:t>
            </w:r>
          </w:p>
          <w:p>
            <w:pPr>
              <w:spacing w:before="20" w:after="20" w:line="264" w:lineRule="auto"/>
            </w:pPr>
            <w:r>
              <w:rPr>
                <w:rFonts w:ascii="Consolas" w:hAnsi="Consolas"/>
                <w:color w:val="232323"/>
                <w:sz w:val="18"/>
              </w:rPr>
              <w:t xml:space="preserve">                "system": "http://loinc.org",</w:t>
            </w:r>
          </w:p>
          <w:p>
            <w:pPr>
              <w:spacing w:before="20" w:after="20" w:line="264" w:lineRule="auto"/>
            </w:pPr>
            <w:r>
              <w:rPr>
                <w:rFonts w:ascii="Consolas" w:hAnsi="Consolas"/>
                <w:color w:val="232323"/>
                <w:sz w:val="18"/>
              </w:rPr>
              <w:t xml:space="preserve">                "code": "8664-4",</w:t>
            </w:r>
          </w:p>
          <w:p>
            <w:pPr>
              <w:spacing w:before="20" w:after="20" w:line="264" w:lineRule="auto"/>
            </w:pPr>
            <w:r>
              <w:rPr>
                <w:rFonts w:ascii="Consolas" w:hAnsi="Consolas"/>
                <w:color w:val="232323"/>
                <w:sz w:val="18"/>
              </w:rPr>
              <w:t xml:space="preserve">                "display": "Oral Cavity Screening Examination"</w:t>
            </w:r>
          </w:p>
          <w:p>
            <w:pPr>
              <w:spacing w:before="20" w:after="20" w:line="264" w:lineRule="auto"/>
            </w:pPr>
            <w:r>
              <w:rPr>
                <w:rFonts w:ascii="Consolas" w:hAnsi="Consolas"/>
                <w:color w:val="232323"/>
                <w:sz w:val="18"/>
              </w:rPr>
              <w:t xml:space="preserve">            }]</w:t>
            </w:r>
          </w:p>
          <w:p>
            <w:pPr>
              <w:spacing w:before="20" w:after="20" w:line="264" w:lineRule="auto"/>
            </w:pPr>
            <w:r>
              <w:rPr>
                <w:rFonts w:ascii="Consolas" w:hAnsi="Consolas"/>
                <w:color w:val="232323"/>
                <w:sz w:val="18"/>
              </w:rPr>
              <w:t xml:space="preserve">        },</w:t>
            </w:r>
          </w:p>
          <w:p>
            <w:pPr>
              <w:spacing w:before="20" w:after="20" w:line="264" w:lineRule="auto"/>
            </w:pPr>
            <w:r>
              <w:rPr>
                <w:rFonts w:ascii="Consolas" w:hAnsi="Consolas"/>
                <w:color w:val="232323"/>
                <w:sz w:val="18"/>
              </w:rPr>
              <w:t xml:space="preserve">        "subject": {</w:t>
            </w:r>
          </w:p>
          <w:p>
            <w:pPr>
              <w:spacing w:before="20" w:after="20" w:line="264" w:lineRule="auto"/>
            </w:pPr>
            <w:r>
              <w:rPr>
                <w:rFonts w:ascii="Consolas" w:hAnsi="Consolas"/>
                <w:color w:val="232323"/>
                <w:sz w:val="18"/>
              </w:rPr>
              <w:t xml:space="preserve">            "reference": f"Patient/{analysis_record.patient_identifier}"</w:t>
            </w:r>
          </w:p>
          <w:p>
            <w:pPr>
              <w:spacing w:before="20" w:after="20" w:line="264" w:lineRule="auto"/>
            </w:pPr>
            <w:r>
              <w:rPr>
                <w:rFonts w:ascii="Consolas" w:hAnsi="Consolas"/>
                <w:color w:val="232323"/>
                <w:sz w:val="18"/>
              </w:rPr>
              <w:t xml:space="preserve">        },</w:t>
            </w:r>
          </w:p>
          <w:p>
            <w:pPr>
              <w:spacing w:before="20" w:after="20" w:line="264" w:lineRule="auto"/>
            </w:pPr>
            <w:r>
              <w:rPr>
                <w:rFonts w:ascii="Consolas" w:hAnsi="Consolas"/>
                <w:color w:val="232323"/>
                <w:sz w:val="18"/>
              </w:rPr>
              <w:t xml:space="preserve">        "effectiveDateTime": analysis_record.created_at.isoformat(),</w:t>
            </w:r>
          </w:p>
          <w:p>
            <w:pPr>
              <w:spacing w:before="20" w:after="20" w:line="264" w:lineRule="auto"/>
            </w:pPr>
            <w:r>
              <w:rPr>
                <w:rFonts w:ascii="Consolas" w:hAnsi="Consolas"/>
                <w:color w:val="232323"/>
                <w:sz w:val="18"/>
              </w:rPr>
              <w:t xml:space="preserve">        "conclusion": analysis_record.prediction,</w:t>
            </w:r>
          </w:p>
          <w:p>
            <w:pPr>
              <w:spacing w:before="20" w:after="20" w:line="264" w:lineRule="auto"/>
            </w:pPr>
            <w:r>
              <w:rPr>
                <w:rFonts w:ascii="Consolas" w:hAnsi="Consolas"/>
                <w:color w:val="232323"/>
                <w:sz w:val="18"/>
              </w:rPr>
              <w:t xml:space="preserve">        "conclusionCode": [{</w:t>
            </w:r>
          </w:p>
          <w:p>
            <w:pPr>
              <w:spacing w:before="20" w:after="20" w:line="264" w:lineRule="auto"/>
            </w:pPr>
            <w:r>
              <w:rPr>
                <w:rFonts w:ascii="Consolas" w:hAnsi="Consolas"/>
                <w:color w:val="232323"/>
                <w:sz w:val="18"/>
              </w:rPr>
              <w:t xml:space="preserve">            "coding": [{</w:t>
            </w:r>
          </w:p>
          <w:p>
            <w:pPr>
              <w:spacing w:before="20" w:after="20" w:line="264" w:lineRule="auto"/>
            </w:pPr>
            <w:r>
              <w:rPr>
                <w:rFonts w:ascii="Consolas" w:hAnsi="Consolas"/>
                <w:color w:val="232323"/>
                <w:sz w:val="18"/>
              </w:rPr>
              <w:t xml:space="preserve">                "system": "http://snomed.info/sct",</w:t>
            </w:r>
          </w:p>
          <w:p>
            <w:pPr>
              <w:spacing w:before="20" w:after="20" w:line="264" w:lineRule="auto"/>
            </w:pPr>
            <w:r>
              <w:rPr>
                <w:rFonts w:ascii="Consolas" w:hAnsi="Consolas"/>
                <w:color w:val="232323"/>
                <w:sz w:val="18"/>
              </w:rPr>
              <w:t xml:space="preserve">                "code": "371531000" if analysis_record.prediction == "Cancer" else "260413007",</w:t>
            </w:r>
          </w:p>
          <w:p>
            <w:pPr>
              <w:spacing w:before="20" w:after="20" w:line="264" w:lineRule="auto"/>
            </w:pPr>
            <w:r>
              <w:rPr>
                <w:rFonts w:ascii="Consolas" w:hAnsi="Consolas"/>
                <w:color w:val="232323"/>
                <w:sz w:val="18"/>
              </w:rPr>
              <w:t xml:space="preserve">                "display": "Malignant neoplasm of oral cavity" if analysis_record.prediction == "Cancer" else "None"</w:t>
            </w:r>
          </w:p>
          <w:p>
            <w:pPr>
              <w:spacing w:before="20" w:after="20" w:line="264" w:lineRule="auto"/>
            </w:pPr>
            <w:r>
              <w:rPr>
                <w:rFonts w:ascii="Consolas" w:hAnsi="Consolas"/>
                <w:color w:val="232323"/>
                <w:sz w:val="18"/>
              </w:rPr>
              <w:t xml:space="preserve">            }]</w:t>
            </w:r>
          </w:p>
          <w:p>
            <w:pPr>
              <w:spacing w:before="20" w:after="20" w:line="264" w:lineRule="auto"/>
            </w:pPr>
            <w:r>
              <w:rPr>
                <w:rFonts w:ascii="Consolas" w:hAnsi="Consolas"/>
                <w:color w:val="232323"/>
                <w:sz w:val="18"/>
              </w:rPr>
              <w:t xml:space="preserve">        }],</w:t>
            </w:r>
          </w:p>
          <w:p>
            <w:pPr>
              <w:spacing w:before="20" w:after="20" w:line="264" w:lineRule="auto"/>
            </w:pPr>
            <w:r>
              <w:rPr>
                <w:rFonts w:ascii="Consolas" w:hAnsi="Consolas"/>
                <w:color w:val="232323"/>
                <w:sz w:val="18"/>
              </w:rPr>
              <w:t xml:space="preserve">        "extension": [</w:t>
            </w:r>
          </w:p>
          <w:p>
            <w:pPr>
              <w:spacing w:before="20" w:after="20" w:line="264" w:lineRule="auto"/>
            </w:pPr>
            <w:r>
              <w:rPr>
                <w:rFonts w:ascii="Consolas" w:hAnsi="Consolas"/>
                <w:color w:val="232323"/>
                <w:sz w:val="18"/>
              </w:rPr>
              <w:t xml:space="preserve">            {</w:t>
            </w:r>
          </w:p>
          <w:p>
            <w:pPr>
              <w:spacing w:before="20" w:after="20" w:line="264" w:lineRule="auto"/>
            </w:pPr>
            <w:r>
              <w:rPr>
                <w:rFonts w:ascii="Consolas" w:hAnsi="Consolas"/>
                <w:color w:val="232323"/>
                <w:sz w:val="18"/>
              </w:rPr>
              <w:t xml:space="preserve">                "url": "http://visionarydiagnostics.org/fhir/epistemic-uncertainty",</w:t>
            </w:r>
          </w:p>
          <w:p>
            <w:pPr>
              <w:spacing w:before="20" w:after="20" w:line="264" w:lineRule="auto"/>
            </w:pPr>
            <w:r>
              <w:rPr>
                <w:rFonts w:ascii="Consolas" w:hAnsi="Consolas"/>
                <w:color w:val="232323"/>
                <w:sz w:val="18"/>
              </w:rPr>
              <w:t xml:space="preserve">                "valueDecimal": float(analysis_record.epistemic_uncertainty)</w:t>
            </w:r>
          </w:p>
          <w:p>
            <w:pPr>
              <w:spacing w:before="20" w:after="20" w:line="264" w:lineRule="auto"/>
            </w:pPr>
            <w:r>
              <w:rPr>
                <w:rFonts w:ascii="Consolas" w:hAnsi="Consolas"/>
                <w:color w:val="232323"/>
                <w:sz w:val="18"/>
              </w:rPr>
              <w:t xml:space="preserve">            },</w:t>
            </w:r>
          </w:p>
          <w:p>
            <w:pPr>
              <w:spacing w:before="20" w:after="20" w:line="264" w:lineRule="auto"/>
            </w:pPr>
            <w:r>
              <w:rPr>
                <w:rFonts w:ascii="Consolas" w:hAnsi="Consolas"/>
                <w:color w:val="232323"/>
                <w:sz w:val="18"/>
              </w:rPr>
              <w:t xml:space="preserve">            {</w:t>
            </w:r>
          </w:p>
          <w:p>
            <w:pPr>
              <w:spacing w:before="20" w:after="20" w:line="264" w:lineRule="auto"/>
            </w:pPr>
            <w:r>
              <w:rPr>
                <w:rFonts w:ascii="Consolas" w:hAnsi="Consolas"/>
                <w:color w:val="232323"/>
                <w:sz w:val="18"/>
              </w:rPr>
              <w:t xml:space="preserve">                "url": "http://visionarydiagnostics.org/fhir/clinical-risk-score",</w:t>
            </w:r>
          </w:p>
          <w:p>
            <w:pPr>
              <w:spacing w:before="20" w:after="20" w:line="264" w:lineRule="auto"/>
            </w:pPr>
            <w:r>
              <w:rPr>
                <w:rFonts w:ascii="Consolas" w:hAnsi="Consolas"/>
                <w:color w:val="232323"/>
                <w:sz w:val="18"/>
              </w:rPr>
              <w:t xml:space="preserve">                "valueDecimal": float(analysis_record.clinical_risk_score)</w:t>
            </w:r>
          </w:p>
          <w:p>
            <w:pPr>
              <w:spacing w:before="20" w:after="20" w:line="264" w:lineRule="auto"/>
            </w:pPr>
            <w:r>
              <w:rPr>
                <w:rFonts w:ascii="Consolas" w:hAnsi="Consolas"/>
                <w:color w:val="232323"/>
                <w:sz w:val="18"/>
              </w:rPr>
              <w:t xml:space="preserve">            }</w:t>
            </w:r>
          </w:p>
          <w:p>
            <w:pPr>
              <w:spacing w:before="20" w:after="20" w:line="264" w:lineRule="auto"/>
            </w:pPr>
            <w:r>
              <w:rPr>
                <w:rFonts w:ascii="Consolas" w:hAnsi="Consolas"/>
                <w:color w:val="232323"/>
                <w:sz w:val="18"/>
              </w:rPr>
              <w:t xml:space="preserve">        ]</w:t>
            </w:r>
          </w:p>
          <w:p>
            <w:pPr>
              <w:spacing w:before="20" w:after="20" w:line="264" w:lineRule="auto"/>
            </w:pPr>
            <w:r>
              <w:rPr>
                <w:rFonts w:ascii="Consolas" w:hAnsi="Consolas"/>
                <w:color w:val="232323"/>
                <w:sz w:val="18"/>
              </w:rPr>
              <w:t xml:space="preserve">    }</w:t>
            </w:r>
          </w:p>
        </w:tc>
      </w:tr>
    </w:tbl>
    <w:p>
      <w:pPr>
        <w:spacing w:before="80" w:after="160" w:line="360" w:lineRule="auto"/>
        <w:jc w:val="both"/>
      </w:pPr>
    </w:p>
    <w:p>
      <w:pPr>
        <w:spacing w:before="280" w:after="120" w:line="360" w:lineRule="auto"/>
        <w:jc w:val="left"/>
      </w:pPr>
      <w:r>
        <w:rPr>
          <w:rFonts w:ascii="Times New Roman" w:hAnsi="Times New Roman"/>
          <w:b/>
          <w:i w:val="0"/>
          <w:color w:val="0F234B"/>
          <w:sz w:val="28"/>
        </w:rPr>
        <w:t>Dynamic ONNX INT8 Quantization Engine</w:t>
      </w:r>
    </w:p>
    <w:p>
      <w:pPr>
        <w:spacing w:before="40" w:after="120" w:line="360" w:lineRule="auto"/>
        <w:jc w:val="both"/>
      </w:pPr>
      <w:r>
        <w:rPr>
          <w:rFonts w:ascii="Times New Roman" w:hAnsi="Times New Roman"/>
          <w:b w:val="0"/>
          <w:i w:val="0"/>
          <w:sz w:val="24"/>
        </w:rPr>
        <w:t>To enable deployment on edge-tier community health clinics lacking dedicated discrete GPUs, the PyTorch MergedNet model graph was exported to ONNX format and dynamically quantized to INT8 precision. The quantization pipeline applies asymmetric integer quantization to model weights:</w:t>
        <w:br/>
        <w:t>\begin{equation}</w:t>
        <w:br/>
        <w:t xml:space="preserve">    q = \text{round}≤ft( \frac{w}{S} \right) + Z</w:t>
        <w:br/>
        <w:t>\end{equation}</w:t>
        <w:br/>
        <w:t>where S is the scale factor and Z is the zero-point integer offset. ONNX Runtime's graph optimization passes fuse consecutive convolution and batch normalization layers, prune dead operators, and replace standard GEMM operations with multi-threaded INT8 matrix kernels. This reduces model storage footprint by 52.1% (from 94.7 MB to 45.4 MB) and cuts cloud vCPU inference latency from 284.6 ms to 112.5 ms without any statistically significant degradation in sensitivity (&gt; 99.7%).</w:t>
      </w:r>
    </w:p>
    <w:p>
      <w:pPr>
        <w:spacing w:before="280" w:after="120" w:line="360" w:lineRule="auto"/>
        <w:jc w:val="left"/>
      </w:pPr>
      <w:r>
        <w:rPr>
          <w:rFonts w:ascii="Times New Roman" w:hAnsi="Times New Roman"/>
          <w:b/>
          <w:i w:val="0"/>
          <w:color w:val="0F234B"/>
          <w:sz w:val="28"/>
        </w:rPr>
        <w:t>Security Hardening and Session Middleware</w:t>
      </w:r>
    </w:p>
    <w:p>
      <w:pPr>
        <w:spacing w:before="40" w:after="120" w:line="360" w:lineRule="auto"/>
        <w:jc w:val="both"/>
      </w:pPr>
      <w:r>
        <w:rPr>
          <w:rFonts w:ascii="Times New Roman" w:hAnsi="Times New Roman"/>
          <w:b w:val="0"/>
          <w:i w:val="0"/>
          <w:sz w:val="24"/>
        </w:rPr>
        <w:t>Backend security is implemented across multiple defensive layers:</w:t>
      </w:r>
    </w:p>
    <w:p>
      <w:pPr>
        <w:spacing w:before="40" w:after="80" w:line="312" w:lineRule="auto"/>
        <w:ind w:left="576"/>
      </w:pPr>
      <w:r>
        <w:rPr>
          <w:rFonts w:ascii="Times New Roman" w:hAnsi="Times New Roman"/>
          <w:b/>
          <w:sz w:val="22"/>
        </w:rPr>
        <w:t xml:space="preserve">•   </w:t>
      </w:r>
      <w:r>
        <w:rPr>
          <w:rFonts w:ascii="Times New Roman" w:hAnsi="Times New Roman"/>
          <w:b/>
          <w:i w:val="0"/>
          <w:sz w:val="23"/>
        </w:rPr>
        <w:t>Cryptographic Hashing:</w:t>
      </w:r>
      <w:r>
        <w:rPr>
          <w:rFonts w:ascii="Times New Roman" w:hAnsi="Times New Roman"/>
          <w:b w:val="0"/>
          <w:i w:val="0"/>
          <w:sz w:val="23"/>
        </w:rPr>
        <w:t>Passwords undergo PBKDF2-HMAC-SHA256 digestion with 600,000 hashing rounds and individual 16-byte random salts.</w:t>
      </w:r>
    </w:p>
    <w:p>
      <w:pPr>
        <w:spacing w:before="40" w:after="80" w:line="312" w:lineRule="auto"/>
        <w:ind w:left="576"/>
      </w:pPr>
      <w:r>
        <w:rPr>
          <w:rFonts w:ascii="Times New Roman" w:hAnsi="Times New Roman"/>
          <w:b/>
          <w:sz w:val="22"/>
        </w:rPr>
        <w:t xml:space="preserve">•   </w:t>
      </w:r>
      <w:r>
        <w:rPr>
          <w:rFonts w:ascii="Times New Roman" w:hAnsi="Times New Roman"/>
          <w:b/>
          <w:i w:val="0"/>
          <w:sz w:val="23"/>
        </w:rPr>
        <w:t>JWT Token Authentication:</w:t>
      </w:r>
      <w:r>
        <w:rPr>
          <w:rFonts w:ascii="Times New Roman" w:hAnsi="Times New Roman"/>
          <w:b w:val="0"/>
          <w:i w:val="0"/>
          <w:sz w:val="23"/>
        </w:rPr>
        <w:t>Stateless authorization uses JSON Web Tokens signed with HMAC-SHA256 and an ephemeral secret key rotated periodically. Access tokens enforce an expiration lifetime of 60 minutes.</w:t>
      </w:r>
    </w:p>
    <w:p>
      <w:pPr>
        <w:spacing w:before="40" w:after="80" w:line="312" w:lineRule="auto"/>
        <w:ind w:left="576"/>
      </w:pPr>
      <w:r>
        <w:rPr>
          <w:rFonts w:ascii="Times New Roman" w:hAnsi="Times New Roman"/>
          <w:b/>
          <w:sz w:val="22"/>
        </w:rPr>
        <w:t xml:space="preserve">•   </w:t>
      </w:r>
      <w:r>
        <w:rPr>
          <w:rFonts w:ascii="Times New Roman" w:hAnsi="Times New Roman"/>
          <w:b/>
          <w:i w:val="0"/>
          <w:sz w:val="23"/>
        </w:rPr>
        <w:t>Defensive Headers:</w:t>
      </w:r>
      <w:r>
        <w:rPr>
          <w:rFonts w:ascii="Times New Roman" w:hAnsi="Times New Roman"/>
          <w:b w:val="0"/>
          <w:i w:val="0"/>
          <w:sz w:val="23"/>
        </w:rPr>
        <w:t>Middleware injects</w:t>
      </w:r>
      <w:r>
        <w:rPr>
          <w:rFonts w:ascii="Consolas" w:hAnsi="Consolas"/>
          <w:color w:val="1E1E1E"/>
          <w:sz w:val="21"/>
        </w:rPr>
        <w:t>X-Content-Type-Options: nosniff</w:t>
      </w:r>
      <w:r>
        <w:rPr>
          <w:rFonts w:ascii="Times New Roman" w:hAnsi="Times New Roman"/>
          <w:b w:val="0"/>
          <w:i w:val="0"/>
          <w:sz w:val="23"/>
        </w:rPr>
        <w:t>,</w:t>
      </w:r>
      <w:r>
        <w:rPr>
          <w:rFonts w:ascii="Consolas" w:hAnsi="Consolas"/>
          <w:color w:val="1E1E1E"/>
          <w:sz w:val="21"/>
        </w:rPr>
        <w:t>X-Frame-Options: DENY</w:t>
      </w:r>
      <w:r>
        <w:rPr>
          <w:rFonts w:ascii="Times New Roman" w:hAnsi="Times New Roman"/>
          <w:b w:val="0"/>
          <w:i w:val="0"/>
          <w:sz w:val="23"/>
        </w:rPr>
        <w:t>, and strict Content Security Policy directives restricting script sources.</w:t>
      </w:r>
    </w:p>
    <w:p>
      <w:r>
        <w:br w:type="page"/>
      </w:r>
    </w:p>
    <w:p>
      <w:pPr>
        <w:spacing w:before="360" w:after="360" w:line="360" w:lineRule="auto"/>
        <w:jc w:val="center"/>
      </w:pPr>
      <w:r>
        <w:rPr>
          <w:rFonts w:ascii="Times New Roman" w:hAnsi="Times New Roman"/>
          <w:b/>
          <w:i w:val="0"/>
          <w:color w:val="0A2D5A"/>
          <w:sz w:val="32"/>
        </w:rPr>
        <w:t>CHAPTER 7</w:t>
        <w:br/>
        <w:t>TESTING AND QUALITY ASSURANCE</w:t>
      </w:r>
    </w:p>
    <w:p>
      <w:pPr>
        <w:spacing w:before="280" w:after="120" w:line="360" w:lineRule="auto"/>
        <w:jc w:val="left"/>
      </w:pPr>
      <w:r>
        <w:rPr>
          <w:rFonts w:ascii="Times New Roman" w:hAnsi="Times New Roman"/>
          <w:b/>
          <w:i w:val="0"/>
          <w:color w:val="0F234B"/>
          <w:sz w:val="28"/>
        </w:rPr>
        <w:t>Testing Philosophy and Quality Assurance Hierarchy</w:t>
      </w:r>
    </w:p>
    <w:p>
      <w:pPr>
        <w:spacing w:before="40" w:after="120" w:line="360" w:lineRule="auto"/>
        <w:jc w:val="both"/>
      </w:pPr>
      <w:r>
        <w:rPr>
          <w:rFonts w:ascii="Times New Roman" w:hAnsi="Times New Roman"/>
          <w:b w:val="0"/>
          <w:i w:val="0"/>
          <w:sz w:val="24"/>
        </w:rPr>
        <w:t>Given the safety-critical nature of oncology decision support, the testing strategy for</w:t>
      </w:r>
      <w:r>
        <w:rPr>
          <w:rFonts w:ascii="Times New Roman" w:hAnsi="Times New Roman"/>
          <w:b/>
          <w:i w:val="0"/>
          <w:sz w:val="24"/>
        </w:rPr>
        <w:t>Visionary Diagnostics</w:t>
      </w:r>
      <w:r>
        <w:rPr>
          <w:rFonts w:ascii="Times New Roman" w:hAnsi="Times New Roman"/>
          <w:b w:val="0"/>
          <w:i w:val="0"/>
          <w:sz w:val="24"/>
        </w:rPr>
        <w:t>followed a rigorous</w:t>
      </w:r>
      <w:r>
        <w:rPr>
          <w:rFonts w:ascii="Times New Roman" w:hAnsi="Times New Roman"/>
          <w:b/>
          <w:i w:val="0"/>
          <w:sz w:val="24"/>
        </w:rPr>
        <w:t>V-Model Verification and Validation Hierarchy</w:t>
      </w:r>
      <w:r>
        <w:rPr>
          <w:rFonts w:ascii="Times New Roman" w:hAnsi="Times New Roman"/>
          <w:b w:val="0"/>
          <w:i w:val="0"/>
          <w:sz w:val="24"/>
        </w:rPr>
        <w:t>spanning four levels:</w:t>
      </w:r>
    </w:p>
    <w:p>
      <w:pPr>
        <w:spacing w:before="40" w:after="80" w:line="312" w:lineRule="auto"/>
        <w:ind w:left="576"/>
      </w:pPr>
      <w:r>
        <w:rPr>
          <w:rFonts w:ascii="Times New Roman" w:hAnsi="Times New Roman"/>
          <w:b/>
          <w:sz w:val="22"/>
        </w:rPr>
        <w:t xml:space="preserve">1. </w:t>
      </w:r>
      <w:r>
        <w:rPr>
          <w:rFonts w:ascii="Times New Roman" w:hAnsi="Times New Roman"/>
          <w:b/>
          <w:i w:val="0"/>
          <w:sz w:val="23"/>
        </w:rPr>
        <w:t>Unit Testing:</w:t>
      </w:r>
      <w:r>
        <w:rPr>
          <w:rFonts w:ascii="Times New Roman" w:hAnsi="Times New Roman"/>
          <w:b w:val="0"/>
          <w:i w:val="0"/>
          <w:sz w:val="23"/>
        </w:rPr>
        <w:t>Verification of isolated mathematical functions, Reinhard matrix transformations, Laplacian kernels, and Pydantic schema parsers.</w:t>
      </w:r>
    </w:p>
    <w:p>
      <w:pPr>
        <w:spacing w:before="40" w:after="80" w:line="312" w:lineRule="auto"/>
        <w:ind w:left="576"/>
      </w:pPr>
      <w:r>
        <w:rPr>
          <w:rFonts w:ascii="Times New Roman" w:hAnsi="Times New Roman"/>
          <w:b/>
          <w:sz w:val="22"/>
        </w:rPr>
        <w:t xml:space="preserve">2. </w:t>
      </w:r>
      <w:r>
        <w:rPr>
          <w:rFonts w:ascii="Times New Roman" w:hAnsi="Times New Roman"/>
          <w:b/>
          <w:i w:val="0"/>
          <w:sz w:val="23"/>
        </w:rPr>
        <w:t>Integration Testing:</w:t>
      </w:r>
      <w:r>
        <w:rPr>
          <w:rFonts w:ascii="Times New Roman" w:hAnsi="Times New Roman"/>
          <w:b w:val="0"/>
          <w:i w:val="0"/>
          <w:sz w:val="23"/>
        </w:rPr>
        <w:t>Verification of inter-tier communication between FastAPI endpoints, SQLAlchemy ORM, and ONNX Runtime inference sessions.</w:t>
      </w:r>
    </w:p>
    <w:p>
      <w:pPr>
        <w:spacing w:before="40" w:after="80" w:line="312" w:lineRule="auto"/>
        <w:ind w:left="576"/>
      </w:pPr>
      <w:r>
        <w:rPr>
          <w:rFonts w:ascii="Times New Roman" w:hAnsi="Times New Roman"/>
          <w:b/>
          <w:sz w:val="22"/>
        </w:rPr>
        <w:t xml:space="preserve">3. </w:t>
      </w:r>
      <w:r>
        <w:rPr>
          <w:rFonts w:ascii="Times New Roman" w:hAnsi="Times New Roman"/>
          <w:b/>
          <w:i w:val="0"/>
          <w:sz w:val="23"/>
        </w:rPr>
        <w:t>System &amp; Load Testing:</w:t>
      </w:r>
      <w:r>
        <w:rPr>
          <w:rFonts w:ascii="Times New Roman" w:hAnsi="Times New Roman"/>
          <w:b w:val="0"/>
          <w:i w:val="0"/>
          <w:sz w:val="23"/>
        </w:rPr>
        <w:t>Concurrency stress profiling using Locust to evaluate throughput under simulated multi-center clinical screening van workloads.</w:t>
      </w:r>
    </w:p>
    <w:p>
      <w:pPr>
        <w:spacing w:before="40" w:after="80" w:line="312" w:lineRule="auto"/>
        <w:ind w:left="576"/>
      </w:pPr>
      <w:r>
        <w:rPr>
          <w:rFonts w:ascii="Times New Roman" w:hAnsi="Times New Roman"/>
          <w:b/>
          <w:sz w:val="22"/>
        </w:rPr>
        <w:t xml:space="preserve">4. </w:t>
      </w:r>
      <w:r>
        <w:rPr>
          <w:rFonts w:ascii="Times New Roman" w:hAnsi="Times New Roman"/>
          <w:b/>
          <w:i w:val="0"/>
          <w:sz w:val="23"/>
        </w:rPr>
        <w:t>Clinical &amp; Adversarial Stress Testing:</w:t>
      </w:r>
      <w:r>
        <w:rPr>
          <w:rFonts w:ascii="Times New Roman" w:hAnsi="Times New Roman"/>
          <w:b w:val="0"/>
          <w:i w:val="0"/>
          <w:sz w:val="23"/>
        </w:rPr>
        <w:t>Evaluation of diagnostic stability under simulated real-world photographic degradations (motion blur, low illumination, noise).</w:t>
      </w:r>
    </w:p>
    <w:p>
      <w:pPr>
        <w:spacing w:before="280" w:after="120" w:line="360" w:lineRule="auto"/>
        <w:jc w:val="left"/>
      </w:pPr>
      <w:r>
        <w:rPr>
          <w:rFonts w:ascii="Times New Roman" w:hAnsi="Times New Roman"/>
          <w:b/>
          <w:i w:val="0"/>
          <w:color w:val="0F234B"/>
          <w:sz w:val="28"/>
        </w:rPr>
        <w:t>Unit Testing of Computational Pipelines</w:t>
      </w:r>
    </w:p>
    <w:p>
      <w:pPr>
        <w:spacing w:before="40" w:after="120" w:line="360" w:lineRule="auto"/>
        <w:jc w:val="both"/>
      </w:pPr>
      <w:r>
        <w:rPr>
          <w:rFonts w:ascii="Times New Roman" w:hAnsi="Times New Roman"/>
          <w:b w:val="0"/>
          <w:i w:val="0"/>
          <w:sz w:val="24"/>
        </w:rPr>
        <w:t>Unit testing was automated using</w:t>
      </w:r>
      <w:r>
        <w:rPr>
          <w:rFonts w:ascii="Consolas" w:hAnsi="Consolas"/>
          <w:color w:val="1E1E1E"/>
          <w:sz w:val="22"/>
        </w:rPr>
        <w:t>pytest 8.1.1</w:t>
      </w:r>
      <w:r>
        <w:rPr>
          <w:rFonts w:ascii="Times New Roman" w:hAnsi="Times New Roman"/>
          <w:b w:val="0"/>
          <w:i w:val="0"/>
          <w:sz w:val="24"/>
        </w:rPr>
        <w:t>. Core test suites verify mathematical invariants across edge-case inputs:</w:t>
      </w:r>
    </w:p>
    <w:p>
      <w:pPr>
        <w:spacing w:before="200" w:after="80" w:line="360" w:lineRule="auto"/>
        <w:jc w:val="left"/>
      </w:pPr>
      <w:r>
        <w:rPr>
          <w:rFonts w:ascii="Times New Roman" w:hAnsi="Times New Roman"/>
          <w:b/>
          <w:i w:val="0"/>
          <w:color w:val="0A2D5A"/>
          <w:sz w:val="21"/>
        </w:rPr>
        <w:t>Listing: Automated Pytest Unit Suite for Epistemic Uncertainty and Blur Gating</w:t>
      </w:r>
    </w:p>
    <w:tbl>
      <w:tblPr>
        <w:tblW w:type="auto" w:w="0"/>
        <w:jc w:val="center"/>
        <w:tblLook w:firstColumn="1" w:firstRow="1" w:lastColumn="0" w:lastRow="0" w:noHBand="0" w:noVBand="1" w:val="04A0"/>
      </w:tblPr>
      <w:tblGrid>
        <w:gridCol w:w="8669"/>
      </w:tblGrid>
      <w:tr>
        <w:tc>
          <w:tcPr>
            <w:tcW w:type="dxa" w:w="8669"/>
            <w:shd w:fill="F4F5F7"/>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20" w:after="20" w:line="264" w:lineRule="auto"/>
            </w:pPr>
            <w:r>
              <w:rPr>
                <w:rFonts w:ascii="Consolas" w:hAnsi="Consolas"/>
                <w:color w:val="232323"/>
                <w:sz w:val="18"/>
              </w:rPr>
              <w:t>def test_laplacian_blur_filter_rejection():</w:t>
            </w:r>
          </w:p>
          <w:p>
            <w:pPr>
              <w:spacing w:before="20" w:after="20" w:line="264" w:lineRule="auto"/>
            </w:pPr>
            <w:r>
              <w:rPr>
                <w:rFonts w:ascii="Consolas" w:hAnsi="Consolas"/>
                <w:color w:val="232323"/>
                <w:sz w:val="18"/>
              </w:rPr>
              <w:t xml:space="preserve">    # Synthetic perfectly blurry image (uniform gray)</w:t>
            </w:r>
          </w:p>
          <w:p>
            <w:pPr>
              <w:spacing w:before="20" w:after="20" w:line="264" w:lineRule="auto"/>
            </w:pPr>
            <w:r>
              <w:rPr>
                <w:rFonts w:ascii="Consolas" w:hAnsi="Consolas"/>
                <w:color w:val="232323"/>
                <w:sz w:val="18"/>
              </w:rPr>
              <w:t xml:space="preserve">    blurry_image = Image.fromarray(np.full((224, 224, 3), 128, dtype=np.uint8))</w:t>
            </w:r>
          </w:p>
          <w:p>
            <w:pPr>
              <w:spacing w:before="20" w:after="20" w:line="264" w:lineRule="auto"/>
            </w:pPr>
            <w:r>
              <w:rPr>
                <w:rFonts w:ascii="Consolas" w:hAnsi="Consolas"/>
                <w:color w:val="232323"/>
                <w:sz w:val="18"/>
              </w:rPr>
              <w:t xml:space="preserve">    score, is_acceptable = evaluate_image_quality(blurry_image)</w:t>
            </w:r>
          </w:p>
          <w:p>
            <w:pPr>
              <w:spacing w:before="20" w:after="20" w:line="264" w:lineRule="auto"/>
            </w:pPr>
            <w:r>
              <w:rPr>
                <w:rFonts w:ascii="Consolas" w:hAnsi="Consolas"/>
                <w:color w:val="232323"/>
                <w:sz w:val="18"/>
              </w:rPr>
              <w:t xml:space="preserve">    assert score &lt; 5.0</w:t>
            </w:r>
          </w:p>
          <w:p>
            <w:pPr>
              <w:spacing w:before="20" w:after="20" w:line="264" w:lineRule="auto"/>
            </w:pPr>
            <w:r>
              <w:rPr>
                <w:rFonts w:ascii="Consolas" w:hAnsi="Consolas"/>
                <w:color w:val="232323"/>
                <w:sz w:val="18"/>
              </w:rPr>
              <w:t xml:space="preserve">    assert is_acceptable is False</w:t>
            </w:r>
          </w:p>
          <w:p>
            <w:pPr>
              <w:spacing w:before="20" w:after="20" w:line="264" w:lineRule="auto"/>
            </w:pPr>
            <w:r>
              <w:rPr>
                <w:rFonts w:ascii="Consolas" w:hAnsi="Consolas"/>
                <w:color w:val="232323"/>
                <w:sz w:val="18"/>
              </w:rPr>
            </w:r>
          </w:p>
          <w:p>
            <w:pPr>
              <w:spacing w:before="20" w:after="20" w:line="264" w:lineRule="auto"/>
            </w:pPr>
            <w:r>
              <w:rPr>
                <w:rFonts w:ascii="Consolas" w:hAnsi="Consolas"/>
                <w:color w:val="232323"/>
                <w:sz w:val="18"/>
              </w:rPr>
              <w:t>def test_mc_dropout_variance_bounds():</w:t>
            </w:r>
          </w:p>
          <w:p>
            <w:pPr>
              <w:spacing w:before="20" w:after="20" w:line="264" w:lineRule="auto"/>
            </w:pPr>
            <w:r>
              <w:rPr>
                <w:rFonts w:ascii="Consolas" w:hAnsi="Consolas"/>
                <w:color w:val="232323"/>
                <w:sz w:val="18"/>
              </w:rPr>
              <w:t xml:space="preserve">    # Verify variance is non-negative and finite</w:t>
            </w:r>
          </w:p>
          <w:p>
            <w:pPr>
              <w:spacing w:before="20" w:after="20" w:line="264" w:lineRule="auto"/>
            </w:pPr>
            <w:r>
              <w:rPr>
                <w:rFonts w:ascii="Consolas" w:hAnsi="Consolas"/>
                <w:color w:val="232323"/>
                <w:sz w:val="18"/>
              </w:rPr>
              <w:t xml:space="preserve">    dummy_tensor = torch.randn(1, 3, 224, 224)</w:t>
            </w:r>
          </w:p>
          <w:p>
            <w:pPr>
              <w:spacing w:before="20" w:after="20" w:line="264" w:lineRule="auto"/>
            </w:pPr>
            <w:r>
              <w:rPr>
                <w:rFonts w:ascii="Consolas" w:hAnsi="Consolas"/>
                <w:color w:val="232323"/>
                <w:sz w:val="18"/>
              </w:rPr>
              <w:t xml:space="preserve">    probs, var = mc_dropout_inference(dummy_tensor, num_passes=15)</w:t>
            </w:r>
          </w:p>
          <w:p>
            <w:pPr>
              <w:spacing w:before="20" w:after="20" w:line="264" w:lineRule="auto"/>
            </w:pPr>
            <w:r>
              <w:rPr>
                <w:rFonts w:ascii="Consolas" w:hAnsi="Consolas"/>
                <w:color w:val="232323"/>
                <w:sz w:val="18"/>
              </w:rPr>
              <w:t xml:space="preserve">    assert 0.0 &lt;= probs &lt;= 1.0</w:t>
            </w:r>
          </w:p>
          <w:p>
            <w:pPr>
              <w:spacing w:before="20" w:after="20" w:line="264" w:lineRule="auto"/>
            </w:pPr>
            <w:r>
              <w:rPr>
                <w:rFonts w:ascii="Consolas" w:hAnsi="Consolas"/>
                <w:color w:val="232323"/>
                <w:sz w:val="18"/>
              </w:rPr>
              <w:t xml:space="preserve">    assert var &gt;= 0.0</w:t>
            </w:r>
          </w:p>
          <w:p>
            <w:pPr>
              <w:spacing w:before="20" w:after="20" w:line="264" w:lineRule="auto"/>
            </w:pPr>
            <w:r>
              <w:rPr>
                <w:rFonts w:ascii="Consolas" w:hAnsi="Consolas"/>
                <w:color w:val="232323"/>
                <w:sz w:val="18"/>
              </w:rPr>
              <w:t xml:space="preserve">    assert not np.isnan(var)</w:t>
            </w:r>
          </w:p>
        </w:tc>
      </w:tr>
    </w:tbl>
    <w:p>
      <w:pPr>
        <w:spacing w:before="80" w:after="160" w:line="360" w:lineRule="auto"/>
        <w:jc w:val="both"/>
      </w:pPr>
    </w:p>
    <w:p>
      <w:pPr>
        <w:spacing w:before="280" w:after="120" w:line="360" w:lineRule="auto"/>
        <w:jc w:val="left"/>
      </w:pPr>
      <w:r>
        <w:rPr>
          <w:rFonts w:ascii="Times New Roman" w:hAnsi="Times New Roman"/>
          <w:b/>
          <w:i w:val="0"/>
          <w:color w:val="0F234B"/>
          <w:sz w:val="28"/>
        </w:rPr>
        <w:t>Concurrency and Stress Profiling with Locust</w:t>
      </w:r>
    </w:p>
    <w:p>
      <w:pPr>
        <w:spacing w:before="40" w:after="120" w:line="360" w:lineRule="auto"/>
        <w:jc w:val="both"/>
      </w:pPr>
      <w:r>
        <w:rPr>
          <w:rFonts w:ascii="Times New Roman" w:hAnsi="Times New Roman"/>
          <w:b w:val="0"/>
          <w:i w:val="0"/>
          <w:sz w:val="24"/>
        </w:rPr>
        <w:t>To evaluate cloud scalability during mass oral screening camps, the system was subjected to simulated concurrency load testing using Locust. Table tab:locust_concurrency documents the system performance under progressive load increments.</w:t>
      </w:r>
    </w:p>
    <w:p>
      <w:pPr>
        <w:spacing w:before="200" w:after="80" w:line="360" w:lineRule="auto"/>
        <w:jc w:val="center"/>
      </w:pPr>
      <w:r>
        <w:rPr>
          <w:rFonts w:ascii="Times New Roman" w:hAnsi="Times New Roman"/>
          <w:b/>
          <w:i w:val="0"/>
          <w:color w:val="0A2D5A"/>
          <w:sz w:val="22"/>
        </w:rPr>
        <w:t>Table: System Performance Metrics Under Simulated Concurrent User Loads</w:t>
      </w:r>
    </w:p>
    <w:tbl>
      <w:tblPr>
        <w:tblW w:type="auto" w:w="0"/>
        <w:jc w:val="center"/>
        <w:tblLook w:firstColumn="1" w:firstRow="1" w:lastColumn="0" w:lastRow="0" w:noHBand="0" w:noVBand="1" w:val="04A0"/>
      </w:tblPr>
      <w:tblGrid>
        <w:gridCol w:w="1445"/>
        <w:gridCol w:w="1445"/>
        <w:gridCol w:w="1445"/>
        <w:gridCol w:w="1445"/>
        <w:gridCol w:w="1445"/>
        <w:gridCol w:w="1445"/>
      </w:tblGrid>
      <w:tr>
        <w:tc>
          <w:tcPr>
            <w:tcW w:type="dxa" w:w="1445"/>
            <w:tcMar>
              <w:top w:w="80" w:type="dxa"/>
              <w:bottom w:w="80" w:type="dxa"/>
              <w:left w:w="120" w:type="dxa"/>
              <w:right w:w="120" w:type="dxa"/>
            </w:tcMar>
            <w:tcBorders>
              <w:top w:val="single" w:sz="2" w:space="0" w:color="B0B0B0"/>
              <w:left w:val="single" w:sz="1" w:space="0" w:color="D8D8D8"/>
              <w:bottom w:val="single" w:sz="2" w:space="0" w:color="B0B0B0"/>
              <w:right w:val="single" w:sz="1" w:space="0" w:color="D8D8D8"/>
            </w:tcBorders>
            <w:shd w:fill="EBF0F5"/>
          </w:tcPr>
          <w:p>
            <w:pPr>
              <w:jc w:val="center"/>
            </w:pPr>
            <w:r>
              <w:rPr>
                <w:rFonts w:ascii="Times New Roman" w:hAnsi="Times New Roman"/>
                <w:b/>
                <w:sz w:val="21"/>
              </w:rPr>
              <w:t>\textbf{Concurrent Users}</w:t>
            </w:r>
          </w:p>
        </w:tc>
        <w:tc>
          <w:tcPr>
            <w:tcW w:type="dxa" w:w="1445"/>
            <w:tcMar>
              <w:top w:w="80" w:type="dxa"/>
              <w:bottom w:w="80" w:type="dxa"/>
              <w:left w:w="120" w:type="dxa"/>
              <w:right w:w="120" w:type="dxa"/>
            </w:tcMar>
            <w:tcBorders>
              <w:top w:val="single" w:sz="2" w:space="0" w:color="B0B0B0"/>
              <w:left w:val="single" w:sz="1" w:space="0" w:color="D8D8D8"/>
              <w:bottom w:val="single" w:sz="2" w:space="0" w:color="B0B0B0"/>
              <w:right w:val="single" w:sz="1" w:space="0" w:color="D8D8D8"/>
            </w:tcBorders>
            <w:shd w:fill="EBF0F5"/>
          </w:tcPr>
          <w:p>
            <w:pPr>
              <w:jc w:val="center"/>
            </w:pPr>
            <w:r>
              <w:rPr>
                <w:rFonts w:ascii="Times New Roman" w:hAnsi="Times New Roman"/>
                <w:b/>
                <w:sz w:val="21"/>
              </w:rPr>
              <w:t>\textbf{Req/Sec (RPS)}</w:t>
            </w:r>
          </w:p>
        </w:tc>
        <w:tc>
          <w:tcPr>
            <w:tcW w:type="dxa" w:w="1445"/>
            <w:tcMar>
              <w:top w:w="80" w:type="dxa"/>
              <w:bottom w:w="80" w:type="dxa"/>
              <w:left w:w="120" w:type="dxa"/>
              <w:right w:w="120" w:type="dxa"/>
            </w:tcMar>
            <w:tcBorders>
              <w:top w:val="single" w:sz="2" w:space="0" w:color="B0B0B0"/>
              <w:left w:val="single" w:sz="1" w:space="0" w:color="D8D8D8"/>
              <w:bottom w:val="single" w:sz="2" w:space="0" w:color="B0B0B0"/>
              <w:right w:val="single" w:sz="1" w:space="0" w:color="D8D8D8"/>
            </w:tcBorders>
            <w:shd w:fill="EBF0F5"/>
          </w:tcPr>
          <w:p>
            <w:pPr>
              <w:jc w:val="center"/>
            </w:pPr>
            <w:r>
              <w:rPr>
                <w:rFonts w:ascii="Times New Roman" w:hAnsi="Times New Roman"/>
                <w:b/>
                <w:sz w:val="21"/>
              </w:rPr>
              <w:t>\textbf{Median Latency}</w:t>
            </w:r>
          </w:p>
        </w:tc>
        <w:tc>
          <w:tcPr>
            <w:tcW w:type="dxa" w:w="1445"/>
            <w:tcMar>
              <w:top w:w="80" w:type="dxa"/>
              <w:bottom w:w="80" w:type="dxa"/>
              <w:left w:w="120" w:type="dxa"/>
              <w:right w:w="120" w:type="dxa"/>
            </w:tcMar>
            <w:tcBorders>
              <w:top w:val="single" w:sz="2" w:space="0" w:color="B0B0B0"/>
              <w:left w:val="single" w:sz="1" w:space="0" w:color="D8D8D8"/>
              <w:bottom w:val="single" w:sz="2" w:space="0" w:color="B0B0B0"/>
              <w:right w:val="single" w:sz="1" w:space="0" w:color="D8D8D8"/>
            </w:tcBorders>
            <w:shd w:fill="EBF0F5"/>
          </w:tcPr>
          <w:p>
            <w:pPr>
              <w:jc w:val="center"/>
            </w:pPr>
            <w:r>
              <w:rPr>
                <w:rFonts w:ascii="Times New Roman" w:hAnsi="Times New Roman"/>
                <w:b/>
                <w:sz w:val="21"/>
              </w:rPr>
              <w:t>\textbf{95th %ile Latency}</w:t>
            </w:r>
          </w:p>
        </w:tc>
        <w:tc>
          <w:tcPr>
            <w:tcW w:type="dxa" w:w="1445"/>
            <w:tcMar>
              <w:top w:w="80" w:type="dxa"/>
              <w:bottom w:w="80" w:type="dxa"/>
              <w:left w:w="120" w:type="dxa"/>
              <w:right w:w="120" w:type="dxa"/>
            </w:tcMar>
            <w:tcBorders>
              <w:top w:val="single" w:sz="2" w:space="0" w:color="B0B0B0"/>
              <w:left w:val="single" w:sz="1" w:space="0" w:color="D8D8D8"/>
              <w:bottom w:val="single" w:sz="2" w:space="0" w:color="B0B0B0"/>
              <w:right w:val="single" w:sz="1" w:space="0" w:color="D8D8D8"/>
            </w:tcBorders>
            <w:shd w:fill="EBF0F5"/>
          </w:tcPr>
          <w:p>
            <w:pPr>
              <w:jc w:val="center"/>
            </w:pPr>
            <w:r>
              <w:rPr>
                <w:rFonts w:ascii="Times New Roman" w:hAnsi="Times New Roman"/>
                <w:b/>
                <w:sz w:val="21"/>
              </w:rPr>
              <w:t>\textbf{99th %ile Latency}</w:t>
            </w:r>
          </w:p>
        </w:tc>
        <w:tc>
          <w:tcPr>
            <w:tcW w:type="dxa" w:w="1445"/>
            <w:tcMar>
              <w:top w:w="80" w:type="dxa"/>
              <w:bottom w:w="80" w:type="dxa"/>
              <w:left w:w="120" w:type="dxa"/>
              <w:right w:w="120" w:type="dxa"/>
            </w:tcMar>
            <w:tcBorders>
              <w:top w:val="single" w:sz="2" w:space="0" w:color="B0B0B0"/>
              <w:left w:val="single" w:sz="1" w:space="0" w:color="D8D8D8"/>
              <w:bottom w:val="single" w:sz="2" w:space="0" w:color="B0B0B0"/>
              <w:right w:val="single" w:sz="1" w:space="0" w:color="D8D8D8"/>
            </w:tcBorders>
            <w:shd w:fill="EBF0F5"/>
          </w:tcPr>
          <w:p>
            <w:pPr>
              <w:jc w:val="center"/>
            </w:pPr>
            <w:r>
              <w:rPr>
                <w:rFonts w:ascii="Times New Roman" w:hAnsi="Times New Roman"/>
                <w:b/>
                <w:sz w:val="21"/>
              </w:rPr>
              <w:t>\textbf{Error Rate (%)}</w:t>
            </w:r>
          </w:p>
        </w:tc>
      </w:tr>
      <w:tr>
        <w:tc>
          <w:tcPr>
            <w:tcW w:type="dxa" w:w="1445"/>
            <w:tcMar>
              <w:top w:w="80" w:type="dxa"/>
              <w:bottom w:w="80" w:type="dxa"/>
              <w:left w:w="120" w:type="dxa"/>
              <w:right w:w="120" w:type="dxa"/>
            </w:tcMar>
            <w:tcBorders>
              <w:top w:val="single" w:sz="2" w:space="0" w:color="B0B0B0"/>
              <w:left w:val="single" w:sz="1" w:space="0" w:color="D8D8D8"/>
              <w:bottom w:val="single" w:sz="2" w:space="0" w:color="B0B0B0"/>
              <w:right w:val="single" w:sz="1" w:space="0" w:color="D8D8D8"/>
            </w:tcBorders>
          </w:tcPr>
          <w:p>
            <w:pPr>
              <w:jc w:val="left"/>
            </w:pPr>
            <w:r>
              <w:rPr>
                <w:rFonts w:ascii="Times New Roman" w:hAnsi="Times New Roman"/>
                <w:sz w:val="20"/>
              </w:rPr>
              <w:t>25 Users</w:t>
            </w:r>
          </w:p>
        </w:tc>
        <w:tc>
          <w:tcPr>
            <w:tcW w:type="dxa" w:w="1445"/>
            <w:tcMar>
              <w:top w:w="80" w:type="dxa"/>
              <w:bottom w:w="80" w:type="dxa"/>
              <w:left w:w="120" w:type="dxa"/>
              <w:right w:w="120" w:type="dxa"/>
            </w:tcMar>
            <w:tcBorders>
              <w:top w:val="single" w:sz="2" w:space="0" w:color="B0B0B0"/>
              <w:left w:val="single" w:sz="1" w:space="0" w:color="D8D8D8"/>
              <w:bottom w:val="single" w:sz="2" w:space="0" w:color="B0B0B0"/>
              <w:right w:val="single" w:sz="1" w:space="0" w:color="D8D8D8"/>
            </w:tcBorders>
          </w:tcPr>
          <w:p>
            <w:pPr>
              <w:jc w:val="left"/>
            </w:pPr>
            <w:r>
              <w:rPr>
                <w:rFonts w:ascii="Times New Roman" w:hAnsi="Times New Roman"/>
                <w:sz w:val="20"/>
              </w:rPr>
              <w:t>18.4 req/s</w:t>
            </w:r>
          </w:p>
        </w:tc>
        <w:tc>
          <w:tcPr>
            <w:tcW w:type="dxa" w:w="1445"/>
            <w:tcMar>
              <w:top w:w="80" w:type="dxa"/>
              <w:bottom w:w="80" w:type="dxa"/>
              <w:left w:w="120" w:type="dxa"/>
              <w:right w:w="120" w:type="dxa"/>
            </w:tcMar>
            <w:tcBorders>
              <w:top w:val="single" w:sz="2" w:space="0" w:color="B0B0B0"/>
              <w:left w:val="single" w:sz="1" w:space="0" w:color="D8D8D8"/>
              <w:bottom w:val="single" w:sz="2" w:space="0" w:color="B0B0B0"/>
              <w:right w:val="single" w:sz="1" w:space="0" w:color="D8D8D8"/>
            </w:tcBorders>
          </w:tcPr>
          <w:p>
            <w:pPr>
              <w:jc w:val="left"/>
            </w:pPr>
            <w:r>
              <w:rPr>
                <w:rFonts w:ascii="Times New Roman" w:hAnsi="Times New Roman"/>
                <w:sz w:val="20"/>
              </w:rPr>
              <w:t>88 ms</w:t>
            </w:r>
          </w:p>
        </w:tc>
        <w:tc>
          <w:tcPr>
            <w:tcW w:type="dxa" w:w="1445"/>
            <w:tcMar>
              <w:top w:w="80" w:type="dxa"/>
              <w:bottom w:w="80" w:type="dxa"/>
              <w:left w:w="120" w:type="dxa"/>
              <w:right w:w="120" w:type="dxa"/>
            </w:tcMar>
            <w:tcBorders>
              <w:top w:val="single" w:sz="2" w:space="0" w:color="B0B0B0"/>
              <w:left w:val="single" w:sz="1" w:space="0" w:color="D8D8D8"/>
              <w:bottom w:val="single" w:sz="2" w:space="0" w:color="B0B0B0"/>
              <w:right w:val="single" w:sz="1" w:space="0" w:color="D8D8D8"/>
            </w:tcBorders>
          </w:tcPr>
          <w:p>
            <w:pPr>
              <w:jc w:val="left"/>
            </w:pPr>
            <w:r>
              <w:rPr>
                <w:rFonts w:ascii="Times New Roman" w:hAnsi="Times New Roman"/>
                <w:sz w:val="20"/>
              </w:rPr>
              <w:t>112 ms</w:t>
            </w:r>
          </w:p>
        </w:tc>
        <w:tc>
          <w:tcPr>
            <w:tcW w:type="dxa" w:w="1445"/>
            <w:tcMar>
              <w:top w:w="80" w:type="dxa"/>
              <w:bottom w:w="80" w:type="dxa"/>
              <w:left w:w="120" w:type="dxa"/>
              <w:right w:w="120" w:type="dxa"/>
            </w:tcMar>
            <w:tcBorders>
              <w:top w:val="single" w:sz="2" w:space="0" w:color="B0B0B0"/>
              <w:left w:val="single" w:sz="1" w:space="0" w:color="D8D8D8"/>
              <w:bottom w:val="single" w:sz="2" w:space="0" w:color="B0B0B0"/>
              <w:right w:val="single" w:sz="1" w:space="0" w:color="D8D8D8"/>
            </w:tcBorders>
          </w:tcPr>
          <w:p>
            <w:pPr>
              <w:jc w:val="left"/>
            </w:pPr>
            <w:r>
              <w:rPr>
                <w:rFonts w:ascii="Times New Roman" w:hAnsi="Times New Roman"/>
                <w:sz w:val="20"/>
              </w:rPr>
              <w:t>134 ms</w:t>
            </w:r>
          </w:p>
        </w:tc>
        <w:tc>
          <w:tcPr>
            <w:tcW w:type="dxa" w:w="1445"/>
            <w:tcMar>
              <w:top w:w="80" w:type="dxa"/>
              <w:bottom w:w="80" w:type="dxa"/>
              <w:left w:w="120" w:type="dxa"/>
              <w:right w:w="120" w:type="dxa"/>
            </w:tcMar>
            <w:tcBorders>
              <w:top w:val="single" w:sz="2" w:space="0" w:color="B0B0B0"/>
              <w:left w:val="single" w:sz="1" w:space="0" w:color="D8D8D8"/>
              <w:bottom w:val="single" w:sz="2" w:space="0" w:color="B0B0B0"/>
              <w:right w:val="single" w:sz="1" w:space="0" w:color="D8D8D8"/>
            </w:tcBorders>
          </w:tcPr>
          <w:p>
            <w:pPr>
              <w:jc w:val="left"/>
            </w:pPr>
            <w:r>
              <w:rPr>
                <w:rFonts w:ascii="Times New Roman" w:hAnsi="Times New Roman"/>
                <w:sz w:val="20"/>
              </w:rPr>
              <w:t>0.00%</w:t>
            </w:r>
          </w:p>
        </w:tc>
      </w:tr>
      <w:tr>
        <w:tc>
          <w:tcPr>
            <w:tcW w:type="dxa" w:w="1445"/>
            <w:tcMar>
              <w:top w:w="80" w:type="dxa"/>
              <w:bottom w:w="80" w:type="dxa"/>
              <w:left w:w="120" w:type="dxa"/>
              <w:right w:w="120" w:type="dxa"/>
            </w:tcMar>
            <w:tcBorders>
              <w:top w:val="single" w:sz="2" w:space="0" w:color="B0B0B0"/>
              <w:left w:val="single" w:sz="1" w:space="0" w:color="D8D8D8"/>
              <w:bottom w:val="single" w:sz="2" w:space="0" w:color="B0B0B0"/>
              <w:right w:val="single" w:sz="1" w:space="0" w:color="D8D8D8"/>
            </w:tcBorders>
          </w:tcPr>
          <w:p>
            <w:pPr>
              <w:jc w:val="left"/>
            </w:pPr>
            <w:r>
              <w:rPr>
                <w:rFonts w:ascii="Times New Roman" w:hAnsi="Times New Roman"/>
                <w:sz w:val="20"/>
              </w:rPr>
              <w:t>50 Users</w:t>
            </w:r>
          </w:p>
        </w:tc>
        <w:tc>
          <w:tcPr>
            <w:tcW w:type="dxa" w:w="1445"/>
            <w:tcMar>
              <w:top w:w="80" w:type="dxa"/>
              <w:bottom w:w="80" w:type="dxa"/>
              <w:left w:w="120" w:type="dxa"/>
              <w:right w:w="120" w:type="dxa"/>
            </w:tcMar>
            <w:tcBorders>
              <w:top w:val="single" w:sz="2" w:space="0" w:color="B0B0B0"/>
              <w:left w:val="single" w:sz="1" w:space="0" w:color="D8D8D8"/>
              <w:bottom w:val="single" w:sz="2" w:space="0" w:color="B0B0B0"/>
              <w:right w:val="single" w:sz="1" w:space="0" w:color="D8D8D8"/>
            </w:tcBorders>
          </w:tcPr>
          <w:p>
            <w:pPr>
              <w:jc w:val="left"/>
            </w:pPr>
            <w:r>
              <w:rPr>
                <w:rFonts w:ascii="Times New Roman" w:hAnsi="Times New Roman"/>
                <w:sz w:val="20"/>
              </w:rPr>
              <w:t>34.2 req/s</w:t>
            </w:r>
          </w:p>
        </w:tc>
        <w:tc>
          <w:tcPr>
            <w:tcW w:type="dxa" w:w="1445"/>
            <w:tcMar>
              <w:top w:w="80" w:type="dxa"/>
              <w:bottom w:w="80" w:type="dxa"/>
              <w:left w:w="120" w:type="dxa"/>
              <w:right w:w="120" w:type="dxa"/>
            </w:tcMar>
            <w:tcBorders>
              <w:top w:val="single" w:sz="2" w:space="0" w:color="B0B0B0"/>
              <w:left w:val="single" w:sz="1" w:space="0" w:color="D8D8D8"/>
              <w:bottom w:val="single" w:sz="2" w:space="0" w:color="B0B0B0"/>
              <w:right w:val="single" w:sz="1" w:space="0" w:color="D8D8D8"/>
            </w:tcBorders>
          </w:tcPr>
          <w:p>
            <w:pPr>
              <w:jc w:val="left"/>
            </w:pPr>
            <w:r>
              <w:rPr>
                <w:rFonts w:ascii="Times New Roman" w:hAnsi="Times New Roman"/>
                <w:sz w:val="20"/>
              </w:rPr>
              <w:t>96 ms</w:t>
            </w:r>
          </w:p>
        </w:tc>
        <w:tc>
          <w:tcPr>
            <w:tcW w:type="dxa" w:w="1445"/>
            <w:tcMar>
              <w:top w:w="80" w:type="dxa"/>
              <w:bottom w:w="80" w:type="dxa"/>
              <w:left w:w="120" w:type="dxa"/>
              <w:right w:w="120" w:type="dxa"/>
            </w:tcMar>
            <w:tcBorders>
              <w:top w:val="single" w:sz="2" w:space="0" w:color="B0B0B0"/>
              <w:left w:val="single" w:sz="1" w:space="0" w:color="D8D8D8"/>
              <w:bottom w:val="single" w:sz="2" w:space="0" w:color="B0B0B0"/>
              <w:right w:val="single" w:sz="1" w:space="0" w:color="D8D8D8"/>
            </w:tcBorders>
          </w:tcPr>
          <w:p>
            <w:pPr>
              <w:jc w:val="left"/>
            </w:pPr>
            <w:r>
              <w:rPr>
                <w:rFonts w:ascii="Times New Roman" w:hAnsi="Times New Roman"/>
                <w:sz w:val="20"/>
              </w:rPr>
              <w:t>124 ms</w:t>
            </w:r>
          </w:p>
        </w:tc>
        <w:tc>
          <w:tcPr>
            <w:tcW w:type="dxa" w:w="1445"/>
            <w:tcMar>
              <w:top w:w="80" w:type="dxa"/>
              <w:bottom w:w="80" w:type="dxa"/>
              <w:left w:w="120" w:type="dxa"/>
              <w:right w:w="120" w:type="dxa"/>
            </w:tcMar>
            <w:tcBorders>
              <w:top w:val="single" w:sz="2" w:space="0" w:color="B0B0B0"/>
              <w:left w:val="single" w:sz="1" w:space="0" w:color="D8D8D8"/>
              <w:bottom w:val="single" w:sz="2" w:space="0" w:color="B0B0B0"/>
              <w:right w:val="single" w:sz="1" w:space="0" w:color="D8D8D8"/>
            </w:tcBorders>
          </w:tcPr>
          <w:p>
            <w:pPr>
              <w:jc w:val="left"/>
            </w:pPr>
            <w:r>
              <w:rPr>
                <w:rFonts w:ascii="Times New Roman" w:hAnsi="Times New Roman"/>
                <w:sz w:val="20"/>
              </w:rPr>
              <w:t>148 ms</w:t>
            </w:r>
          </w:p>
        </w:tc>
        <w:tc>
          <w:tcPr>
            <w:tcW w:type="dxa" w:w="1445"/>
            <w:tcMar>
              <w:top w:w="80" w:type="dxa"/>
              <w:bottom w:w="80" w:type="dxa"/>
              <w:left w:w="120" w:type="dxa"/>
              <w:right w:w="120" w:type="dxa"/>
            </w:tcMar>
            <w:tcBorders>
              <w:top w:val="single" w:sz="2" w:space="0" w:color="B0B0B0"/>
              <w:left w:val="single" w:sz="1" w:space="0" w:color="D8D8D8"/>
              <w:bottom w:val="single" w:sz="2" w:space="0" w:color="B0B0B0"/>
              <w:right w:val="single" w:sz="1" w:space="0" w:color="D8D8D8"/>
            </w:tcBorders>
          </w:tcPr>
          <w:p>
            <w:pPr>
              <w:jc w:val="left"/>
            </w:pPr>
            <w:r>
              <w:rPr>
                <w:rFonts w:ascii="Times New Roman" w:hAnsi="Times New Roman"/>
                <w:sz w:val="20"/>
              </w:rPr>
              <w:t>0.00%</w:t>
            </w:r>
          </w:p>
        </w:tc>
      </w:tr>
      <w:tr>
        <w:tc>
          <w:tcPr>
            <w:tcW w:type="dxa" w:w="1445"/>
            <w:tcMar>
              <w:top w:w="80" w:type="dxa"/>
              <w:bottom w:w="80" w:type="dxa"/>
              <w:left w:w="120" w:type="dxa"/>
              <w:right w:w="120" w:type="dxa"/>
            </w:tcMar>
            <w:tcBorders>
              <w:top w:val="single" w:sz="2" w:space="0" w:color="B0B0B0"/>
              <w:left w:val="single" w:sz="1" w:space="0" w:color="D8D8D8"/>
              <w:bottom w:val="single" w:sz="2" w:space="0" w:color="B0B0B0"/>
              <w:right w:val="single" w:sz="1" w:space="0" w:color="D8D8D8"/>
            </w:tcBorders>
          </w:tcPr>
          <w:p>
            <w:pPr>
              <w:jc w:val="left"/>
            </w:pPr>
            <w:r>
              <w:rPr>
                <w:rFonts w:ascii="Times New Roman" w:hAnsi="Times New Roman"/>
                <w:sz w:val="20"/>
              </w:rPr>
              <w:t>100 Users</w:t>
            </w:r>
          </w:p>
        </w:tc>
        <w:tc>
          <w:tcPr>
            <w:tcW w:type="dxa" w:w="1445"/>
            <w:tcMar>
              <w:top w:w="80" w:type="dxa"/>
              <w:bottom w:w="80" w:type="dxa"/>
              <w:left w:w="120" w:type="dxa"/>
              <w:right w:w="120" w:type="dxa"/>
            </w:tcMar>
            <w:tcBorders>
              <w:top w:val="single" w:sz="2" w:space="0" w:color="B0B0B0"/>
              <w:left w:val="single" w:sz="1" w:space="0" w:color="D8D8D8"/>
              <w:bottom w:val="single" w:sz="2" w:space="0" w:color="B0B0B0"/>
              <w:right w:val="single" w:sz="1" w:space="0" w:color="D8D8D8"/>
            </w:tcBorders>
          </w:tcPr>
          <w:p>
            <w:pPr>
              <w:jc w:val="left"/>
            </w:pPr>
            <w:r>
              <w:rPr>
                <w:rFonts w:ascii="Times New Roman" w:hAnsi="Times New Roman"/>
                <w:sz w:val="20"/>
              </w:rPr>
              <w:t>52.8 req/s</w:t>
            </w:r>
          </w:p>
        </w:tc>
        <w:tc>
          <w:tcPr>
            <w:tcW w:type="dxa" w:w="1445"/>
            <w:tcMar>
              <w:top w:w="80" w:type="dxa"/>
              <w:bottom w:w="80" w:type="dxa"/>
              <w:left w:w="120" w:type="dxa"/>
              <w:right w:w="120" w:type="dxa"/>
            </w:tcMar>
            <w:tcBorders>
              <w:top w:val="single" w:sz="2" w:space="0" w:color="B0B0B0"/>
              <w:left w:val="single" w:sz="1" w:space="0" w:color="D8D8D8"/>
              <w:bottom w:val="single" w:sz="2" w:space="0" w:color="B0B0B0"/>
              <w:right w:val="single" w:sz="1" w:space="0" w:color="D8D8D8"/>
            </w:tcBorders>
          </w:tcPr>
          <w:p>
            <w:pPr>
              <w:jc w:val="left"/>
            </w:pPr>
            <w:r>
              <w:rPr>
                <w:rFonts w:ascii="Times New Roman" w:hAnsi="Times New Roman"/>
                <w:sz w:val="20"/>
              </w:rPr>
              <w:t>108 ms</w:t>
            </w:r>
          </w:p>
        </w:tc>
        <w:tc>
          <w:tcPr>
            <w:tcW w:type="dxa" w:w="1445"/>
            <w:tcMar>
              <w:top w:w="80" w:type="dxa"/>
              <w:bottom w:w="80" w:type="dxa"/>
              <w:left w:w="120" w:type="dxa"/>
              <w:right w:w="120" w:type="dxa"/>
            </w:tcMar>
            <w:tcBorders>
              <w:top w:val="single" w:sz="2" w:space="0" w:color="B0B0B0"/>
              <w:left w:val="single" w:sz="1" w:space="0" w:color="D8D8D8"/>
              <w:bottom w:val="single" w:sz="2" w:space="0" w:color="B0B0B0"/>
              <w:right w:val="single" w:sz="1" w:space="0" w:color="D8D8D8"/>
            </w:tcBorders>
          </w:tcPr>
          <w:p>
            <w:pPr>
              <w:jc w:val="left"/>
            </w:pPr>
            <w:r>
              <w:rPr>
                <w:rFonts w:ascii="Times New Roman" w:hAnsi="Times New Roman"/>
                <w:sz w:val="20"/>
              </w:rPr>
              <w:t>138 ms</w:t>
            </w:r>
          </w:p>
        </w:tc>
        <w:tc>
          <w:tcPr>
            <w:tcW w:type="dxa" w:w="1445"/>
            <w:tcMar>
              <w:top w:w="80" w:type="dxa"/>
              <w:bottom w:w="80" w:type="dxa"/>
              <w:left w:w="120" w:type="dxa"/>
              <w:right w:w="120" w:type="dxa"/>
            </w:tcMar>
            <w:tcBorders>
              <w:top w:val="single" w:sz="2" w:space="0" w:color="B0B0B0"/>
              <w:left w:val="single" w:sz="1" w:space="0" w:color="D8D8D8"/>
              <w:bottom w:val="single" w:sz="2" w:space="0" w:color="B0B0B0"/>
              <w:right w:val="single" w:sz="1" w:space="0" w:color="D8D8D8"/>
            </w:tcBorders>
          </w:tcPr>
          <w:p>
            <w:pPr>
              <w:jc w:val="left"/>
            </w:pPr>
            <w:r>
              <w:rPr>
                <w:rFonts w:ascii="Times New Roman" w:hAnsi="Times New Roman"/>
                <w:sz w:val="20"/>
              </w:rPr>
              <w:t>172 ms</w:t>
            </w:r>
          </w:p>
        </w:tc>
        <w:tc>
          <w:tcPr>
            <w:tcW w:type="dxa" w:w="1445"/>
            <w:tcMar>
              <w:top w:w="80" w:type="dxa"/>
              <w:bottom w:w="80" w:type="dxa"/>
              <w:left w:w="120" w:type="dxa"/>
              <w:right w:w="120" w:type="dxa"/>
            </w:tcMar>
            <w:tcBorders>
              <w:top w:val="single" w:sz="2" w:space="0" w:color="B0B0B0"/>
              <w:left w:val="single" w:sz="1" w:space="0" w:color="D8D8D8"/>
              <w:bottom w:val="single" w:sz="2" w:space="0" w:color="B0B0B0"/>
              <w:right w:val="single" w:sz="1" w:space="0" w:color="D8D8D8"/>
            </w:tcBorders>
          </w:tcPr>
          <w:p>
            <w:pPr>
              <w:jc w:val="left"/>
            </w:pPr>
            <w:r>
              <w:rPr>
                <w:rFonts w:ascii="Times New Roman" w:hAnsi="Times New Roman"/>
                <w:sz w:val="20"/>
              </w:rPr>
              <w:t>0.00%</w:t>
            </w:r>
          </w:p>
        </w:tc>
      </w:tr>
      <w:tr>
        <w:tc>
          <w:tcPr>
            <w:tcW w:type="dxa" w:w="1445"/>
            <w:tcMar>
              <w:top w:w="80" w:type="dxa"/>
              <w:bottom w:w="80" w:type="dxa"/>
              <w:left w:w="120" w:type="dxa"/>
              <w:right w:w="120" w:type="dxa"/>
            </w:tcMar>
            <w:tcBorders>
              <w:top w:val="single" w:sz="2" w:space="0" w:color="B0B0B0"/>
              <w:left w:val="single" w:sz="1" w:space="0" w:color="D8D8D8"/>
              <w:bottom w:val="single" w:sz="2" w:space="0" w:color="B0B0B0"/>
              <w:right w:val="single" w:sz="1" w:space="0" w:color="D8D8D8"/>
            </w:tcBorders>
          </w:tcPr>
          <w:p>
            <w:pPr>
              <w:jc w:val="left"/>
            </w:pPr>
            <w:r>
              <w:rPr>
                <w:rFonts w:ascii="Times New Roman" w:hAnsi="Times New Roman"/>
                <w:sz w:val="20"/>
              </w:rPr>
              <w:t>250 Users</w:t>
            </w:r>
          </w:p>
        </w:tc>
        <w:tc>
          <w:tcPr>
            <w:tcW w:type="dxa" w:w="1445"/>
            <w:tcMar>
              <w:top w:w="80" w:type="dxa"/>
              <w:bottom w:w="80" w:type="dxa"/>
              <w:left w:w="120" w:type="dxa"/>
              <w:right w:w="120" w:type="dxa"/>
            </w:tcMar>
            <w:tcBorders>
              <w:top w:val="single" w:sz="2" w:space="0" w:color="B0B0B0"/>
              <w:left w:val="single" w:sz="1" w:space="0" w:color="D8D8D8"/>
              <w:bottom w:val="single" w:sz="2" w:space="0" w:color="B0B0B0"/>
              <w:right w:val="single" w:sz="1" w:space="0" w:color="D8D8D8"/>
            </w:tcBorders>
          </w:tcPr>
          <w:p>
            <w:pPr>
              <w:jc w:val="left"/>
            </w:pPr>
            <w:r>
              <w:rPr>
                <w:rFonts w:ascii="Times New Roman" w:hAnsi="Times New Roman"/>
                <w:sz w:val="20"/>
              </w:rPr>
              <w:t>68.4 req/s</w:t>
            </w:r>
          </w:p>
        </w:tc>
        <w:tc>
          <w:tcPr>
            <w:tcW w:type="dxa" w:w="1445"/>
            <w:tcMar>
              <w:top w:w="80" w:type="dxa"/>
              <w:bottom w:w="80" w:type="dxa"/>
              <w:left w:w="120" w:type="dxa"/>
              <w:right w:w="120" w:type="dxa"/>
            </w:tcMar>
            <w:tcBorders>
              <w:top w:val="single" w:sz="2" w:space="0" w:color="B0B0B0"/>
              <w:left w:val="single" w:sz="1" w:space="0" w:color="D8D8D8"/>
              <w:bottom w:val="single" w:sz="2" w:space="0" w:color="B0B0B0"/>
              <w:right w:val="single" w:sz="1" w:space="0" w:color="D8D8D8"/>
            </w:tcBorders>
          </w:tcPr>
          <w:p>
            <w:pPr>
              <w:jc w:val="left"/>
            </w:pPr>
            <w:r>
              <w:rPr>
                <w:rFonts w:ascii="Times New Roman" w:hAnsi="Times New Roman"/>
                <w:sz w:val="20"/>
              </w:rPr>
              <w:t>132 ms</w:t>
            </w:r>
          </w:p>
        </w:tc>
        <w:tc>
          <w:tcPr>
            <w:tcW w:type="dxa" w:w="1445"/>
            <w:tcMar>
              <w:top w:w="80" w:type="dxa"/>
              <w:bottom w:w="80" w:type="dxa"/>
              <w:left w:w="120" w:type="dxa"/>
              <w:right w:w="120" w:type="dxa"/>
            </w:tcMar>
            <w:tcBorders>
              <w:top w:val="single" w:sz="2" w:space="0" w:color="B0B0B0"/>
              <w:left w:val="single" w:sz="1" w:space="0" w:color="D8D8D8"/>
              <w:bottom w:val="single" w:sz="2" w:space="0" w:color="B0B0B0"/>
              <w:right w:val="single" w:sz="1" w:space="0" w:color="D8D8D8"/>
            </w:tcBorders>
          </w:tcPr>
          <w:p>
            <w:pPr>
              <w:jc w:val="left"/>
            </w:pPr>
            <w:r>
              <w:rPr>
                <w:rFonts w:ascii="Times New Roman" w:hAnsi="Times New Roman"/>
                <w:sz w:val="20"/>
              </w:rPr>
              <w:t>178 ms</w:t>
            </w:r>
          </w:p>
        </w:tc>
        <w:tc>
          <w:tcPr>
            <w:tcW w:type="dxa" w:w="1445"/>
            <w:tcMar>
              <w:top w:w="80" w:type="dxa"/>
              <w:bottom w:w="80" w:type="dxa"/>
              <w:left w:w="120" w:type="dxa"/>
              <w:right w:w="120" w:type="dxa"/>
            </w:tcMar>
            <w:tcBorders>
              <w:top w:val="single" w:sz="2" w:space="0" w:color="B0B0B0"/>
              <w:left w:val="single" w:sz="1" w:space="0" w:color="D8D8D8"/>
              <w:bottom w:val="single" w:sz="2" w:space="0" w:color="B0B0B0"/>
              <w:right w:val="single" w:sz="1" w:space="0" w:color="D8D8D8"/>
            </w:tcBorders>
          </w:tcPr>
          <w:p>
            <w:pPr>
              <w:jc w:val="left"/>
            </w:pPr>
            <w:r>
              <w:rPr>
                <w:rFonts w:ascii="Times New Roman" w:hAnsi="Times New Roman"/>
                <w:sz w:val="20"/>
              </w:rPr>
              <w:t>224 ms</w:t>
            </w:r>
          </w:p>
        </w:tc>
        <w:tc>
          <w:tcPr>
            <w:tcW w:type="dxa" w:w="1445"/>
            <w:tcMar>
              <w:top w:w="80" w:type="dxa"/>
              <w:bottom w:w="80" w:type="dxa"/>
              <w:left w:w="120" w:type="dxa"/>
              <w:right w:w="120" w:type="dxa"/>
            </w:tcMar>
            <w:tcBorders>
              <w:top w:val="single" w:sz="2" w:space="0" w:color="B0B0B0"/>
              <w:left w:val="single" w:sz="1" w:space="0" w:color="D8D8D8"/>
              <w:bottom w:val="single" w:sz="2" w:space="0" w:color="B0B0B0"/>
              <w:right w:val="single" w:sz="1" w:space="0" w:color="D8D8D8"/>
            </w:tcBorders>
          </w:tcPr>
          <w:p>
            <w:pPr>
              <w:jc w:val="left"/>
            </w:pPr>
            <w:r>
              <w:rPr>
                <w:rFonts w:ascii="Times New Roman" w:hAnsi="Times New Roman"/>
                <w:sz w:val="20"/>
              </w:rPr>
              <w:t>0.00%</w:t>
            </w:r>
          </w:p>
        </w:tc>
      </w:tr>
      <w:tr>
        <w:tc>
          <w:tcPr>
            <w:tcW w:type="dxa" w:w="1445"/>
            <w:tcMar>
              <w:top w:w="80" w:type="dxa"/>
              <w:bottom w:w="80" w:type="dxa"/>
              <w:left w:w="120" w:type="dxa"/>
              <w:right w:w="120" w:type="dxa"/>
            </w:tcMar>
            <w:tcBorders>
              <w:top w:val="single" w:sz="2" w:space="0" w:color="B0B0B0"/>
              <w:left w:val="single" w:sz="1" w:space="0" w:color="D8D8D8"/>
              <w:bottom w:val="single" w:sz="2" w:space="0" w:color="B0B0B0"/>
              <w:right w:val="single" w:sz="1" w:space="0" w:color="D8D8D8"/>
            </w:tcBorders>
          </w:tcPr>
          <w:p>
            <w:pPr>
              <w:jc w:val="left"/>
            </w:pPr>
            <w:r>
              <w:rPr>
                <w:rFonts w:ascii="Times New Roman" w:hAnsi="Times New Roman"/>
                <w:sz w:val="20"/>
              </w:rPr>
              <w:t>500 Users</w:t>
            </w:r>
          </w:p>
        </w:tc>
        <w:tc>
          <w:tcPr>
            <w:tcW w:type="dxa" w:w="1445"/>
            <w:tcMar>
              <w:top w:w="80" w:type="dxa"/>
              <w:bottom w:w="80" w:type="dxa"/>
              <w:left w:w="120" w:type="dxa"/>
              <w:right w:w="120" w:type="dxa"/>
            </w:tcMar>
            <w:tcBorders>
              <w:top w:val="single" w:sz="2" w:space="0" w:color="B0B0B0"/>
              <w:left w:val="single" w:sz="1" w:space="0" w:color="D8D8D8"/>
              <w:bottom w:val="single" w:sz="2" w:space="0" w:color="B0B0B0"/>
              <w:right w:val="single" w:sz="1" w:space="0" w:color="D8D8D8"/>
            </w:tcBorders>
          </w:tcPr>
          <w:p>
            <w:pPr>
              <w:jc w:val="left"/>
            </w:pPr>
            <w:r>
              <w:rPr>
                <w:rFonts w:ascii="Times New Roman" w:hAnsi="Times New Roman"/>
                <w:sz w:val="20"/>
              </w:rPr>
              <w:t>82.1 req/s</w:t>
            </w:r>
          </w:p>
        </w:tc>
        <w:tc>
          <w:tcPr>
            <w:tcW w:type="dxa" w:w="1445"/>
            <w:tcMar>
              <w:top w:w="80" w:type="dxa"/>
              <w:bottom w:w="80" w:type="dxa"/>
              <w:left w:w="120" w:type="dxa"/>
              <w:right w:w="120" w:type="dxa"/>
            </w:tcMar>
            <w:tcBorders>
              <w:top w:val="single" w:sz="2" w:space="0" w:color="B0B0B0"/>
              <w:left w:val="single" w:sz="1" w:space="0" w:color="D8D8D8"/>
              <w:bottom w:val="single" w:sz="2" w:space="0" w:color="B0B0B0"/>
              <w:right w:val="single" w:sz="1" w:space="0" w:color="D8D8D8"/>
            </w:tcBorders>
          </w:tcPr>
          <w:p>
            <w:pPr>
              <w:jc w:val="left"/>
            </w:pPr>
            <w:r>
              <w:rPr>
                <w:rFonts w:ascii="Times New Roman" w:hAnsi="Times New Roman"/>
                <w:sz w:val="20"/>
              </w:rPr>
              <w:t>174 ms</w:t>
            </w:r>
          </w:p>
        </w:tc>
        <w:tc>
          <w:tcPr>
            <w:tcW w:type="dxa" w:w="1445"/>
            <w:tcMar>
              <w:top w:w="80" w:type="dxa"/>
              <w:bottom w:w="80" w:type="dxa"/>
              <w:left w:w="120" w:type="dxa"/>
              <w:right w:w="120" w:type="dxa"/>
            </w:tcMar>
            <w:tcBorders>
              <w:top w:val="single" w:sz="2" w:space="0" w:color="B0B0B0"/>
              <w:left w:val="single" w:sz="1" w:space="0" w:color="D8D8D8"/>
              <w:bottom w:val="single" w:sz="2" w:space="0" w:color="B0B0B0"/>
              <w:right w:val="single" w:sz="1" w:space="0" w:color="D8D8D8"/>
            </w:tcBorders>
          </w:tcPr>
          <w:p>
            <w:pPr>
              <w:jc w:val="left"/>
            </w:pPr>
            <w:r>
              <w:rPr>
                <w:rFonts w:ascii="Times New Roman" w:hAnsi="Times New Roman"/>
                <w:sz w:val="20"/>
              </w:rPr>
              <w:t>246 ms</w:t>
            </w:r>
          </w:p>
        </w:tc>
        <w:tc>
          <w:tcPr>
            <w:tcW w:type="dxa" w:w="1445"/>
            <w:tcMar>
              <w:top w:w="80" w:type="dxa"/>
              <w:bottom w:w="80" w:type="dxa"/>
              <w:left w:w="120" w:type="dxa"/>
              <w:right w:w="120" w:type="dxa"/>
            </w:tcMar>
            <w:tcBorders>
              <w:top w:val="single" w:sz="2" w:space="0" w:color="B0B0B0"/>
              <w:left w:val="single" w:sz="1" w:space="0" w:color="D8D8D8"/>
              <w:bottom w:val="single" w:sz="2" w:space="0" w:color="B0B0B0"/>
              <w:right w:val="single" w:sz="1" w:space="0" w:color="D8D8D8"/>
            </w:tcBorders>
          </w:tcPr>
          <w:p>
            <w:pPr>
              <w:jc w:val="left"/>
            </w:pPr>
            <w:r>
              <w:rPr>
                <w:rFonts w:ascii="Times New Roman" w:hAnsi="Times New Roman"/>
                <w:sz w:val="20"/>
              </w:rPr>
              <w:t>380 ms</w:t>
            </w:r>
          </w:p>
        </w:tc>
        <w:tc>
          <w:tcPr>
            <w:tcW w:type="dxa" w:w="1445"/>
            <w:tcMar>
              <w:top w:w="80" w:type="dxa"/>
              <w:bottom w:w="80" w:type="dxa"/>
              <w:left w:w="120" w:type="dxa"/>
              <w:right w:w="120" w:type="dxa"/>
            </w:tcMar>
            <w:tcBorders>
              <w:top w:val="single" w:sz="2" w:space="0" w:color="B0B0B0"/>
              <w:left w:val="single" w:sz="1" w:space="0" w:color="D8D8D8"/>
              <w:bottom w:val="single" w:sz="2" w:space="0" w:color="B0B0B0"/>
              <w:right w:val="single" w:sz="1" w:space="0" w:color="D8D8D8"/>
            </w:tcBorders>
          </w:tcPr>
          <w:p>
            <w:pPr>
              <w:jc w:val="left"/>
            </w:pPr>
            <w:r>
              <w:rPr>
                <w:rFonts w:ascii="Times New Roman" w:hAnsi="Times New Roman"/>
                <w:sz w:val="20"/>
              </w:rPr>
              <w:t>0.08%</w:t>
            </w:r>
          </w:p>
        </w:tc>
      </w:tr>
    </w:tbl>
    <w:p>
      <w:pPr>
        <w:spacing w:before="80" w:after="160" w:line="360" w:lineRule="auto"/>
        <w:jc w:val="both"/>
      </w:pPr>
    </w:p>
    <w:p>
      <w:pPr>
        <w:spacing w:before="40" w:after="120" w:line="360" w:lineRule="auto"/>
        <w:jc w:val="both"/>
      </w:pPr>
      <w:r>
        <w:rPr>
          <w:rFonts w:ascii="Times New Roman" w:hAnsi="Times New Roman"/>
          <w:b w:val="0"/>
          <w:i w:val="0"/>
          <w:sz w:val="24"/>
        </w:rPr>
        <w:t>The system sustained zero dropped transactions up to 250 concurrent users with 95th percentile latency well within clinical acceptable thresholds (&lt; 180\text{ ms}).</w:t>
      </w:r>
    </w:p>
    <w:p>
      <w:pPr>
        <w:spacing w:before="280" w:after="120" w:line="360" w:lineRule="auto"/>
        <w:jc w:val="left"/>
      </w:pPr>
      <w:r>
        <w:rPr>
          <w:rFonts w:ascii="Times New Roman" w:hAnsi="Times New Roman"/>
          <w:b/>
          <w:i w:val="0"/>
          <w:color w:val="0F234B"/>
          <w:sz w:val="28"/>
        </w:rPr>
        <w:t>Adversarial Perturbation and Optical Domain-Shift Stress Testing</w:t>
      </w:r>
    </w:p>
    <w:p>
      <w:pPr>
        <w:spacing w:before="40" w:after="120" w:line="360" w:lineRule="auto"/>
        <w:jc w:val="both"/>
      </w:pPr>
      <w:r>
        <w:rPr>
          <w:rFonts w:ascii="Times New Roman" w:hAnsi="Times New Roman"/>
          <w:b w:val="0"/>
          <w:i w:val="0"/>
          <w:sz w:val="24"/>
        </w:rPr>
        <w:t>In field deployments across rural primary healthcare centers, oral photographs are frequently captured under non-ideal optical conditions. To rigorously evaluate algorithmic robustness against environmental degradation, the test harness systematically injected four severe synthetic optical perturbation regimes into the clinical test cohort:</w:t>
      </w:r>
    </w:p>
    <w:p>
      <w:pPr>
        <w:spacing w:before="40" w:after="80" w:line="312" w:lineRule="auto"/>
        <w:ind w:left="576"/>
      </w:pPr>
      <w:r>
        <w:rPr>
          <w:rFonts w:ascii="Times New Roman" w:hAnsi="Times New Roman"/>
          <w:b/>
          <w:sz w:val="22"/>
        </w:rPr>
        <w:t xml:space="preserve">1. </w:t>
      </w:r>
      <w:r>
        <w:rPr>
          <w:rFonts w:ascii="Times New Roman" w:hAnsi="Times New Roman"/>
          <w:b/>
          <w:i w:val="0"/>
          <w:sz w:val="23"/>
        </w:rPr>
        <w:t>Additive High-Frequency Gaussian Sensor Noise (σ = 20):</w:t>
      </w:r>
      <w:r>
        <w:rPr>
          <w:rFonts w:ascii="Times New Roman" w:hAnsi="Times New Roman"/>
          <w:b w:val="0"/>
          <w:i w:val="0"/>
          <w:sz w:val="23"/>
        </w:rPr>
        <w:t>\\</w:t>
        <w:br/>
        <w:t xml:space="preserve">    Low-cost CMOS smartphone sensors operating in dim ambient lighting generate severe thermal and photon-shot noise. When standard baseline models (such as standalone ResNet-50) were evaluated under zero-mean Gaussian noise with σ = 20, diagnostic accuracy collapsed precipitously from 94.2% down to 76.4%, caused by high-frequency pixel perturbations corrupting the early 7× 7 convolutional feature maps. In sharp contrast, Visionary Diagnostics retained an extraordinary</w:t>
      </w:r>
      <w:r>
        <w:rPr>
          <w:rFonts w:ascii="Times New Roman" w:hAnsi="Times New Roman"/>
          <w:b/>
          <w:i w:val="0"/>
          <w:sz w:val="23"/>
        </w:rPr>
        <w:t>98.84% accuracy</w:t>
      </w:r>
      <w:r>
        <w:rPr>
          <w:rFonts w:ascii="Times New Roman" w:hAnsi="Times New Roman"/>
          <w:b w:val="0"/>
          <w:i w:val="0"/>
          <w:sz w:val="23"/>
        </w:rPr>
        <w:t>. This robustness is directly attributable to the Reinhard CIELAB normalization layer, which filters aberrant chromatic spikes, combined with the four-backbone ensemble whose multi-scale global average pooling acts as a spatial low-pass filter.</w:t>
      </w:r>
    </w:p>
    <w:p>
      <w:pPr>
        <w:spacing w:before="40" w:after="80" w:line="312" w:lineRule="auto"/>
        <w:ind w:left="576"/>
      </w:pPr>
      <w:r>
        <w:rPr>
          <w:rFonts w:ascii="Times New Roman" w:hAnsi="Times New Roman"/>
          <w:b/>
          <w:sz w:val="22"/>
        </w:rPr>
        <w:t xml:space="preserve">2. </w:t>
      </w:r>
      <w:r>
        <w:rPr>
          <w:rFonts w:ascii="Times New Roman" w:hAnsi="Times New Roman"/>
          <w:b/>
          <w:i w:val="0"/>
          <w:sz w:val="23"/>
        </w:rPr>
        <w:t>Simulated Handheld Motion Blur (k = 7 Kernel):</w:t>
      </w:r>
      <w:r>
        <w:rPr>
          <w:rFonts w:ascii="Times New Roman" w:hAnsi="Times New Roman"/>
          <w:b w:val="0"/>
          <w:i w:val="0"/>
          <w:sz w:val="23"/>
        </w:rPr>
        <w:t>\\</w:t>
        <w:br/>
        <w:t xml:space="preserve">    Tremors in unassisted handheld smartphone usage during intraoral retraction introduce directional motion blur. Applying a linear 7-pixel motion blur kernel degraded baseline ResNet-50 performance down to 71.8% accuracy, with the network losing the ability to resolve fine mucosal margin infiltrations. Visionary Diagnostics sustained</w:t>
      </w:r>
      <w:r>
        <w:rPr>
          <w:rFonts w:ascii="Times New Roman" w:hAnsi="Times New Roman"/>
          <w:b/>
          <w:i w:val="0"/>
          <w:sz w:val="23"/>
        </w:rPr>
        <w:t>98.50% diagnostic accuracy</w:t>
      </w:r>
      <w:r>
        <w:rPr>
          <w:rFonts w:ascii="Times New Roman" w:hAnsi="Times New Roman"/>
          <w:b w:val="0"/>
          <w:i w:val="0"/>
          <w:sz w:val="23"/>
        </w:rPr>
        <w:t>, fortified by the pre-flight discrete Laplacian filter which flags severely blurred frames, while the 8-pass TTA engine synthesizes multi-angle representations that reconstruct spatial lesion orientation.</w:t>
      </w:r>
    </w:p>
    <w:p>
      <w:pPr>
        <w:spacing w:before="40" w:after="80" w:line="312" w:lineRule="auto"/>
        <w:ind w:left="576"/>
      </w:pPr>
      <w:r>
        <w:rPr>
          <w:rFonts w:ascii="Times New Roman" w:hAnsi="Times New Roman"/>
          <w:b/>
          <w:sz w:val="22"/>
        </w:rPr>
        <w:t xml:space="preserve">3. </w:t>
      </w:r>
      <w:r>
        <w:rPr>
          <w:rFonts w:ascii="Times New Roman" w:hAnsi="Times New Roman"/>
          <w:b/>
          <w:i w:val="0"/>
          <w:sz w:val="23"/>
        </w:rPr>
        <w:t>Low-Light Underexposure Shift (\Delta = -35 Intensity Units):</w:t>
      </w:r>
      <w:r>
        <w:rPr>
          <w:rFonts w:ascii="Times New Roman" w:hAnsi="Times New Roman"/>
          <w:b w:val="0"/>
          <w:i w:val="0"/>
          <w:sz w:val="23"/>
        </w:rPr>
        <w:t>\\</w:t>
        <w:br/>
        <w:t xml:space="preserve">    Inadequate intraoral torch illumination causes deep shadows across the retromolar trigone and posterior floor of the mouth. Baseline networks suffered an accuracy drop to 82.1% as dark pixels suppressed ReLU activations across intermediate layers. Visionary Diagnostics preserved</w:t>
      </w:r>
      <w:r>
        <w:rPr>
          <w:rFonts w:ascii="Times New Roman" w:hAnsi="Times New Roman"/>
          <w:b/>
          <w:i w:val="0"/>
          <w:sz w:val="23"/>
        </w:rPr>
        <w:t>99.20% accuracy</w:t>
      </w:r>
      <w:r>
        <w:rPr>
          <w:rFonts w:ascii="Times New Roman" w:hAnsi="Times New Roman"/>
          <w:b w:val="0"/>
          <w:i w:val="0"/>
          <w:sz w:val="23"/>
        </w:rPr>
        <w:t>because the Reinhard CIELAB algorithm dynamically normalizes the L^* luminance channel against standardized oral mucosal distributions (μ_L = 142.5, σ_L = 32.0), artificially restoring proper mucosal exposure prior to tensor generation.</w:t>
      </w:r>
    </w:p>
    <w:p>
      <w:pPr>
        <w:spacing w:before="40" w:after="80" w:line="312" w:lineRule="auto"/>
        <w:ind w:left="576"/>
      </w:pPr>
      <w:r>
        <w:rPr>
          <w:rFonts w:ascii="Times New Roman" w:hAnsi="Times New Roman"/>
          <w:b/>
          <w:sz w:val="22"/>
        </w:rPr>
        <w:t xml:space="preserve">4. </w:t>
      </w:r>
      <w:r>
        <w:rPr>
          <w:rFonts w:ascii="Times New Roman" w:hAnsi="Times New Roman"/>
          <w:b/>
          <w:i w:val="0"/>
          <w:sz w:val="23"/>
        </w:rPr>
        <w:t>Aggressive Mobile JPEG Compression Artifacts (Q = 35):</w:t>
      </w:r>
      <w:r>
        <w:rPr>
          <w:rFonts w:ascii="Times New Roman" w:hAnsi="Times New Roman"/>
          <w:b w:val="0"/>
          <w:i w:val="0"/>
          <w:sz w:val="23"/>
        </w:rPr>
        <w:t>\\</w:t>
        <w:br/>
        <w:t xml:space="preserve">    Mobile tele-consultation uploads across rural 2G/3G networks often compress images to minimize bandwidth, introducing 8× 8 discrete cosine transform block discontinuities. Standalone models declined to 84.6% accuracy due to spurious edge gradients at block boundaries. Visionary Diagnostics maintained</w:t>
      </w:r>
      <w:r>
        <w:rPr>
          <w:rFonts w:ascii="Times New Roman" w:hAnsi="Times New Roman"/>
          <w:b/>
          <w:i w:val="0"/>
          <w:sz w:val="23"/>
        </w:rPr>
        <w:t>99.45% accuracy</w:t>
      </w:r>
      <w:r>
        <w:rPr>
          <w:rFonts w:ascii="Times New Roman" w:hAnsi="Times New Roman"/>
          <w:b w:val="0"/>
          <w:i w:val="0"/>
          <w:sz w:val="23"/>
        </w:rPr>
        <w:t>, as MergedNet's combined multi-scale receptive fields easily differentiate macro-pathological lesions from micro-compression artifacts.</w:t>
      </w:r>
    </w:p>
    <w:p>
      <w:pPr>
        <w:spacing w:before="40" w:after="120" w:line="360" w:lineRule="auto"/>
        <w:jc w:val="both"/>
      </w:pPr>
      <w:r>
        <w:rPr>
          <w:rFonts w:ascii="Times New Roman" w:hAnsi="Times New Roman"/>
          <w:b w:val="0"/>
          <w:i w:val="0"/>
          <w:sz w:val="24"/>
        </w:rPr>
        <w:t>This stress evaluation conclusively establishes that while uncalibrated commercial models experience up to a 24.8% accuracy collapse under field degradation, Visionary Diagnostics maintains over 98.5% accuracy across all adverse conditions, fulfilling critical clinical safety requirements.</w:t>
      </w:r>
    </w:p>
    <w:p>
      <w:pPr>
        <w:spacing w:before="280" w:after="120" w:line="360" w:lineRule="auto"/>
        <w:jc w:val="left"/>
      </w:pPr>
      <w:r>
        <w:rPr>
          <w:rFonts w:ascii="Times New Roman" w:hAnsi="Times New Roman"/>
          <w:b/>
          <w:i w:val="0"/>
          <w:color w:val="0F234B"/>
          <w:sz w:val="28"/>
        </w:rPr>
        <w:t>Security Vulnerability Penetration Audit</w:t>
      </w:r>
    </w:p>
    <w:p>
      <w:pPr>
        <w:spacing w:before="40" w:after="120" w:line="360" w:lineRule="auto"/>
        <w:jc w:val="both"/>
      </w:pPr>
      <w:r>
        <w:rPr>
          <w:rFonts w:ascii="Times New Roman" w:hAnsi="Times New Roman"/>
          <w:b w:val="0"/>
          <w:i w:val="0"/>
          <w:sz w:val="24"/>
        </w:rPr>
        <w:t>Automated penetration probes verified the defensive resilience of the API gateway:</w:t>
      </w:r>
    </w:p>
    <w:p>
      <w:pPr>
        <w:spacing w:before="40" w:after="80" w:line="312" w:lineRule="auto"/>
        <w:ind w:left="576"/>
      </w:pPr>
      <w:r>
        <w:rPr>
          <w:rFonts w:ascii="Times New Roman" w:hAnsi="Times New Roman"/>
          <w:b/>
          <w:sz w:val="22"/>
        </w:rPr>
        <w:t xml:space="preserve">•   </w:t>
      </w:r>
      <w:r>
        <w:rPr>
          <w:rFonts w:ascii="Times New Roman" w:hAnsi="Times New Roman"/>
          <w:b/>
          <w:i w:val="0"/>
          <w:sz w:val="23"/>
        </w:rPr>
        <w:t>SQL Injection Resilience:</w:t>
      </w:r>
      <w:r>
        <w:rPr>
          <w:rFonts w:ascii="Times New Roman" w:hAnsi="Times New Roman"/>
          <w:b w:val="0"/>
          <w:i w:val="0"/>
          <w:sz w:val="23"/>
        </w:rPr>
        <w:t>Parameterized queries executed via SQLAlchemy ORM neutralized SQL injection payloads (e.g., `' OR '1'='1`) injected into login and search query strings.</w:t>
      </w:r>
    </w:p>
    <w:p>
      <w:pPr>
        <w:spacing w:before="40" w:after="80" w:line="312" w:lineRule="auto"/>
        <w:ind w:left="576"/>
      </w:pPr>
      <w:r>
        <w:rPr>
          <w:rFonts w:ascii="Times New Roman" w:hAnsi="Times New Roman"/>
          <w:b/>
          <w:sz w:val="22"/>
        </w:rPr>
        <w:t xml:space="preserve">•   </w:t>
      </w:r>
      <w:r>
        <w:rPr>
          <w:rFonts w:ascii="Times New Roman" w:hAnsi="Times New Roman"/>
          <w:b/>
          <w:i w:val="0"/>
          <w:sz w:val="23"/>
        </w:rPr>
        <w:t>XSS Mitigation:</w:t>
      </w:r>
      <w:r>
        <w:rPr>
          <w:rFonts w:ascii="Times New Roman" w:hAnsi="Times New Roman"/>
          <w:b w:val="0"/>
          <w:i w:val="0"/>
          <w:sz w:val="23"/>
        </w:rPr>
        <w:t>HTML entity sanitization prevented script execution in clinical note fields.</w:t>
      </w:r>
    </w:p>
    <w:p>
      <w:pPr>
        <w:spacing w:before="40" w:after="80" w:line="312" w:lineRule="auto"/>
        <w:ind w:left="576"/>
      </w:pPr>
      <w:r>
        <w:rPr>
          <w:rFonts w:ascii="Times New Roman" w:hAnsi="Times New Roman"/>
          <w:b/>
          <w:sz w:val="22"/>
        </w:rPr>
        <w:t xml:space="preserve">•   </w:t>
      </w:r>
      <w:r>
        <w:rPr>
          <w:rFonts w:ascii="Times New Roman" w:hAnsi="Times New Roman"/>
          <w:b/>
          <w:i w:val="0"/>
          <w:sz w:val="23"/>
        </w:rPr>
        <w:t>Brute-Force Rate Throttling:</w:t>
      </w:r>
      <w:r>
        <w:rPr>
          <w:rFonts w:ascii="Times New Roman" w:hAnsi="Times New Roman"/>
          <w:b w:val="0"/>
          <w:i w:val="0"/>
          <w:sz w:val="23"/>
        </w:rPr>
        <w:t>Sustained automated login attacks were blocked after 10 attempts, returning HTTP 429 Too Many Requests.</w:t>
      </w:r>
    </w:p>
    <w:p>
      <w:pPr>
        <w:spacing w:before="280" w:after="120" w:line="360" w:lineRule="auto"/>
        <w:jc w:val="left"/>
      </w:pPr>
      <w:r>
        <w:rPr>
          <w:rFonts w:ascii="Times New Roman" w:hAnsi="Times New Roman"/>
          <w:b/>
          <w:i w:val="0"/>
          <w:color w:val="0F234B"/>
          <w:sz w:val="28"/>
        </w:rPr>
        <w:t>Master Test Execution Matrix</w:t>
      </w:r>
    </w:p>
    <w:p>
      <w:pPr>
        <w:spacing w:before="40" w:after="120" w:line="360" w:lineRule="auto"/>
        <w:jc w:val="both"/>
      </w:pPr>
      <w:r>
        <w:rPr>
          <w:rFonts w:ascii="Times New Roman" w:hAnsi="Times New Roman"/>
          <w:b w:val="0"/>
          <w:i w:val="0"/>
          <w:sz w:val="24"/>
        </w:rPr>
        <w:t>Table tab:test_execution_matrix documents 20 formal verification test cases covering the entire functional spectrum.</w:t>
      </w:r>
    </w:p>
    <w:p>
      <w:pPr>
        <w:spacing w:before="200" w:after="80" w:line="360" w:lineRule="auto"/>
        <w:jc w:val="center"/>
      </w:pPr>
      <w:r>
        <w:rPr>
          <w:rFonts w:ascii="Times New Roman" w:hAnsi="Times New Roman"/>
          <w:b/>
          <w:i w:val="0"/>
          <w:color w:val="0A2D5A"/>
          <w:sz w:val="22"/>
        </w:rPr>
        <w:t>Table: Master Test Execution Matrix (20 Formal Test Cases)</w:t>
      </w:r>
    </w:p>
    <w:tbl>
      <w:tblPr>
        <w:tblW w:type="auto" w:w="0"/>
        <w:jc w:val="center"/>
        <w:tblLook w:firstColumn="1" w:firstRow="1" w:lastColumn="0" w:lastRow="0" w:noHBand="0" w:noVBand="1" w:val="04A0"/>
      </w:tblPr>
      <w:tblGrid>
        <w:gridCol w:w="1445"/>
        <w:gridCol w:w="1445"/>
        <w:gridCol w:w="1445"/>
        <w:gridCol w:w="1445"/>
        <w:gridCol w:w="1445"/>
        <w:gridCol w:w="1445"/>
      </w:tblGrid>
      <w:tr>
        <w:tc>
          <w:tcPr>
            <w:tcW w:type="dxa" w:w="1445"/>
            <w:tcMar>
              <w:top w:w="80" w:type="dxa"/>
              <w:bottom w:w="80" w:type="dxa"/>
              <w:left w:w="120" w:type="dxa"/>
              <w:right w:w="120" w:type="dxa"/>
            </w:tcMar>
            <w:tcBorders>
              <w:top w:val="single" w:sz="2" w:space="0" w:color="B0B0B0"/>
              <w:left w:val="single" w:sz="1" w:space="0" w:color="D8D8D8"/>
              <w:bottom w:val="single" w:sz="2" w:space="0" w:color="B0B0B0"/>
              <w:right w:val="single" w:sz="1" w:space="0" w:color="D8D8D8"/>
            </w:tcBorders>
            <w:shd w:fill="EBF0F5"/>
          </w:tcPr>
          <w:p>
            <w:pPr>
              <w:jc w:val="center"/>
            </w:pPr>
            <w:r>
              <w:rPr>
                <w:rFonts w:ascii="Times New Roman" w:hAnsi="Times New Roman"/>
                <w:b/>
                <w:sz w:val="21"/>
              </w:rPr>
              <w:t>p{3.2cm} p{3.2cm} c c}</w:t>
              <w:br/>
              <w:br/>
              <w:t>\textbf{Test ID}</w:t>
            </w:r>
          </w:p>
        </w:tc>
        <w:tc>
          <w:tcPr>
            <w:tcW w:type="dxa" w:w="1445"/>
            <w:tcMar>
              <w:top w:w="80" w:type="dxa"/>
              <w:bottom w:w="80" w:type="dxa"/>
              <w:left w:w="120" w:type="dxa"/>
              <w:right w:w="120" w:type="dxa"/>
            </w:tcMar>
            <w:tcBorders>
              <w:top w:val="single" w:sz="2" w:space="0" w:color="B0B0B0"/>
              <w:left w:val="single" w:sz="1" w:space="0" w:color="D8D8D8"/>
              <w:bottom w:val="single" w:sz="2" w:space="0" w:color="B0B0B0"/>
              <w:right w:val="single" w:sz="1" w:space="0" w:color="D8D8D8"/>
            </w:tcBorders>
            <w:shd w:fill="EBF0F5"/>
          </w:tcPr>
          <w:p>
            <w:pPr>
              <w:jc w:val="center"/>
            </w:pPr>
            <w:r>
              <w:rPr>
                <w:rFonts w:ascii="Times New Roman" w:hAnsi="Times New Roman"/>
                <w:b/>
                <w:sz w:val="21"/>
              </w:rPr>
              <w:t>\textbf{Module}</w:t>
            </w:r>
          </w:p>
        </w:tc>
        <w:tc>
          <w:tcPr>
            <w:tcW w:type="dxa" w:w="1445"/>
            <w:tcMar>
              <w:top w:w="80" w:type="dxa"/>
              <w:bottom w:w="80" w:type="dxa"/>
              <w:left w:w="120" w:type="dxa"/>
              <w:right w:w="120" w:type="dxa"/>
            </w:tcMar>
            <w:tcBorders>
              <w:top w:val="single" w:sz="2" w:space="0" w:color="B0B0B0"/>
              <w:left w:val="single" w:sz="1" w:space="0" w:color="D8D8D8"/>
              <w:bottom w:val="single" w:sz="2" w:space="0" w:color="B0B0B0"/>
              <w:right w:val="single" w:sz="1" w:space="0" w:color="D8D8D8"/>
            </w:tcBorders>
            <w:shd w:fill="EBF0F5"/>
          </w:tcPr>
          <w:p>
            <w:pPr>
              <w:jc w:val="center"/>
            </w:pPr>
            <w:r>
              <w:rPr>
                <w:rFonts w:ascii="Times New Roman" w:hAnsi="Times New Roman"/>
                <w:b/>
                <w:sz w:val="21"/>
              </w:rPr>
              <w:t>\textbf{Test Scenario}</w:t>
            </w:r>
          </w:p>
        </w:tc>
        <w:tc>
          <w:tcPr>
            <w:tcW w:type="dxa" w:w="1445"/>
            <w:tcMar>
              <w:top w:w="80" w:type="dxa"/>
              <w:bottom w:w="80" w:type="dxa"/>
              <w:left w:w="120" w:type="dxa"/>
              <w:right w:w="120" w:type="dxa"/>
            </w:tcMar>
            <w:tcBorders>
              <w:top w:val="single" w:sz="2" w:space="0" w:color="B0B0B0"/>
              <w:left w:val="single" w:sz="1" w:space="0" w:color="D8D8D8"/>
              <w:bottom w:val="single" w:sz="2" w:space="0" w:color="B0B0B0"/>
              <w:right w:val="single" w:sz="1" w:space="0" w:color="D8D8D8"/>
            </w:tcBorders>
            <w:shd w:fill="EBF0F5"/>
          </w:tcPr>
          <w:p>
            <w:pPr>
              <w:jc w:val="center"/>
            </w:pPr>
            <w:r>
              <w:rPr>
                <w:rFonts w:ascii="Times New Roman" w:hAnsi="Times New Roman"/>
                <w:b/>
                <w:sz w:val="21"/>
              </w:rPr>
              <w:t>\textbf{Expected Outcome}</w:t>
            </w:r>
          </w:p>
        </w:tc>
        <w:tc>
          <w:tcPr>
            <w:tcW w:type="dxa" w:w="1445"/>
            <w:tcMar>
              <w:top w:w="80" w:type="dxa"/>
              <w:bottom w:w="80" w:type="dxa"/>
              <w:left w:w="120" w:type="dxa"/>
              <w:right w:w="120" w:type="dxa"/>
            </w:tcMar>
            <w:tcBorders>
              <w:top w:val="single" w:sz="2" w:space="0" w:color="B0B0B0"/>
              <w:left w:val="single" w:sz="1" w:space="0" w:color="D8D8D8"/>
              <w:bottom w:val="single" w:sz="2" w:space="0" w:color="B0B0B0"/>
              <w:right w:val="single" w:sz="1" w:space="0" w:color="D8D8D8"/>
            </w:tcBorders>
            <w:shd w:fill="EBF0F5"/>
          </w:tcPr>
          <w:p>
            <w:pPr>
              <w:jc w:val="center"/>
            </w:pPr>
            <w:r>
              <w:rPr>
                <w:rFonts w:ascii="Times New Roman" w:hAnsi="Times New Roman"/>
                <w:b/>
                <w:sz w:val="21"/>
              </w:rPr>
              <w:t>\textbf{Actual}</w:t>
            </w:r>
          </w:p>
        </w:tc>
        <w:tc>
          <w:tcPr>
            <w:tcW w:type="dxa" w:w="1445"/>
            <w:tcMar>
              <w:top w:w="80" w:type="dxa"/>
              <w:bottom w:w="80" w:type="dxa"/>
              <w:left w:w="120" w:type="dxa"/>
              <w:right w:w="120" w:type="dxa"/>
            </w:tcMar>
            <w:tcBorders>
              <w:top w:val="single" w:sz="2" w:space="0" w:color="B0B0B0"/>
              <w:left w:val="single" w:sz="1" w:space="0" w:color="D8D8D8"/>
              <w:bottom w:val="single" w:sz="2" w:space="0" w:color="B0B0B0"/>
              <w:right w:val="single" w:sz="1" w:space="0" w:color="D8D8D8"/>
            </w:tcBorders>
            <w:shd w:fill="EBF0F5"/>
          </w:tcPr>
          <w:p>
            <w:pPr>
              <w:jc w:val="center"/>
            </w:pPr>
            <w:r>
              <w:rPr>
                <w:rFonts w:ascii="Times New Roman" w:hAnsi="Times New Roman"/>
                <w:b/>
                <w:sz w:val="21"/>
              </w:rPr>
              <w:t>\textbf{Status}</w:t>
            </w:r>
          </w:p>
        </w:tc>
      </w:tr>
      <w:tr>
        <w:tc>
          <w:tcPr>
            <w:tcW w:type="dxa" w:w="1445"/>
            <w:tcMar>
              <w:top w:w="80" w:type="dxa"/>
              <w:bottom w:w="80" w:type="dxa"/>
              <w:left w:w="120" w:type="dxa"/>
              <w:right w:w="120" w:type="dxa"/>
            </w:tcMar>
            <w:tcBorders>
              <w:top w:val="single" w:sz="2" w:space="0" w:color="B0B0B0"/>
              <w:left w:val="single" w:sz="1" w:space="0" w:color="D8D8D8"/>
              <w:bottom w:val="single" w:sz="2" w:space="0" w:color="B0B0B0"/>
              <w:right w:val="single" w:sz="1" w:space="0" w:color="D8D8D8"/>
            </w:tcBorders>
          </w:tcPr>
          <w:p>
            <w:pPr>
              <w:jc w:val="left"/>
            </w:pPr>
            <w:r>
              <w:rPr>
                <w:rFonts w:ascii="Times New Roman" w:hAnsi="Times New Roman"/>
                <w:sz w:val="20"/>
              </w:rPr>
              <w:t>TC-01</w:t>
            </w:r>
          </w:p>
        </w:tc>
        <w:tc>
          <w:tcPr>
            <w:tcW w:type="dxa" w:w="1445"/>
            <w:tcMar>
              <w:top w:w="80" w:type="dxa"/>
              <w:bottom w:w="80" w:type="dxa"/>
              <w:left w:w="120" w:type="dxa"/>
              <w:right w:w="120" w:type="dxa"/>
            </w:tcMar>
            <w:tcBorders>
              <w:top w:val="single" w:sz="2" w:space="0" w:color="B0B0B0"/>
              <w:left w:val="single" w:sz="1" w:space="0" w:color="D8D8D8"/>
              <w:bottom w:val="single" w:sz="2" w:space="0" w:color="B0B0B0"/>
              <w:right w:val="single" w:sz="1" w:space="0" w:color="D8D8D8"/>
            </w:tcBorders>
          </w:tcPr>
          <w:p>
            <w:pPr>
              <w:jc w:val="left"/>
            </w:pPr>
            <w:r>
              <w:rPr>
                <w:rFonts w:ascii="Times New Roman" w:hAnsi="Times New Roman"/>
                <w:sz w:val="20"/>
              </w:rPr>
              <w:t>Auth</w:t>
            </w:r>
          </w:p>
        </w:tc>
        <w:tc>
          <w:tcPr>
            <w:tcW w:type="dxa" w:w="1445"/>
            <w:tcMar>
              <w:top w:w="80" w:type="dxa"/>
              <w:bottom w:w="80" w:type="dxa"/>
              <w:left w:w="120" w:type="dxa"/>
              <w:right w:w="120" w:type="dxa"/>
            </w:tcMar>
            <w:tcBorders>
              <w:top w:val="single" w:sz="2" w:space="0" w:color="B0B0B0"/>
              <w:left w:val="single" w:sz="1" w:space="0" w:color="D8D8D8"/>
              <w:bottom w:val="single" w:sz="2" w:space="0" w:color="B0B0B0"/>
              <w:right w:val="single" w:sz="1" w:space="0" w:color="D8D8D8"/>
            </w:tcBorders>
          </w:tcPr>
          <w:p>
            <w:pPr>
              <w:jc w:val="left"/>
            </w:pPr>
            <w:r>
              <w:rPr>
                <w:rFonts w:ascii="Times New Roman" w:hAnsi="Times New Roman"/>
                <w:sz w:val="20"/>
              </w:rPr>
              <w:t>Register with valid email/pwd</w:t>
            </w:r>
          </w:p>
        </w:tc>
        <w:tc>
          <w:tcPr>
            <w:tcW w:type="dxa" w:w="1445"/>
            <w:tcMar>
              <w:top w:w="80" w:type="dxa"/>
              <w:bottom w:w="80" w:type="dxa"/>
              <w:left w:w="120" w:type="dxa"/>
              <w:right w:w="120" w:type="dxa"/>
            </w:tcMar>
            <w:tcBorders>
              <w:top w:val="single" w:sz="2" w:space="0" w:color="B0B0B0"/>
              <w:left w:val="single" w:sz="1" w:space="0" w:color="D8D8D8"/>
              <w:bottom w:val="single" w:sz="2" w:space="0" w:color="B0B0B0"/>
              <w:right w:val="single" w:sz="1" w:space="0" w:color="D8D8D8"/>
            </w:tcBorders>
          </w:tcPr>
          <w:p>
            <w:pPr>
              <w:jc w:val="left"/>
            </w:pPr>
            <w:r>
              <w:rPr>
                <w:rFonts w:ascii="Times New Roman" w:hAnsi="Times New Roman"/>
                <w:sz w:val="20"/>
              </w:rPr>
              <w:t>User created; PBKDF2 hashed</w:t>
            </w:r>
          </w:p>
        </w:tc>
        <w:tc>
          <w:tcPr>
            <w:tcW w:type="dxa" w:w="1445"/>
            <w:tcMar>
              <w:top w:w="80" w:type="dxa"/>
              <w:bottom w:w="80" w:type="dxa"/>
              <w:left w:w="120" w:type="dxa"/>
              <w:right w:w="120" w:type="dxa"/>
            </w:tcMar>
            <w:tcBorders>
              <w:top w:val="single" w:sz="2" w:space="0" w:color="B0B0B0"/>
              <w:left w:val="single" w:sz="1" w:space="0" w:color="D8D8D8"/>
              <w:bottom w:val="single" w:sz="2" w:space="0" w:color="B0B0B0"/>
              <w:right w:val="single" w:sz="1" w:space="0" w:color="D8D8D8"/>
            </w:tcBorders>
          </w:tcPr>
          <w:p>
            <w:pPr>
              <w:jc w:val="left"/>
            </w:pPr>
            <w:r>
              <w:rPr>
                <w:rFonts w:ascii="Times New Roman" w:hAnsi="Times New Roman"/>
                <w:sz w:val="20"/>
              </w:rPr>
              <w:t>As expected</w:t>
            </w:r>
          </w:p>
        </w:tc>
        <w:tc>
          <w:tcPr>
            <w:tcW w:type="dxa" w:w="1445"/>
            <w:tcMar>
              <w:top w:w="80" w:type="dxa"/>
              <w:bottom w:w="80" w:type="dxa"/>
              <w:left w:w="120" w:type="dxa"/>
              <w:right w:w="120" w:type="dxa"/>
            </w:tcMar>
            <w:tcBorders>
              <w:top w:val="single" w:sz="2" w:space="0" w:color="B0B0B0"/>
              <w:left w:val="single" w:sz="1" w:space="0" w:color="D8D8D8"/>
              <w:bottom w:val="single" w:sz="2" w:space="0" w:color="B0B0B0"/>
              <w:right w:val="single" w:sz="1" w:space="0" w:color="D8D8D8"/>
            </w:tcBorders>
          </w:tcPr>
          <w:p>
            <w:pPr>
              <w:jc w:val="left"/>
            </w:pPr>
            <w:r>
              <w:rPr>
                <w:rFonts w:ascii="Times New Roman" w:hAnsi="Times New Roman"/>
                <w:sz w:val="20"/>
              </w:rPr>
              <w:t>PASS</w:t>
            </w:r>
          </w:p>
        </w:tc>
      </w:tr>
      <w:tr>
        <w:tc>
          <w:tcPr>
            <w:tcW w:type="dxa" w:w="1445"/>
            <w:tcMar>
              <w:top w:w="80" w:type="dxa"/>
              <w:bottom w:w="80" w:type="dxa"/>
              <w:left w:w="120" w:type="dxa"/>
              <w:right w:w="120" w:type="dxa"/>
            </w:tcMar>
            <w:tcBorders>
              <w:top w:val="single" w:sz="2" w:space="0" w:color="B0B0B0"/>
              <w:left w:val="single" w:sz="1" w:space="0" w:color="D8D8D8"/>
              <w:bottom w:val="single" w:sz="2" w:space="0" w:color="B0B0B0"/>
              <w:right w:val="single" w:sz="1" w:space="0" w:color="D8D8D8"/>
            </w:tcBorders>
          </w:tcPr>
          <w:p>
            <w:pPr>
              <w:jc w:val="left"/>
            </w:pPr>
            <w:r>
              <w:rPr>
                <w:rFonts w:ascii="Times New Roman" w:hAnsi="Times New Roman"/>
                <w:sz w:val="20"/>
              </w:rPr>
              <w:t>TC-02</w:t>
            </w:r>
          </w:p>
        </w:tc>
        <w:tc>
          <w:tcPr>
            <w:tcW w:type="dxa" w:w="1445"/>
            <w:tcMar>
              <w:top w:w="80" w:type="dxa"/>
              <w:bottom w:w="80" w:type="dxa"/>
              <w:left w:w="120" w:type="dxa"/>
              <w:right w:w="120" w:type="dxa"/>
            </w:tcMar>
            <w:tcBorders>
              <w:top w:val="single" w:sz="2" w:space="0" w:color="B0B0B0"/>
              <w:left w:val="single" w:sz="1" w:space="0" w:color="D8D8D8"/>
              <w:bottom w:val="single" w:sz="2" w:space="0" w:color="B0B0B0"/>
              <w:right w:val="single" w:sz="1" w:space="0" w:color="D8D8D8"/>
            </w:tcBorders>
          </w:tcPr>
          <w:p>
            <w:pPr>
              <w:jc w:val="left"/>
            </w:pPr>
            <w:r>
              <w:rPr>
                <w:rFonts w:ascii="Times New Roman" w:hAnsi="Times New Roman"/>
                <w:sz w:val="20"/>
              </w:rPr>
              <w:t>Auth</w:t>
            </w:r>
          </w:p>
        </w:tc>
        <w:tc>
          <w:tcPr>
            <w:tcW w:type="dxa" w:w="1445"/>
            <w:tcMar>
              <w:top w:w="80" w:type="dxa"/>
              <w:bottom w:w="80" w:type="dxa"/>
              <w:left w:w="120" w:type="dxa"/>
              <w:right w:w="120" w:type="dxa"/>
            </w:tcMar>
            <w:tcBorders>
              <w:top w:val="single" w:sz="2" w:space="0" w:color="B0B0B0"/>
              <w:left w:val="single" w:sz="1" w:space="0" w:color="D8D8D8"/>
              <w:bottom w:val="single" w:sz="2" w:space="0" w:color="B0B0B0"/>
              <w:right w:val="single" w:sz="1" w:space="0" w:color="D8D8D8"/>
            </w:tcBorders>
          </w:tcPr>
          <w:p>
            <w:pPr>
              <w:jc w:val="left"/>
            </w:pPr>
            <w:r>
              <w:rPr>
                <w:rFonts w:ascii="Times New Roman" w:hAnsi="Times New Roman"/>
                <w:sz w:val="20"/>
              </w:rPr>
              <w:t>Register with existing email</w:t>
            </w:r>
          </w:p>
        </w:tc>
        <w:tc>
          <w:tcPr>
            <w:tcW w:type="dxa" w:w="1445"/>
            <w:tcMar>
              <w:top w:w="80" w:type="dxa"/>
              <w:bottom w:w="80" w:type="dxa"/>
              <w:left w:w="120" w:type="dxa"/>
              <w:right w:w="120" w:type="dxa"/>
            </w:tcMar>
            <w:tcBorders>
              <w:top w:val="single" w:sz="2" w:space="0" w:color="B0B0B0"/>
              <w:left w:val="single" w:sz="1" w:space="0" w:color="D8D8D8"/>
              <w:bottom w:val="single" w:sz="2" w:space="0" w:color="B0B0B0"/>
              <w:right w:val="single" w:sz="1" w:space="0" w:color="D8D8D8"/>
            </w:tcBorders>
          </w:tcPr>
          <w:p>
            <w:pPr>
              <w:jc w:val="left"/>
            </w:pPr>
            <w:r>
              <w:rPr>
                <w:rFonts w:ascii="Times New Roman" w:hAnsi="Times New Roman"/>
                <w:sz w:val="20"/>
              </w:rPr>
              <w:t>HTTP 400 Duplicate error</w:t>
            </w:r>
          </w:p>
        </w:tc>
        <w:tc>
          <w:tcPr>
            <w:tcW w:type="dxa" w:w="1445"/>
            <w:tcMar>
              <w:top w:w="80" w:type="dxa"/>
              <w:bottom w:w="80" w:type="dxa"/>
              <w:left w:w="120" w:type="dxa"/>
              <w:right w:w="120" w:type="dxa"/>
            </w:tcMar>
            <w:tcBorders>
              <w:top w:val="single" w:sz="2" w:space="0" w:color="B0B0B0"/>
              <w:left w:val="single" w:sz="1" w:space="0" w:color="D8D8D8"/>
              <w:bottom w:val="single" w:sz="2" w:space="0" w:color="B0B0B0"/>
              <w:right w:val="single" w:sz="1" w:space="0" w:color="D8D8D8"/>
            </w:tcBorders>
          </w:tcPr>
          <w:p>
            <w:pPr>
              <w:jc w:val="left"/>
            </w:pPr>
            <w:r>
              <w:rPr>
                <w:rFonts w:ascii="Times New Roman" w:hAnsi="Times New Roman"/>
                <w:sz w:val="20"/>
              </w:rPr>
              <w:t>HTTP 400</w:t>
            </w:r>
          </w:p>
        </w:tc>
        <w:tc>
          <w:tcPr>
            <w:tcW w:type="dxa" w:w="1445"/>
            <w:tcMar>
              <w:top w:w="80" w:type="dxa"/>
              <w:bottom w:w="80" w:type="dxa"/>
              <w:left w:w="120" w:type="dxa"/>
              <w:right w:w="120" w:type="dxa"/>
            </w:tcMar>
            <w:tcBorders>
              <w:top w:val="single" w:sz="2" w:space="0" w:color="B0B0B0"/>
              <w:left w:val="single" w:sz="1" w:space="0" w:color="D8D8D8"/>
              <w:bottom w:val="single" w:sz="2" w:space="0" w:color="B0B0B0"/>
              <w:right w:val="single" w:sz="1" w:space="0" w:color="D8D8D8"/>
            </w:tcBorders>
          </w:tcPr>
          <w:p>
            <w:pPr>
              <w:jc w:val="left"/>
            </w:pPr>
            <w:r>
              <w:rPr>
                <w:rFonts w:ascii="Times New Roman" w:hAnsi="Times New Roman"/>
                <w:sz w:val="20"/>
              </w:rPr>
              <w:t>PASS</w:t>
            </w:r>
          </w:p>
        </w:tc>
      </w:tr>
      <w:tr>
        <w:tc>
          <w:tcPr>
            <w:tcW w:type="dxa" w:w="1445"/>
            <w:tcMar>
              <w:top w:w="80" w:type="dxa"/>
              <w:bottom w:w="80" w:type="dxa"/>
              <w:left w:w="120" w:type="dxa"/>
              <w:right w:w="120" w:type="dxa"/>
            </w:tcMar>
            <w:tcBorders>
              <w:top w:val="single" w:sz="2" w:space="0" w:color="B0B0B0"/>
              <w:left w:val="single" w:sz="1" w:space="0" w:color="D8D8D8"/>
              <w:bottom w:val="single" w:sz="2" w:space="0" w:color="B0B0B0"/>
              <w:right w:val="single" w:sz="1" w:space="0" w:color="D8D8D8"/>
            </w:tcBorders>
          </w:tcPr>
          <w:p>
            <w:pPr>
              <w:jc w:val="left"/>
            </w:pPr>
            <w:r>
              <w:rPr>
                <w:rFonts w:ascii="Times New Roman" w:hAnsi="Times New Roman"/>
                <w:sz w:val="20"/>
              </w:rPr>
              <w:t>TC-03</w:t>
            </w:r>
          </w:p>
        </w:tc>
        <w:tc>
          <w:tcPr>
            <w:tcW w:type="dxa" w:w="1445"/>
            <w:tcMar>
              <w:top w:w="80" w:type="dxa"/>
              <w:bottom w:w="80" w:type="dxa"/>
              <w:left w:w="120" w:type="dxa"/>
              <w:right w:w="120" w:type="dxa"/>
            </w:tcMar>
            <w:tcBorders>
              <w:top w:val="single" w:sz="2" w:space="0" w:color="B0B0B0"/>
              <w:left w:val="single" w:sz="1" w:space="0" w:color="D8D8D8"/>
              <w:bottom w:val="single" w:sz="2" w:space="0" w:color="B0B0B0"/>
              <w:right w:val="single" w:sz="1" w:space="0" w:color="D8D8D8"/>
            </w:tcBorders>
          </w:tcPr>
          <w:p>
            <w:pPr>
              <w:jc w:val="left"/>
            </w:pPr>
            <w:r>
              <w:rPr>
                <w:rFonts w:ascii="Times New Roman" w:hAnsi="Times New Roman"/>
                <w:sz w:val="20"/>
              </w:rPr>
              <w:t>Auth</w:t>
            </w:r>
          </w:p>
        </w:tc>
        <w:tc>
          <w:tcPr>
            <w:tcW w:type="dxa" w:w="1445"/>
            <w:tcMar>
              <w:top w:w="80" w:type="dxa"/>
              <w:bottom w:w="80" w:type="dxa"/>
              <w:left w:w="120" w:type="dxa"/>
              <w:right w:w="120" w:type="dxa"/>
            </w:tcMar>
            <w:tcBorders>
              <w:top w:val="single" w:sz="2" w:space="0" w:color="B0B0B0"/>
              <w:left w:val="single" w:sz="1" w:space="0" w:color="D8D8D8"/>
              <w:bottom w:val="single" w:sz="2" w:space="0" w:color="B0B0B0"/>
              <w:right w:val="single" w:sz="1" w:space="0" w:color="D8D8D8"/>
            </w:tcBorders>
          </w:tcPr>
          <w:p>
            <w:pPr>
              <w:jc w:val="left"/>
            </w:pPr>
            <w:r>
              <w:rPr>
                <w:rFonts w:ascii="Times New Roman" w:hAnsi="Times New Roman"/>
                <w:sz w:val="20"/>
              </w:rPr>
              <w:t>Login with invalid credentials</w:t>
            </w:r>
          </w:p>
        </w:tc>
        <w:tc>
          <w:tcPr>
            <w:tcW w:type="dxa" w:w="1445"/>
            <w:tcMar>
              <w:top w:w="80" w:type="dxa"/>
              <w:bottom w:w="80" w:type="dxa"/>
              <w:left w:w="120" w:type="dxa"/>
              <w:right w:w="120" w:type="dxa"/>
            </w:tcMar>
            <w:tcBorders>
              <w:top w:val="single" w:sz="2" w:space="0" w:color="B0B0B0"/>
              <w:left w:val="single" w:sz="1" w:space="0" w:color="D8D8D8"/>
              <w:bottom w:val="single" w:sz="2" w:space="0" w:color="B0B0B0"/>
              <w:right w:val="single" w:sz="1" w:space="0" w:color="D8D8D8"/>
            </w:tcBorders>
          </w:tcPr>
          <w:p>
            <w:pPr>
              <w:jc w:val="left"/>
            </w:pPr>
            <w:r>
              <w:rPr>
                <w:rFonts w:ascii="Times New Roman" w:hAnsi="Times New Roman"/>
                <w:sz w:val="20"/>
              </w:rPr>
              <w:t>HTTP 401 Unauthorized</w:t>
            </w:r>
          </w:p>
        </w:tc>
        <w:tc>
          <w:tcPr>
            <w:tcW w:type="dxa" w:w="1445"/>
            <w:tcMar>
              <w:top w:w="80" w:type="dxa"/>
              <w:bottom w:w="80" w:type="dxa"/>
              <w:left w:w="120" w:type="dxa"/>
              <w:right w:w="120" w:type="dxa"/>
            </w:tcMar>
            <w:tcBorders>
              <w:top w:val="single" w:sz="2" w:space="0" w:color="B0B0B0"/>
              <w:left w:val="single" w:sz="1" w:space="0" w:color="D8D8D8"/>
              <w:bottom w:val="single" w:sz="2" w:space="0" w:color="B0B0B0"/>
              <w:right w:val="single" w:sz="1" w:space="0" w:color="D8D8D8"/>
            </w:tcBorders>
          </w:tcPr>
          <w:p>
            <w:pPr>
              <w:jc w:val="left"/>
            </w:pPr>
            <w:r>
              <w:rPr>
                <w:rFonts w:ascii="Times New Roman" w:hAnsi="Times New Roman"/>
                <w:sz w:val="20"/>
              </w:rPr>
              <w:t>HTTP 401</w:t>
            </w:r>
          </w:p>
        </w:tc>
        <w:tc>
          <w:tcPr>
            <w:tcW w:type="dxa" w:w="1445"/>
            <w:tcMar>
              <w:top w:w="80" w:type="dxa"/>
              <w:bottom w:w="80" w:type="dxa"/>
              <w:left w:w="120" w:type="dxa"/>
              <w:right w:w="120" w:type="dxa"/>
            </w:tcMar>
            <w:tcBorders>
              <w:top w:val="single" w:sz="2" w:space="0" w:color="B0B0B0"/>
              <w:left w:val="single" w:sz="1" w:space="0" w:color="D8D8D8"/>
              <w:bottom w:val="single" w:sz="2" w:space="0" w:color="B0B0B0"/>
              <w:right w:val="single" w:sz="1" w:space="0" w:color="D8D8D8"/>
            </w:tcBorders>
          </w:tcPr>
          <w:p>
            <w:pPr>
              <w:jc w:val="left"/>
            </w:pPr>
            <w:r>
              <w:rPr>
                <w:rFonts w:ascii="Times New Roman" w:hAnsi="Times New Roman"/>
                <w:sz w:val="20"/>
              </w:rPr>
              <w:t>PASS</w:t>
            </w:r>
          </w:p>
        </w:tc>
      </w:tr>
      <w:tr>
        <w:tc>
          <w:tcPr>
            <w:tcW w:type="dxa" w:w="1445"/>
            <w:tcMar>
              <w:top w:w="80" w:type="dxa"/>
              <w:bottom w:w="80" w:type="dxa"/>
              <w:left w:w="120" w:type="dxa"/>
              <w:right w:w="120" w:type="dxa"/>
            </w:tcMar>
            <w:tcBorders>
              <w:top w:val="single" w:sz="2" w:space="0" w:color="B0B0B0"/>
              <w:left w:val="single" w:sz="1" w:space="0" w:color="D8D8D8"/>
              <w:bottom w:val="single" w:sz="2" w:space="0" w:color="B0B0B0"/>
              <w:right w:val="single" w:sz="1" w:space="0" w:color="D8D8D8"/>
            </w:tcBorders>
          </w:tcPr>
          <w:p>
            <w:pPr>
              <w:jc w:val="left"/>
            </w:pPr>
            <w:r>
              <w:rPr>
                <w:rFonts w:ascii="Times New Roman" w:hAnsi="Times New Roman"/>
                <w:sz w:val="20"/>
              </w:rPr>
              <w:t>TC-04</w:t>
            </w:r>
          </w:p>
        </w:tc>
        <w:tc>
          <w:tcPr>
            <w:tcW w:type="dxa" w:w="1445"/>
            <w:tcMar>
              <w:top w:w="80" w:type="dxa"/>
              <w:bottom w:w="80" w:type="dxa"/>
              <w:left w:w="120" w:type="dxa"/>
              <w:right w:w="120" w:type="dxa"/>
            </w:tcMar>
            <w:tcBorders>
              <w:top w:val="single" w:sz="2" w:space="0" w:color="B0B0B0"/>
              <w:left w:val="single" w:sz="1" w:space="0" w:color="D8D8D8"/>
              <w:bottom w:val="single" w:sz="2" w:space="0" w:color="B0B0B0"/>
              <w:right w:val="single" w:sz="1" w:space="0" w:color="D8D8D8"/>
            </w:tcBorders>
          </w:tcPr>
          <w:p>
            <w:pPr>
              <w:jc w:val="left"/>
            </w:pPr>
            <w:r>
              <w:rPr>
                <w:rFonts w:ascii="Times New Roman" w:hAnsi="Times New Roman"/>
                <w:sz w:val="20"/>
              </w:rPr>
              <w:t>Rate Limit</w:t>
            </w:r>
          </w:p>
        </w:tc>
        <w:tc>
          <w:tcPr>
            <w:tcW w:type="dxa" w:w="1445"/>
            <w:tcMar>
              <w:top w:w="80" w:type="dxa"/>
              <w:bottom w:w="80" w:type="dxa"/>
              <w:left w:w="120" w:type="dxa"/>
              <w:right w:w="120" w:type="dxa"/>
            </w:tcMar>
            <w:tcBorders>
              <w:top w:val="single" w:sz="2" w:space="0" w:color="B0B0B0"/>
              <w:left w:val="single" w:sz="1" w:space="0" w:color="D8D8D8"/>
              <w:bottom w:val="single" w:sz="2" w:space="0" w:color="B0B0B0"/>
              <w:right w:val="single" w:sz="1" w:space="0" w:color="D8D8D8"/>
            </w:tcBorders>
          </w:tcPr>
          <w:p>
            <w:pPr>
              <w:jc w:val="left"/>
            </w:pPr>
            <w:r>
              <w:rPr>
                <w:rFonts w:ascii="Times New Roman" w:hAnsi="Times New Roman"/>
                <w:sz w:val="20"/>
              </w:rPr>
              <w:t>12 login attempts in 1 min</w:t>
            </w:r>
          </w:p>
        </w:tc>
        <w:tc>
          <w:tcPr>
            <w:tcW w:type="dxa" w:w="1445"/>
            <w:tcMar>
              <w:top w:w="80" w:type="dxa"/>
              <w:bottom w:w="80" w:type="dxa"/>
              <w:left w:w="120" w:type="dxa"/>
              <w:right w:w="120" w:type="dxa"/>
            </w:tcMar>
            <w:tcBorders>
              <w:top w:val="single" w:sz="2" w:space="0" w:color="B0B0B0"/>
              <w:left w:val="single" w:sz="1" w:space="0" w:color="D8D8D8"/>
              <w:bottom w:val="single" w:sz="2" w:space="0" w:color="B0B0B0"/>
              <w:right w:val="single" w:sz="1" w:space="0" w:color="D8D8D8"/>
            </w:tcBorders>
          </w:tcPr>
          <w:p>
            <w:pPr>
              <w:jc w:val="left"/>
            </w:pPr>
            <w:r>
              <w:rPr>
                <w:rFonts w:ascii="Times New Roman" w:hAnsi="Times New Roman"/>
                <w:sz w:val="20"/>
              </w:rPr>
              <w:t>11th request yields HTTP 429</w:t>
            </w:r>
          </w:p>
        </w:tc>
        <w:tc>
          <w:tcPr>
            <w:tcW w:type="dxa" w:w="1445"/>
            <w:tcMar>
              <w:top w:w="80" w:type="dxa"/>
              <w:bottom w:w="80" w:type="dxa"/>
              <w:left w:w="120" w:type="dxa"/>
              <w:right w:w="120" w:type="dxa"/>
            </w:tcMar>
            <w:tcBorders>
              <w:top w:val="single" w:sz="2" w:space="0" w:color="B0B0B0"/>
              <w:left w:val="single" w:sz="1" w:space="0" w:color="D8D8D8"/>
              <w:bottom w:val="single" w:sz="2" w:space="0" w:color="B0B0B0"/>
              <w:right w:val="single" w:sz="1" w:space="0" w:color="D8D8D8"/>
            </w:tcBorders>
          </w:tcPr>
          <w:p>
            <w:pPr>
              <w:jc w:val="left"/>
            </w:pPr>
            <w:r>
              <w:rPr>
                <w:rFonts w:ascii="Times New Roman" w:hAnsi="Times New Roman"/>
                <w:sz w:val="20"/>
              </w:rPr>
              <w:t>HTTP 429</w:t>
            </w:r>
          </w:p>
        </w:tc>
        <w:tc>
          <w:tcPr>
            <w:tcW w:type="dxa" w:w="1445"/>
            <w:tcMar>
              <w:top w:w="80" w:type="dxa"/>
              <w:bottom w:w="80" w:type="dxa"/>
              <w:left w:w="120" w:type="dxa"/>
              <w:right w:w="120" w:type="dxa"/>
            </w:tcMar>
            <w:tcBorders>
              <w:top w:val="single" w:sz="2" w:space="0" w:color="B0B0B0"/>
              <w:left w:val="single" w:sz="1" w:space="0" w:color="D8D8D8"/>
              <w:bottom w:val="single" w:sz="2" w:space="0" w:color="B0B0B0"/>
              <w:right w:val="single" w:sz="1" w:space="0" w:color="D8D8D8"/>
            </w:tcBorders>
          </w:tcPr>
          <w:p>
            <w:pPr>
              <w:jc w:val="left"/>
            </w:pPr>
            <w:r>
              <w:rPr>
                <w:rFonts w:ascii="Times New Roman" w:hAnsi="Times New Roman"/>
                <w:sz w:val="20"/>
              </w:rPr>
              <w:t>PASS</w:t>
            </w:r>
          </w:p>
        </w:tc>
      </w:tr>
      <w:tr>
        <w:tc>
          <w:tcPr>
            <w:tcW w:type="dxa" w:w="1445"/>
            <w:tcMar>
              <w:top w:w="80" w:type="dxa"/>
              <w:bottom w:w="80" w:type="dxa"/>
              <w:left w:w="120" w:type="dxa"/>
              <w:right w:w="120" w:type="dxa"/>
            </w:tcMar>
            <w:tcBorders>
              <w:top w:val="single" w:sz="2" w:space="0" w:color="B0B0B0"/>
              <w:left w:val="single" w:sz="1" w:space="0" w:color="D8D8D8"/>
              <w:bottom w:val="single" w:sz="2" w:space="0" w:color="B0B0B0"/>
              <w:right w:val="single" w:sz="1" w:space="0" w:color="D8D8D8"/>
            </w:tcBorders>
          </w:tcPr>
          <w:p>
            <w:pPr>
              <w:jc w:val="left"/>
            </w:pPr>
            <w:r>
              <w:rPr>
                <w:rFonts w:ascii="Times New Roman" w:hAnsi="Times New Roman"/>
                <w:sz w:val="20"/>
              </w:rPr>
              <w:t>TC-05</w:t>
            </w:r>
          </w:p>
        </w:tc>
        <w:tc>
          <w:tcPr>
            <w:tcW w:type="dxa" w:w="1445"/>
            <w:tcMar>
              <w:top w:w="80" w:type="dxa"/>
              <w:bottom w:w="80" w:type="dxa"/>
              <w:left w:w="120" w:type="dxa"/>
              <w:right w:w="120" w:type="dxa"/>
            </w:tcMar>
            <w:tcBorders>
              <w:top w:val="single" w:sz="2" w:space="0" w:color="B0B0B0"/>
              <w:left w:val="single" w:sz="1" w:space="0" w:color="D8D8D8"/>
              <w:bottom w:val="single" w:sz="2" w:space="0" w:color="B0B0B0"/>
              <w:right w:val="single" w:sz="1" w:space="0" w:color="D8D8D8"/>
            </w:tcBorders>
          </w:tcPr>
          <w:p>
            <w:pPr>
              <w:jc w:val="left"/>
            </w:pPr>
            <w:r>
              <w:rPr>
                <w:rFonts w:ascii="Times New Roman" w:hAnsi="Times New Roman"/>
                <w:sz w:val="20"/>
              </w:rPr>
              <w:t>Quality Gate</w:t>
            </w:r>
          </w:p>
        </w:tc>
        <w:tc>
          <w:tcPr>
            <w:tcW w:type="dxa" w:w="1445"/>
            <w:tcMar>
              <w:top w:w="80" w:type="dxa"/>
              <w:bottom w:w="80" w:type="dxa"/>
              <w:left w:w="120" w:type="dxa"/>
              <w:right w:w="120" w:type="dxa"/>
            </w:tcMar>
            <w:tcBorders>
              <w:top w:val="single" w:sz="2" w:space="0" w:color="B0B0B0"/>
              <w:left w:val="single" w:sz="1" w:space="0" w:color="D8D8D8"/>
              <w:bottom w:val="single" w:sz="2" w:space="0" w:color="B0B0B0"/>
              <w:right w:val="single" w:sz="1" w:space="0" w:color="D8D8D8"/>
            </w:tcBorders>
          </w:tcPr>
          <w:p>
            <w:pPr>
              <w:jc w:val="left"/>
            </w:pPr>
            <w:r>
              <w:rPr>
                <w:rFonts w:ascii="Times New Roman" w:hAnsi="Times New Roman"/>
                <w:sz w:val="20"/>
              </w:rPr>
              <w:t>Upload sharp photograph</w:t>
            </w:r>
          </w:p>
        </w:tc>
        <w:tc>
          <w:tcPr>
            <w:tcW w:type="dxa" w:w="1445"/>
            <w:tcMar>
              <w:top w:w="80" w:type="dxa"/>
              <w:bottom w:w="80" w:type="dxa"/>
              <w:left w:w="120" w:type="dxa"/>
              <w:right w:w="120" w:type="dxa"/>
            </w:tcMar>
            <w:tcBorders>
              <w:top w:val="single" w:sz="2" w:space="0" w:color="B0B0B0"/>
              <w:left w:val="single" w:sz="1" w:space="0" w:color="D8D8D8"/>
              <w:bottom w:val="single" w:sz="2" w:space="0" w:color="B0B0B0"/>
              <w:right w:val="single" w:sz="1" w:space="0" w:color="D8D8D8"/>
            </w:tcBorders>
          </w:tcPr>
          <w:p>
            <w:pPr>
              <w:jc w:val="left"/>
            </w:pPr>
            <w:r>
              <w:rPr>
                <w:rFonts w:ascii="Times New Roman" w:hAnsi="Times New Roman"/>
                <w:sz w:val="20"/>
              </w:rPr>
              <w:t>Laplacian score ≥ 50; accepted</w:t>
            </w:r>
          </w:p>
        </w:tc>
        <w:tc>
          <w:tcPr>
            <w:tcW w:type="dxa" w:w="1445"/>
            <w:tcMar>
              <w:top w:w="80" w:type="dxa"/>
              <w:bottom w:w="80" w:type="dxa"/>
              <w:left w:w="120" w:type="dxa"/>
              <w:right w:w="120" w:type="dxa"/>
            </w:tcMar>
            <w:tcBorders>
              <w:top w:val="single" w:sz="2" w:space="0" w:color="B0B0B0"/>
              <w:left w:val="single" w:sz="1" w:space="0" w:color="D8D8D8"/>
              <w:bottom w:val="single" w:sz="2" w:space="0" w:color="B0B0B0"/>
              <w:right w:val="single" w:sz="1" w:space="0" w:color="D8D8D8"/>
            </w:tcBorders>
          </w:tcPr>
          <w:p>
            <w:pPr>
              <w:jc w:val="left"/>
            </w:pPr>
            <w:r>
              <w:rPr>
                <w:rFonts w:ascii="Times New Roman" w:hAnsi="Times New Roman"/>
                <w:sz w:val="20"/>
              </w:rPr>
              <w:t>Score: 142.4</w:t>
            </w:r>
          </w:p>
        </w:tc>
        <w:tc>
          <w:tcPr>
            <w:tcW w:type="dxa" w:w="1445"/>
            <w:tcMar>
              <w:top w:w="80" w:type="dxa"/>
              <w:bottom w:w="80" w:type="dxa"/>
              <w:left w:w="120" w:type="dxa"/>
              <w:right w:w="120" w:type="dxa"/>
            </w:tcMar>
            <w:tcBorders>
              <w:top w:val="single" w:sz="2" w:space="0" w:color="B0B0B0"/>
              <w:left w:val="single" w:sz="1" w:space="0" w:color="D8D8D8"/>
              <w:bottom w:val="single" w:sz="2" w:space="0" w:color="B0B0B0"/>
              <w:right w:val="single" w:sz="1" w:space="0" w:color="D8D8D8"/>
            </w:tcBorders>
          </w:tcPr>
          <w:p>
            <w:pPr>
              <w:jc w:val="left"/>
            </w:pPr>
            <w:r>
              <w:rPr>
                <w:rFonts w:ascii="Times New Roman" w:hAnsi="Times New Roman"/>
                <w:sz w:val="20"/>
              </w:rPr>
              <w:t>PASS</w:t>
            </w:r>
          </w:p>
        </w:tc>
      </w:tr>
      <w:tr>
        <w:tc>
          <w:tcPr>
            <w:tcW w:type="dxa" w:w="1445"/>
            <w:tcMar>
              <w:top w:w="80" w:type="dxa"/>
              <w:bottom w:w="80" w:type="dxa"/>
              <w:left w:w="120" w:type="dxa"/>
              <w:right w:w="120" w:type="dxa"/>
            </w:tcMar>
            <w:tcBorders>
              <w:top w:val="single" w:sz="2" w:space="0" w:color="B0B0B0"/>
              <w:left w:val="single" w:sz="1" w:space="0" w:color="D8D8D8"/>
              <w:bottom w:val="single" w:sz="2" w:space="0" w:color="B0B0B0"/>
              <w:right w:val="single" w:sz="1" w:space="0" w:color="D8D8D8"/>
            </w:tcBorders>
          </w:tcPr>
          <w:p>
            <w:pPr>
              <w:jc w:val="left"/>
            </w:pPr>
            <w:r>
              <w:rPr>
                <w:rFonts w:ascii="Times New Roman" w:hAnsi="Times New Roman"/>
                <w:sz w:val="20"/>
              </w:rPr>
              <w:t>TC-06</w:t>
            </w:r>
          </w:p>
        </w:tc>
        <w:tc>
          <w:tcPr>
            <w:tcW w:type="dxa" w:w="1445"/>
            <w:tcMar>
              <w:top w:w="80" w:type="dxa"/>
              <w:bottom w:w="80" w:type="dxa"/>
              <w:left w:w="120" w:type="dxa"/>
              <w:right w:w="120" w:type="dxa"/>
            </w:tcMar>
            <w:tcBorders>
              <w:top w:val="single" w:sz="2" w:space="0" w:color="B0B0B0"/>
              <w:left w:val="single" w:sz="1" w:space="0" w:color="D8D8D8"/>
              <w:bottom w:val="single" w:sz="2" w:space="0" w:color="B0B0B0"/>
              <w:right w:val="single" w:sz="1" w:space="0" w:color="D8D8D8"/>
            </w:tcBorders>
          </w:tcPr>
          <w:p>
            <w:pPr>
              <w:jc w:val="left"/>
            </w:pPr>
            <w:r>
              <w:rPr>
                <w:rFonts w:ascii="Times New Roman" w:hAnsi="Times New Roman"/>
                <w:sz w:val="20"/>
              </w:rPr>
              <w:t>Quality Gate</w:t>
            </w:r>
          </w:p>
        </w:tc>
        <w:tc>
          <w:tcPr>
            <w:tcW w:type="dxa" w:w="1445"/>
            <w:tcMar>
              <w:top w:w="80" w:type="dxa"/>
              <w:bottom w:w="80" w:type="dxa"/>
              <w:left w:w="120" w:type="dxa"/>
              <w:right w:w="120" w:type="dxa"/>
            </w:tcMar>
            <w:tcBorders>
              <w:top w:val="single" w:sz="2" w:space="0" w:color="B0B0B0"/>
              <w:left w:val="single" w:sz="1" w:space="0" w:color="D8D8D8"/>
              <w:bottom w:val="single" w:sz="2" w:space="0" w:color="B0B0B0"/>
              <w:right w:val="single" w:sz="1" w:space="0" w:color="D8D8D8"/>
            </w:tcBorders>
          </w:tcPr>
          <w:p>
            <w:pPr>
              <w:jc w:val="left"/>
            </w:pPr>
            <w:r>
              <w:rPr>
                <w:rFonts w:ascii="Times New Roman" w:hAnsi="Times New Roman"/>
                <w:sz w:val="20"/>
              </w:rPr>
              <w:t>Upload severely blurred image</w:t>
            </w:r>
          </w:p>
        </w:tc>
        <w:tc>
          <w:tcPr>
            <w:tcW w:type="dxa" w:w="1445"/>
            <w:tcMar>
              <w:top w:w="80" w:type="dxa"/>
              <w:bottom w:w="80" w:type="dxa"/>
              <w:left w:w="120" w:type="dxa"/>
              <w:right w:w="120" w:type="dxa"/>
            </w:tcMar>
            <w:tcBorders>
              <w:top w:val="single" w:sz="2" w:space="0" w:color="B0B0B0"/>
              <w:left w:val="single" w:sz="1" w:space="0" w:color="D8D8D8"/>
              <w:bottom w:val="single" w:sz="2" w:space="0" w:color="B0B0B0"/>
              <w:right w:val="single" w:sz="1" w:space="0" w:color="D8D8D8"/>
            </w:tcBorders>
          </w:tcPr>
          <w:p>
            <w:pPr>
              <w:jc w:val="left"/>
            </w:pPr>
            <w:r>
              <w:rPr>
                <w:rFonts w:ascii="Times New Roman" w:hAnsi="Times New Roman"/>
                <w:sz w:val="20"/>
              </w:rPr>
              <w:t>Laplacian &lt; 50; HTTP 422 reject</w:t>
            </w:r>
          </w:p>
        </w:tc>
        <w:tc>
          <w:tcPr>
            <w:tcW w:type="dxa" w:w="1445"/>
            <w:tcMar>
              <w:top w:w="80" w:type="dxa"/>
              <w:bottom w:w="80" w:type="dxa"/>
              <w:left w:w="120" w:type="dxa"/>
              <w:right w:w="120" w:type="dxa"/>
            </w:tcMar>
            <w:tcBorders>
              <w:top w:val="single" w:sz="2" w:space="0" w:color="B0B0B0"/>
              <w:left w:val="single" w:sz="1" w:space="0" w:color="D8D8D8"/>
              <w:bottom w:val="single" w:sz="2" w:space="0" w:color="B0B0B0"/>
              <w:right w:val="single" w:sz="1" w:space="0" w:color="D8D8D8"/>
            </w:tcBorders>
          </w:tcPr>
          <w:p>
            <w:pPr>
              <w:jc w:val="left"/>
            </w:pPr>
            <w:r>
              <w:rPr>
                <w:rFonts w:ascii="Times New Roman" w:hAnsi="Times New Roman"/>
                <w:sz w:val="20"/>
              </w:rPr>
              <w:t>Score: 18.2</w:t>
            </w:r>
          </w:p>
        </w:tc>
        <w:tc>
          <w:tcPr>
            <w:tcW w:type="dxa" w:w="1445"/>
            <w:tcMar>
              <w:top w:w="80" w:type="dxa"/>
              <w:bottom w:w="80" w:type="dxa"/>
              <w:left w:w="120" w:type="dxa"/>
              <w:right w:w="120" w:type="dxa"/>
            </w:tcMar>
            <w:tcBorders>
              <w:top w:val="single" w:sz="2" w:space="0" w:color="B0B0B0"/>
              <w:left w:val="single" w:sz="1" w:space="0" w:color="D8D8D8"/>
              <w:bottom w:val="single" w:sz="2" w:space="0" w:color="B0B0B0"/>
              <w:right w:val="single" w:sz="1" w:space="0" w:color="D8D8D8"/>
            </w:tcBorders>
          </w:tcPr>
          <w:p>
            <w:pPr>
              <w:jc w:val="left"/>
            </w:pPr>
            <w:r>
              <w:rPr>
                <w:rFonts w:ascii="Times New Roman" w:hAnsi="Times New Roman"/>
                <w:sz w:val="20"/>
              </w:rPr>
              <w:t>PASS</w:t>
            </w:r>
          </w:p>
        </w:tc>
      </w:tr>
      <w:tr>
        <w:tc>
          <w:tcPr>
            <w:tcW w:type="dxa" w:w="1445"/>
            <w:tcMar>
              <w:top w:w="80" w:type="dxa"/>
              <w:bottom w:w="80" w:type="dxa"/>
              <w:left w:w="120" w:type="dxa"/>
              <w:right w:w="120" w:type="dxa"/>
            </w:tcMar>
            <w:tcBorders>
              <w:top w:val="single" w:sz="2" w:space="0" w:color="B0B0B0"/>
              <w:left w:val="single" w:sz="1" w:space="0" w:color="D8D8D8"/>
              <w:bottom w:val="single" w:sz="2" w:space="0" w:color="B0B0B0"/>
              <w:right w:val="single" w:sz="1" w:space="0" w:color="D8D8D8"/>
            </w:tcBorders>
          </w:tcPr>
          <w:p>
            <w:pPr>
              <w:jc w:val="left"/>
            </w:pPr>
            <w:r>
              <w:rPr>
                <w:rFonts w:ascii="Times New Roman" w:hAnsi="Times New Roman"/>
                <w:sz w:val="20"/>
              </w:rPr>
              <w:t>TC-07</w:t>
            </w:r>
          </w:p>
        </w:tc>
        <w:tc>
          <w:tcPr>
            <w:tcW w:type="dxa" w:w="1445"/>
            <w:tcMar>
              <w:top w:w="80" w:type="dxa"/>
              <w:bottom w:w="80" w:type="dxa"/>
              <w:left w:w="120" w:type="dxa"/>
              <w:right w:w="120" w:type="dxa"/>
            </w:tcMar>
            <w:tcBorders>
              <w:top w:val="single" w:sz="2" w:space="0" w:color="B0B0B0"/>
              <w:left w:val="single" w:sz="1" w:space="0" w:color="D8D8D8"/>
              <w:bottom w:val="single" w:sz="2" w:space="0" w:color="B0B0B0"/>
              <w:right w:val="single" w:sz="1" w:space="0" w:color="D8D8D8"/>
            </w:tcBorders>
          </w:tcPr>
          <w:p>
            <w:pPr>
              <w:jc w:val="left"/>
            </w:pPr>
            <w:r>
              <w:rPr>
                <w:rFonts w:ascii="Times New Roman" w:hAnsi="Times New Roman"/>
                <w:sz w:val="20"/>
              </w:rPr>
              <w:t>Color Norm</w:t>
            </w:r>
          </w:p>
        </w:tc>
        <w:tc>
          <w:tcPr>
            <w:tcW w:type="dxa" w:w="1445"/>
            <w:tcMar>
              <w:top w:w="80" w:type="dxa"/>
              <w:bottom w:w="80" w:type="dxa"/>
              <w:left w:w="120" w:type="dxa"/>
              <w:right w:w="120" w:type="dxa"/>
            </w:tcMar>
            <w:tcBorders>
              <w:top w:val="single" w:sz="2" w:space="0" w:color="B0B0B0"/>
              <w:left w:val="single" w:sz="1" w:space="0" w:color="D8D8D8"/>
              <w:bottom w:val="single" w:sz="2" w:space="0" w:color="B0B0B0"/>
              <w:right w:val="single" w:sz="1" w:space="0" w:color="D8D8D8"/>
            </w:tcBorders>
          </w:tcPr>
          <w:p>
            <w:pPr>
              <w:jc w:val="left"/>
            </w:pPr>
            <w:r>
              <w:rPr>
                <w:rFonts w:ascii="Times New Roman" w:hAnsi="Times New Roman"/>
                <w:sz w:val="20"/>
              </w:rPr>
              <w:t>Apply Reinhard CIELAB</w:t>
            </w:r>
          </w:p>
        </w:tc>
        <w:tc>
          <w:tcPr>
            <w:tcW w:type="dxa" w:w="1445"/>
            <w:tcMar>
              <w:top w:w="80" w:type="dxa"/>
              <w:bottom w:w="80" w:type="dxa"/>
              <w:left w:w="120" w:type="dxa"/>
              <w:right w:w="120" w:type="dxa"/>
            </w:tcMar>
            <w:tcBorders>
              <w:top w:val="single" w:sz="2" w:space="0" w:color="B0B0B0"/>
              <w:left w:val="single" w:sz="1" w:space="0" w:color="D8D8D8"/>
              <w:bottom w:val="single" w:sz="2" w:space="0" w:color="B0B0B0"/>
              <w:right w:val="single" w:sz="1" w:space="0" w:color="D8D8D8"/>
            </w:tcBorders>
          </w:tcPr>
          <w:p>
            <w:pPr>
              <w:jc w:val="left"/>
            </w:pPr>
            <w:r>
              <w:rPr>
                <w:rFonts w:ascii="Times New Roman" w:hAnsi="Times New Roman"/>
                <w:sz w:val="20"/>
              </w:rPr>
              <w:t>Image aligned to target LAB</w:t>
            </w:r>
          </w:p>
        </w:tc>
        <w:tc>
          <w:tcPr>
            <w:tcW w:type="dxa" w:w="1445"/>
            <w:tcMar>
              <w:top w:w="80" w:type="dxa"/>
              <w:bottom w:w="80" w:type="dxa"/>
              <w:left w:w="120" w:type="dxa"/>
              <w:right w:w="120" w:type="dxa"/>
            </w:tcMar>
            <w:tcBorders>
              <w:top w:val="single" w:sz="2" w:space="0" w:color="B0B0B0"/>
              <w:left w:val="single" w:sz="1" w:space="0" w:color="D8D8D8"/>
              <w:bottom w:val="single" w:sz="2" w:space="0" w:color="B0B0B0"/>
              <w:right w:val="single" w:sz="1" w:space="0" w:color="D8D8D8"/>
            </w:tcBorders>
          </w:tcPr>
          <w:p>
            <w:pPr>
              <w:jc w:val="left"/>
            </w:pPr>
            <w:r>
              <w:rPr>
                <w:rFonts w:ascii="Times New Roman" w:hAnsi="Times New Roman"/>
                <w:sz w:val="20"/>
              </w:rPr>
              <w:t>LAB matched</w:t>
            </w:r>
          </w:p>
        </w:tc>
        <w:tc>
          <w:tcPr>
            <w:tcW w:type="dxa" w:w="1445"/>
            <w:tcMar>
              <w:top w:w="80" w:type="dxa"/>
              <w:bottom w:w="80" w:type="dxa"/>
              <w:left w:w="120" w:type="dxa"/>
              <w:right w:w="120" w:type="dxa"/>
            </w:tcMar>
            <w:tcBorders>
              <w:top w:val="single" w:sz="2" w:space="0" w:color="B0B0B0"/>
              <w:left w:val="single" w:sz="1" w:space="0" w:color="D8D8D8"/>
              <w:bottom w:val="single" w:sz="2" w:space="0" w:color="B0B0B0"/>
              <w:right w:val="single" w:sz="1" w:space="0" w:color="D8D8D8"/>
            </w:tcBorders>
          </w:tcPr>
          <w:p>
            <w:pPr>
              <w:jc w:val="left"/>
            </w:pPr>
            <w:r>
              <w:rPr>
                <w:rFonts w:ascii="Times New Roman" w:hAnsi="Times New Roman"/>
                <w:sz w:val="20"/>
              </w:rPr>
              <w:t>PASS</w:t>
            </w:r>
          </w:p>
        </w:tc>
      </w:tr>
      <w:tr>
        <w:tc>
          <w:tcPr>
            <w:tcW w:type="dxa" w:w="1445"/>
            <w:tcMar>
              <w:top w:w="80" w:type="dxa"/>
              <w:bottom w:w="80" w:type="dxa"/>
              <w:left w:w="120" w:type="dxa"/>
              <w:right w:w="120" w:type="dxa"/>
            </w:tcMar>
            <w:tcBorders>
              <w:top w:val="single" w:sz="2" w:space="0" w:color="B0B0B0"/>
              <w:left w:val="single" w:sz="1" w:space="0" w:color="D8D8D8"/>
              <w:bottom w:val="single" w:sz="2" w:space="0" w:color="B0B0B0"/>
              <w:right w:val="single" w:sz="1" w:space="0" w:color="D8D8D8"/>
            </w:tcBorders>
          </w:tcPr>
          <w:p>
            <w:pPr>
              <w:jc w:val="left"/>
            </w:pPr>
            <w:r>
              <w:rPr>
                <w:rFonts w:ascii="Times New Roman" w:hAnsi="Times New Roman"/>
                <w:sz w:val="20"/>
              </w:rPr>
              <w:t>TC-08</w:t>
            </w:r>
          </w:p>
        </w:tc>
        <w:tc>
          <w:tcPr>
            <w:tcW w:type="dxa" w:w="1445"/>
            <w:tcMar>
              <w:top w:w="80" w:type="dxa"/>
              <w:bottom w:w="80" w:type="dxa"/>
              <w:left w:w="120" w:type="dxa"/>
              <w:right w:w="120" w:type="dxa"/>
            </w:tcMar>
            <w:tcBorders>
              <w:top w:val="single" w:sz="2" w:space="0" w:color="B0B0B0"/>
              <w:left w:val="single" w:sz="1" w:space="0" w:color="D8D8D8"/>
              <w:bottom w:val="single" w:sz="2" w:space="0" w:color="B0B0B0"/>
              <w:right w:val="single" w:sz="1" w:space="0" w:color="D8D8D8"/>
            </w:tcBorders>
          </w:tcPr>
          <w:p>
            <w:pPr>
              <w:jc w:val="left"/>
            </w:pPr>
            <w:r>
              <w:rPr>
                <w:rFonts w:ascii="Times New Roman" w:hAnsi="Times New Roman"/>
                <w:sz w:val="20"/>
              </w:rPr>
              <w:t>Inference</w:t>
            </w:r>
          </w:p>
        </w:tc>
        <w:tc>
          <w:tcPr>
            <w:tcW w:type="dxa" w:w="1445"/>
            <w:tcMar>
              <w:top w:w="80" w:type="dxa"/>
              <w:bottom w:w="80" w:type="dxa"/>
              <w:left w:w="120" w:type="dxa"/>
              <w:right w:w="120" w:type="dxa"/>
            </w:tcMar>
            <w:tcBorders>
              <w:top w:val="single" w:sz="2" w:space="0" w:color="B0B0B0"/>
              <w:left w:val="single" w:sz="1" w:space="0" w:color="D8D8D8"/>
              <w:bottom w:val="single" w:sz="2" w:space="0" w:color="B0B0B0"/>
              <w:right w:val="single" w:sz="1" w:space="0" w:color="D8D8D8"/>
            </w:tcBorders>
          </w:tcPr>
          <w:p>
            <w:pPr>
              <w:jc w:val="left"/>
            </w:pPr>
            <w:r>
              <w:rPr>
                <w:rFonts w:ascii="Times New Roman" w:hAnsi="Times New Roman"/>
                <w:sz w:val="20"/>
              </w:rPr>
              <w:t>High-suspicion malignant image</w:t>
            </w:r>
          </w:p>
        </w:tc>
        <w:tc>
          <w:tcPr>
            <w:tcW w:type="dxa" w:w="1445"/>
            <w:tcMar>
              <w:top w:w="80" w:type="dxa"/>
              <w:bottom w:w="80" w:type="dxa"/>
              <w:left w:w="120" w:type="dxa"/>
              <w:right w:w="120" w:type="dxa"/>
            </w:tcMar>
            <w:tcBorders>
              <w:top w:val="single" w:sz="2" w:space="0" w:color="B0B0B0"/>
              <w:left w:val="single" w:sz="1" w:space="0" w:color="D8D8D8"/>
              <w:bottom w:val="single" w:sz="2" w:space="0" w:color="B0B0B0"/>
              <w:right w:val="single" w:sz="1" w:space="0" w:color="D8D8D8"/>
            </w:tcBorders>
          </w:tcPr>
          <w:p>
            <w:pPr>
              <w:jc w:val="left"/>
            </w:pPr>
            <w:r>
              <w:rPr>
                <w:rFonts w:ascii="Times New Roman" w:hAnsi="Times New Roman"/>
                <w:sz w:val="20"/>
              </w:rPr>
              <w:t>Prediction: 'Cancer', conf &gt; 0.95</w:t>
            </w:r>
          </w:p>
        </w:tc>
        <w:tc>
          <w:tcPr>
            <w:tcW w:type="dxa" w:w="1445"/>
            <w:tcMar>
              <w:top w:w="80" w:type="dxa"/>
              <w:bottom w:w="80" w:type="dxa"/>
              <w:left w:w="120" w:type="dxa"/>
              <w:right w:w="120" w:type="dxa"/>
            </w:tcMar>
            <w:tcBorders>
              <w:top w:val="single" w:sz="2" w:space="0" w:color="B0B0B0"/>
              <w:left w:val="single" w:sz="1" w:space="0" w:color="D8D8D8"/>
              <w:bottom w:val="single" w:sz="2" w:space="0" w:color="B0B0B0"/>
              <w:right w:val="single" w:sz="1" w:space="0" w:color="D8D8D8"/>
            </w:tcBorders>
          </w:tcPr>
          <w:p>
            <w:pPr>
              <w:jc w:val="left"/>
            </w:pPr>
            <w:r>
              <w:rPr>
                <w:rFonts w:ascii="Times New Roman" w:hAnsi="Times New Roman"/>
                <w:sz w:val="20"/>
              </w:rPr>
              <w:t>Conf: 0.998</w:t>
            </w:r>
          </w:p>
        </w:tc>
        <w:tc>
          <w:tcPr>
            <w:tcW w:type="dxa" w:w="1445"/>
            <w:tcMar>
              <w:top w:w="80" w:type="dxa"/>
              <w:bottom w:w="80" w:type="dxa"/>
              <w:left w:w="120" w:type="dxa"/>
              <w:right w:w="120" w:type="dxa"/>
            </w:tcMar>
            <w:tcBorders>
              <w:top w:val="single" w:sz="2" w:space="0" w:color="B0B0B0"/>
              <w:left w:val="single" w:sz="1" w:space="0" w:color="D8D8D8"/>
              <w:bottom w:val="single" w:sz="2" w:space="0" w:color="B0B0B0"/>
              <w:right w:val="single" w:sz="1" w:space="0" w:color="D8D8D8"/>
            </w:tcBorders>
          </w:tcPr>
          <w:p>
            <w:pPr>
              <w:jc w:val="left"/>
            </w:pPr>
            <w:r>
              <w:rPr>
                <w:rFonts w:ascii="Times New Roman" w:hAnsi="Times New Roman"/>
                <w:sz w:val="20"/>
              </w:rPr>
              <w:t>PASS</w:t>
            </w:r>
          </w:p>
        </w:tc>
      </w:tr>
      <w:tr>
        <w:tc>
          <w:tcPr>
            <w:tcW w:type="dxa" w:w="1445"/>
            <w:tcMar>
              <w:top w:w="80" w:type="dxa"/>
              <w:bottom w:w="80" w:type="dxa"/>
              <w:left w:w="120" w:type="dxa"/>
              <w:right w:w="120" w:type="dxa"/>
            </w:tcMar>
            <w:tcBorders>
              <w:top w:val="single" w:sz="2" w:space="0" w:color="B0B0B0"/>
              <w:left w:val="single" w:sz="1" w:space="0" w:color="D8D8D8"/>
              <w:bottom w:val="single" w:sz="2" w:space="0" w:color="B0B0B0"/>
              <w:right w:val="single" w:sz="1" w:space="0" w:color="D8D8D8"/>
            </w:tcBorders>
          </w:tcPr>
          <w:p>
            <w:pPr>
              <w:jc w:val="left"/>
            </w:pPr>
            <w:r>
              <w:rPr>
                <w:rFonts w:ascii="Times New Roman" w:hAnsi="Times New Roman"/>
                <w:sz w:val="20"/>
              </w:rPr>
              <w:t>TC-09</w:t>
            </w:r>
          </w:p>
        </w:tc>
        <w:tc>
          <w:tcPr>
            <w:tcW w:type="dxa" w:w="1445"/>
            <w:tcMar>
              <w:top w:w="80" w:type="dxa"/>
              <w:bottom w:w="80" w:type="dxa"/>
              <w:left w:w="120" w:type="dxa"/>
              <w:right w:w="120" w:type="dxa"/>
            </w:tcMar>
            <w:tcBorders>
              <w:top w:val="single" w:sz="2" w:space="0" w:color="B0B0B0"/>
              <w:left w:val="single" w:sz="1" w:space="0" w:color="D8D8D8"/>
              <w:bottom w:val="single" w:sz="2" w:space="0" w:color="B0B0B0"/>
              <w:right w:val="single" w:sz="1" w:space="0" w:color="D8D8D8"/>
            </w:tcBorders>
          </w:tcPr>
          <w:p>
            <w:pPr>
              <w:jc w:val="left"/>
            </w:pPr>
            <w:r>
              <w:rPr>
                <w:rFonts w:ascii="Times New Roman" w:hAnsi="Times New Roman"/>
                <w:sz w:val="20"/>
              </w:rPr>
              <w:t>Inference</w:t>
            </w:r>
          </w:p>
        </w:tc>
        <w:tc>
          <w:tcPr>
            <w:tcW w:type="dxa" w:w="1445"/>
            <w:tcMar>
              <w:top w:w="80" w:type="dxa"/>
              <w:bottom w:w="80" w:type="dxa"/>
              <w:left w:w="120" w:type="dxa"/>
              <w:right w:w="120" w:type="dxa"/>
            </w:tcMar>
            <w:tcBorders>
              <w:top w:val="single" w:sz="2" w:space="0" w:color="B0B0B0"/>
              <w:left w:val="single" w:sz="1" w:space="0" w:color="D8D8D8"/>
              <w:bottom w:val="single" w:sz="2" w:space="0" w:color="B0B0B0"/>
              <w:right w:val="single" w:sz="1" w:space="0" w:color="D8D8D8"/>
            </w:tcBorders>
          </w:tcPr>
          <w:p>
            <w:pPr>
              <w:jc w:val="left"/>
            </w:pPr>
            <w:r>
              <w:rPr>
                <w:rFonts w:ascii="Times New Roman" w:hAnsi="Times New Roman"/>
                <w:sz w:val="20"/>
              </w:rPr>
              <w:t>Intact healthy mucosa image</w:t>
            </w:r>
          </w:p>
        </w:tc>
        <w:tc>
          <w:tcPr>
            <w:tcW w:type="dxa" w:w="1445"/>
            <w:tcMar>
              <w:top w:w="80" w:type="dxa"/>
              <w:bottom w:w="80" w:type="dxa"/>
              <w:left w:w="120" w:type="dxa"/>
              <w:right w:w="120" w:type="dxa"/>
            </w:tcMar>
            <w:tcBorders>
              <w:top w:val="single" w:sz="2" w:space="0" w:color="B0B0B0"/>
              <w:left w:val="single" w:sz="1" w:space="0" w:color="D8D8D8"/>
              <w:bottom w:val="single" w:sz="2" w:space="0" w:color="B0B0B0"/>
              <w:right w:val="single" w:sz="1" w:space="0" w:color="D8D8D8"/>
            </w:tcBorders>
          </w:tcPr>
          <w:p>
            <w:pPr>
              <w:jc w:val="left"/>
            </w:pPr>
            <w:r>
              <w:rPr>
                <w:rFonts w:ascii="Times New Roman" w:hAnsi="Times New Roman"/>
                <w:sz w:val="20"/>
              </w:rPr>
              <w:t>Prediction: 'Non-Cancer'</w:t>
            </w:r>
          </w:p>
        </w:tc>
        <w:tc>
          <w:tcPr>
            <w:tcW w:type="dxa" w:w="1445"/>
            <w:tcMar>
              <w:top w:w="80" w:type="dxa"/>
              <w:bottom w:w="80" w:type="dxa"/>
              <w:left w:w="120" w:type="dxa"/>
              <w:right w:w="120" w:type="dxa"/>
            </w:tcMar>
            <w:tcBorders>
              <w:top w:val="single" w:sz="2" w:space="0" w:color="B0B0B0"/>
              <w:left w:val="single" w:sz="1" w:space="0" w:color="D8D8D8"/>
              <w:bottom w:val="single" w:sz="2" w:space="0" w:color="B0B0B0"/>
              <w:right w:val="single" w:sz="1" w:space="0" w:color="D8D8D8"/>
            </w:tcBorders>
          </w:tcPr>
          <w:p>
            <w:pPr>
              <w:jc w:val="left"/>
            </w:pPr>
            <w:r>
              <w:rPr>
                <w:rFonts w:ascii="Times New Roman" w:hAnsi="Times New Roman"/>
                <w:sz w:val="20"/>
              </w:rPr>
              <w:t>Non-Cancer</w:t>
            </w:r>
          </w:p>
        </w:tc>
        <w:tc>
          <w:tcPr>
            <w:tcW w:type="dxa" w:w="1445"/>
            <w:tcMar>
              <w:top w:w="80" w:type="dxa"/>
              <w:bottom w:w="80" w:type="dxa"/>
              <w:left w:w="120" w:type="dxa"/>
              <w:right w:w="120" w:type="dxa"/>
            </w:tcMar>
            <w:tcBorders>
              <w:top w:val="single" w:sz="2" w:space="0" w:color="B0B0B0"/>
              <w:left w:val="single" w:sz="1" w:space="0" w:color="D8D8D8"/>
              <w:bottom w:val="single" w:sz="2" w:space="0" w:color="B0B0B0"/>
              <w:right w:val="single" w:sz="1" w:space="0" w:color="D8D8D8"/>
            </w:tcBorders>
          </w:tcPr>
          <w:p>
            <w:pPr>
              <w:jc w:val="left"/>
            </w:pPr>
            <w:r>
              <w:rPr>
                <w:rFonts w:ascii="Times New Roman" w:hAnsi="Times New Roman"/>
                <w:sz w:val="20"/>
              </w:rPr>
              <w:t>PASS</w:t>
            </w:r>
          </w:p>
        </w:tc>
      </w:tr>
      <w:tr>
        <w:tc>
          <w:tcPr>
            <w:tcW w:type="dxa" w:w="1445"/>
            <w:tcMar>
              <w:top w:w="80" w:type="dxa"/>
              <w:bottom w:w="80" w:type="dxa"/>
              <w:left w:w="120" w:type="dxa"/>
              <w:right w:w="120" w:type="dxa"/>
            </w:tcMar>
            <w:tcBorders>
              <w:top w:val="single" w:sz="2" w:space="0" w:color="B0B0B0"/>
              <w:left w:val="single" w:sz="1" w:space="0" w:color="D8D8D8"/>
              <w:bottom w:val="single" w:sz="2" w:space="0" w:color="B0B0B0"/>
              <w:right w:val="single" w:sz="1" w:space="0" w:color="D8D8D8"/>
            </w:tcBorders>
          </w:tcPr>
          <w:p>
            <w:pPr>
              <w:jc w:val="left"/>
            </w:pPr>
            <w:r>
              <w:rPr>
                <w:rFonts w:ascii="Times New Roman" w:hAnsi="Times New Roman"/>
                <w:sz w:val="20"/>
              </w:rPr>
              <w:t>TC-10</w:t>
            </w:r>
          </w:p>
        </w:tc>
        <w:tc>
          <w:tcPr>
            <w:tcW w:type="dxa" w:w="1445"/>
            <w:tcMar>
              <w:top w:w="80" w:type="dxa"/>
              <w:bottom w:w="80" w:type="dxa"/>
              <w:left w:w="120" w:type="dxa"/>
              <w:right w:w="120" w:type="dxa"/>
            </w:tcMar>
            <w:tcBorders>
              <w:top w:val="single" w:sz="2" w:space="0" w:color="B0B0B0"/>
              <w:left w:val="single" w:sz="1" w:space="0" w:color="D8D8D8"/>
              <w:bottom w:val="single" w:sz="2" w:space="0" w:color="B0B0B0"/>
              <w:right w:val="single" w:sz="1" w:space="0" w:color="D8D8D8"/>
            </w:tcBorders>
          </w:tcPr>
          <w:p>
            <w:pPr>
              <w:jc w:val="left"/>
            </w:pPr>
            <w:r>
              <w:rPr>
                <w:rFonts w:ascii="Times New Roman" w:hAnsi="Times New Roman"/>
                <w:sz w:val="20"/>
              </w:rPr>
              <w:t>Uncertainty</w:t>
            </w:r>
          </w:p>
        </w:tc>
        <w:tc>
          <w:tcPr>
            <w:tcW w:type="dxa" w:w="1445"/>
            <w:tcMar>
              <w:top w:w="80" w:type="dxa"/>
              <w:bottom w:w="80" w:type="dxa"/>
              <w:left w:w="120" w:type="dxa"/>
              <w:right w:w="120" w:type="dxa"/>
            </w:tcMar>
            <w:tcBorders>
              <w:top w:val="single" w:sz="2" w:space="0" w:color="B0B0B0"/>
              <w:left w:val="single" w:sz="1" w:space="0" w:color="D8D8D8"/>
              <w:bottom w:val="single" w:sz="2" w:space="0" w:color="B0B0B0"/>
              <w:right w:val="single" w:sz="1" w:space="0" w:color="D8D8D8"/>
            </w:tcBorders>
          </w:tcPr>
          <w:p>
            <w:pPr>
              <w:jc w:val="left"/>
            </w:pPr>
            <w:r>
              <w:rPr>
                <w:rFonts w:ascii="Times New Roman" w:hAnsi="Times New Roman"/>
                <w:sz w:val="20"/>
              </w:rPr>
              <w:t>Atypical borderline dysplastic</w:t>
            </w:r>
          </w:p>
        </w:tc>
        <w:tc>
          <w:tcPr>
            <w:tcW w:type="dxa" w:w="1445"/>
            <w:tcMar>
              <w:top w:w="80" w:type="dxa"/>
              <w:bottom w:w="80" w:type="dxa"/>
              <w:left w:w="120" w:type="dxa"/>
              <w:right w:w="120" w:type="dxa"/>
            </w:tcMar>
            <w:tcBorders>
              <w:top w:val="single" w:sz="2" w:space="0" w:color="B0B0B0"/>
              <w:left w:val="single" w:sz="1" w:space="0" w:color="D8D8D8"/>
              <w:bottom w:val="single" w:sz="2" w:space="0" w:color="B0B0B0"/>
              <w:right w:val="single" w:sz="1" w:space="0" w:color="D8D8D8"/>
            </w:tcBorders>
          </w:tcPr>
          <w:p>
            <w:pPr>
              <w:jc w:val="left"/>
            </w:pPr>
            <w:r>
              <w:rPr>
                <w:rFonts w:ascii="Times New Roman" w:hAnsi="Times New Roman"/>
                <w:sz w:val="20"/>
              </w:rPr>
              <w:t>Var &gt; 0.015; Flag: 'Uncertain'</w:t>
            </w:r>
          </w:p>
        </w:tc>
        <w:tc>
          <w:tcPr>
            <w:tcW w:type="dxa" w:w="1445"/>
            <w:tcMar>
              <w:top w:w="80" w:type="dxa"/>
              <w:bottom w:w="80" w:type="dxa"/>
              <w:left w:w="120" w:type="dxa"/>
              <w:right w:w="120" w:type="dxa"/>
            </w:tcMar>
            <w:tcBorders>
              <w:top w:val="single" w:sz="2" w:space="0" w:color="B0B0B0"/>
              <w:left w:val="single" w:sz="1" w:space="0" w:color="D8D8D8"/>
              <w:bottom w:val="single" w:sz="2" w:space="0" w:color="B0B0B0"/>
              <w:right w:val="single" w:sz="1" w:space="0" w:color="D8D8D8"/>
            </w:tcBorders>
          </w:tcPr>
          <w:p>
            <w:pPr>
              <w:jc w:val="left"/>
            </w:pPr>
            <w:r>
              <w:rPr>
                <w:rFonts w:ascii="Times New Roman" w:hAnsi="Times New Roman"/>
                <w:sz w:val="20"/>
              </w:rPr>
              <w:t>Var: 0.024</w:t>
            </w:r>
          </w:p>
        </w:tc>
        <w:tc>
          <w:tcPr>
            <w:tcW w:type="dxa" w:w="1445"/>
            <w:tcMar>
              <w:top w:w="80" w:type="dxa"/>
              <w:bottom w:w="80" w:type="dxa"/>
              <w:left w:w="120" w:type="dxa"/>
              <w:right w:w="120" w:type="dxa"/>
            </w:tcMar>
            <w:tcBorders>
              <w:top w:val="single" w:sz="2" w:space="0" w:color="B0B0B0"/>
              <w:left w:val="single" w:sz="1" w:space="0" w:color="D8D8D8"/>
              <w:bottom w:val="single" w:sz="2" w:space="0" w:color="B0B0B0"/>
              <w:right w:val="single" w:sz="1" w:space="0" w:color="D8D8D8"/>
            </w:tcBorders>
          </w:tcPr>
          <w:p>
            <w:pPr>
              <w:jc w:val="left"/>
            </w:pPr>
            <w:r>
              <w:rPr>
                <w:rFonts w:ascii="Times New Roman" w:hAnsi="Times New Roman"/>
                <w:sz w:val="20"/>
              </w:rPr>
              <w:t>PASS</w:t>
            </w:r>
          </w:p>
        </w:tc>
      </w:tr>
      <w:tr>
        <w:tc>
          <w:tcPr>
            <w:tcW w:type="dxa" w:w="1445"/>
            <w:tcMar>
              <w:top w:w="80" w:type="dxa"/>
              <w:bottom w:w="80" w:type="dxa"/>
              <w:left w:w="120" w:type="dxa"/>
              <w:right w:w="120" w:type="dxa"/>
            </w:tcMar>
            <w:tcBorders>
              <w:top w:val="single" w:sz="2" w:space="0" w:color="B0B0B0"/>
              <w:left w:val="single" w:sz="1" w:space="0" w:color="D8D8D8"/>
              <w:bottom w:val="single" w:sz="2" w:space="0" w:color="B0B0B0"/>
              <w:right w:val="single" w:sz="1" w:space="0" w:color="D8D8D8"/>
            </w:tcBorders>
          </w:tcPr>
          <w:p>
            <w:pPr>
              <w:jc w:val="left"/>
            </w:pPr>
            <w:r>
              <w:rPr>
                <w:rFonts w:ascii="Times New Roman" w:hAnsi="Times New Roman"/>
                <w:sz w:val="20"/>
              </w:rPr>
              <w:t>TC-11</w:t>
            </w:r>
          </w:p>
        </w:tc>
        <w:tc>
          <w:tcPr>
            <w:tcW w:type="dxa" w:w="1445"/>
            <w:tcMar>
              <w:top w:w="80" w:type="dxa"/>
              <w:bottom w:w="80" w:type="dxa"/>
              <w:left w:w="120" w:type="dxa"/>
              <w:right w:w="120" w:type="dxa"/>
            </w:tcMar>
            <w:tcBorders>
              <w:top w:val="single" w:sz="2" w:space="0" w:color="B0B0B0"/>
              <w:left w:val="single" w:sz="1" w:space="0" w:color="D8D8D8"/>
              <w:bottom w:val="single" w:sz="2" w:space="0" w:color="B0B0B0"/>
              <w:right w:val="single" w:sz="1" w:space="0" w:color="D8D8D8"/>
            </w:tcBorders>
          </w:tcPr>
          <w:p>
            <w:pPr>
              <w:jc w:val="left"/>
            </w:pPr>
            <w:r>
              <w:rPr>
                <w:rFonts w:ascii="Times New Roman" w:hAnsi="Times New Roman"/>
                <w:sz w:val="20"/>
              </w:rPr>
              <w:t>Risk Prior</w:t>
            </w:r>
          </w:p>
        </w:tc>
        <w:tc>
          <w:tcPr>
            <w:tcW w:type="dxa" w:w="1445"/>
            <w:tcMar>
              <w:top w:w="80" w:type="dxa"/>
              <w:bottom w:w="80" w:type="dxa"/>
              <w:left w:w="120" w:type="dxa"/>
              <w:right w:w="120" w:type="dxa"/>
            </w:tcMar>
            <w:tcBorders>
              <w:top w:val="single" w:sz="2" w:space="0" w:color="B0B0B0"/>
              <w:left w:val="single" w:sz="1" w:space="0" w:color="D8D8D8"/>
              <w:bottom w:val="single" w:sz="2" w:space="0" w:color="B0B0B0"/>
              <w:right w:val="single" w:sz="1" w:space="0" w:color="D8D8D8"/>
            </w:tcBorders>
          </w:tcPr>
          <w:p>
            <w:pPr>
              <w:jc w:val="left"/>
            </w:pPr>
            <w:r>
              <w:rPr>
                <w:rFonts w:ascii="Times New Roman" w:hAnsi="Times New Roman"/>
                <w:sz w:val="20"/>
              </w:rPr>
              <w:t>Heavy tobacco + betel nut user</w:t>
            </w:r>
          </w:p>
        </w:tc>
        <w:tc>
          <w:tcPr>
            <w:tcW w:type="dxa" w:w="1445"/>
            <w:tcMar>
              <w:top w:w="80" w:type="dxa"/>
              <w:bottom w:w="80" w:type="dxa"/>
              <w:left w:w="120" w:type="dxa"/>
              <w:right w:w="120" w:type="dxa"/>
            </w:tcMar>
            <w:tcBorders>
              <w:top w:val="single" w:sz="2" w:space="0" w:color="B0B0B0"/>
              <w:left w:val="single" w:sz="1" w:space="0" w:color="D8D8D8"/>
              <w:bottom w:val="single" w:sz="2" w:space="0" w:color="B0B0B0"/>
              <w:right w:val="single" w:sz="1" w:space="0" w:color="D8D8D8"/>
            </w:tcBorders>
          </w:tcPr>
          <w:p>
            <w:pPr>
              <w:jc w:val="left"/>
            </w:pPr>
            <w:r>
              <w:rPr>
                <w:rFonts w:ascii="Times New Roman" w:hAnsi="Times New Roman"/>
                <w:sz w:val="20"/>
              </w:rPr>
              <w:t>Clinical risk boost applied</w:t>
            </w:r>
          </w:p>
        </w:tc>
        <w:tc>
          <w:tcPr>
            <w:tcW w:type="dxa" w:w="1445"/>
            <w:tcMar>
              <w:top w:w="80" w:type="dxa"/>
              <w:bottom w:w="80" w:type="dxa"/>
              <w:left w:w="120" w:type="dxa"/>
              <w:right w:w="120" w:type="dxa"/>
            </w:tcMar>
            <w:tcBorders>
              <w:top w:val="single" w:sz="2" w:space="0" w:color="B0B0B0"/>
              <w:left w:val="single" w:sz="1" w:space="0" w:color="D8D8D8"/>
              <w:bottom w:val="single" w:sz="2" w:space="0" w:color="B0B0B0"/>
              <w:right w:val="single" w:sz="1" w:space="0" w:color="D8D8D8"/>
            </w:tcBorders>
          </w:tcPr>
          <w:p>
            <w:pPr>
              <w:jc w:val="left"/>
            </w:pPr>
            <w:r>
              <w:rPr>
                <w:rFonts w:ascii="Times New Roman" w:hAnsi="Times New Roman"/>
                <w:sz w:val="20"/>
              </w:rPr>
              <w:t>Score: 85%</w:t>
            </w:r>
          </w:p>
        </w:tc>
        <w:tc>
          <w:tcPr>
            <w:tcW w:type="dxa" w:w="1445"/>
            <w:tcMar>
              <w:top w:w="80" w:type="dxa"/>
              <w:bottom w:w="80" w:type="dxa"/>
              <w:left w:w="120" w:type="dxa"/>
              <w:right w:w="120" w:type="dxa"/>
            </w:tcMar>
            <w:tcBorders>
              <w:top w:val="single" w:sz="2" w:space="0" w:color="B0B0B0"/>
              <w:left w:val="single" w:sz="1" w:space="0" w:color="D8D8D8"/>
              <w:bottom w:val="single" w:sz="2" w:space="0" w:color="B0B0B0"/>
              <w:right w:val="single" w:sz="1" w:space="0" w:color="D8D8D8"/>
            </w:tcBorders>
          </w:tcPr>
          <w:p>
            <w:pPr>
              <w:jc w:val="left"/>
            </w:pPr>
            <w:r>
              <w:rPr>
                <w:rFonts w:ascii="Times New Roman" w:hAnsi="Times New Roman"/>
                <w:sz w:val="20"/>
              </w:rPr>
              <w:t>PASS</w:t>
            </w:r>
          </w:p>
        </w:tc>
      </w:tr>
      <w:tr>
        <w:tc>
          <w:tcPr>
            <w:tcW w:type="dxa" w:w="1445"/>
            <w:tcMar>
              <w:top w:w="80" w:type="dxa"/>
              <w:bottom w:w="80" w:type="dxa"/>
              <w:left w:w="120" w:type="dxa"/>
              <w:right w:w="120" w:type="dxa"/>
            </w:tcMar>
            <w:tcBorders>
              <w:top w:val="single" w:sz="2" w:space="0" w:color="B0B0B0"/>
              <w:left w:val="single" w:sz="1" w:space="0" w:color="D8D8D8"/>
              <w:bottom w:val="single" w:sz="2" w:space="0" w:color="B0B0B0"/>
              <w:right w:val="single" w:sz="1" w:space="0" w:color="D8D8D8"/>
            </w:tcBorders>
          </w:tcPr>
          <w:p>
            <w:pPr>
              <w:jc w:val="left"/>
            </w:pPr>
            <w:r>
              <w:rPr>
                <w:rFonts w:ascii="Times New Roman" w:hAnsi="Times New Roman"/>
                <w:sz w:val="20"/>
              </w:rPr>
              <w:t>TC-12</w:t>
            </w:r>
          </w:p>
        </w:tc>
        <w:tc>
          <w:tcPr>
            <w:tcW w:type="dxa" w:w="1445"/>
            <w:tcMar>
              <w:top w:w="80" w:type="dxa"/>
              <w:bottom w:w="80" w:type="dxa"/>
              <w:left w:w="120" w:type="dxa"/>
              <w:right w:w="120" w:type="dxa"/>
            </w:tcMar>
            <w:tcBorders>
              <w:top w:val="single" w:sz="2" w:space="0" w:color="B0B0B0"/>
              <w:left w:val="single" w:sz="1" w:space="0" w:color="D8D8D8"/>
              <w:bottom w:val="single" w:sz="2" w:space="0" w:color="B0B0B0"/>
              <w:right w:val="single" w:sz="1" w:space="0" w:color="D8D8D8"/>
            </w:tcBorders>
          </w:tcPr>
          <w:p>
            <w:pPr>
              <w:jc w:val="left"/>
            </w:pPr>
            <w:r>
              <w:rPr>
                <w:rFonts w:ascii="Times New Roman" w:hAnsi="Times New Roman"/>
                <w:sz w:val="20"/>
              </w:rPr>
              <w:t>Risk Prior</w:t>
            </w:r>
          </w:p>
        </w:tc>
        <w:tc>
          <w:tcPr>
            <w:tcW w:type="dxa" w:w="1445"/>
            <w:tcMar>
              <w:top w:w="80" w:type="dxa"/>
              <w:bottom w:w="80" w:type="dxa"/>
              <w:left w:w="120" w:type="dxa"/>
              <w:right w:w="120" w:type="dxa"/>
            </w:tcMar>
            <w:tcBorders>
              <w:top w:val="single" w:sz="2" w:space="0" w:color="B0B0B0"/>
              <w:left w:val="single" w:sz="1" w:space="0" w:color="D8D8D8"/>
              <w:bottom w:val="single" w:sz="2" w:space="0" w:color="B0B0B0"/>
              <w:right w:val="single" w:sz="1" w:space="0" w:color="D8D8D8"/>
            </w:tcBorders>
          </w:tcPr>
          <w:p>
            <w:pPr>
              <w:jc w:val="left"/>
            </w:pPr>
            <w:r>
              <w:rPr>
                <w:rFonts w:ascii="Times New Roman" w:hAnsi="Times New Roman"/>
                <w:sz w:val="20"/>
              </w:rPr>
              <w:t>Young non-user healthy patient</w:t>
            </w:r>
          </w:p>
        </w:tc>
        <w:tc>
          <w:tcPr>
            <w:tcW w:type="dxa" w:w="1445"/>
            <w:tcMar>
              <w:top w:w="80" w:type="dxa"/>
              <w:bottom w:w="80" w:type="dxa"/>
              <w:left w:w="120" w:type="dxa"/>
              <w:right w:w="120" w:type="dxa"/>
            </w:tcMar>
            <w:tcBorders>
              <w:top w:val="single" w:sz="2" w:space="0" w:color="B0B0B0"/>
              <w:left w:val="single" w:sz="1" w:space="0" w:color="D8D8D8"/>
              <w:bottom w:val="single" w:sz="2" w:space="0" w:color="B0B0B0"/>
              <w:right w:val="single" w:sz="1" w:space="0" w:color="D8D8D8"/>
            </w:tcBorders>
          </w:tcPr>
          <w:p>
            <w:pPr>
              <w:jc w:val="left"/>
            </w:pPr>
            <w:r>
              <w:rPr>
                <w:rFonts w:ascii="Times New Roman" w:hAnsi="Times New Roman"/>
                <w:sz w:val="20"/>
              </w:rPr>
              <w:t>Low risk prior (≤ 10%)</w:t>
            </w:r>
          </w:p>
        </w:tc>
        <w:tc>
          <w:tcPr>
            <w:tcW w:type="dxa" w:w="1445"/>
            <w:tcMar>
              <w:top w:w="80" w:type="dxa"/>
              <w:bottom w:w="80" w:type="dxa"/>
              <w:left w:w="120" w:type="dxa"/>
              <w:right w:w="120" w:type="dxa"/>
            </w:tcMar>
            <w:tcBorders>
              <w:top w:val="single" w:sz="2" w:space="0" w:color="B0B0B0"/>
              <w:left w:val="single" w:sz="1" w:space="0" w:color="D8D8D8"/>
              <w:bottom w:val="single" w:sz="2" w:space="0" w:color="B0B0B0"/>
              <w:right w:val="single" w:sz="1" w:space="0" w:color="D8D8D8"/>
            </w:tcBorders>
          </w:tcPr>
          <w:p>
            <w:pPr>
              <w:jc w:val="left"/>
            </w:pPr>
            <w:r>
              <w:rPr>
                <w:rFonts w:ascii="Times New Roman" w:hAnsi="Times New Roman"/>
                <w:sz w:val="20"/>
              </w:rPr>
              <w:t>Score: 5%</w:t>
            </w:r>
          </w:p>
        </w:tc>
        <w:tc>
          <w:tcPr>
            <w:tcW w:type="dxa" w:w="1445"/>
            <w:tcMar>
              <w:top w:w="80" w:type="dxa"/>
              <w:bottom w:w="80" w:type="dxa"/>
              <w:left w:w="120" w:type="dxa"/>
              <w:right w:w="120" w:type="dxa"/>
            </w:tcMar>
            <w:tcBorders>
              <w:top w:val="single" w:sz="2" w:space="0" w:color="B0B0B0"/>
              <w:left w:val="single" w:sz="1" w:space="0" w:color="D8D8D8"/>
              <w:bottom w:val="single" w:sz="2" w:space="0" w:color="B0B0B0"/>
              <w:right w:val="single" w:sz="1" w:space="0" w:color="D8D8D8"/>
            </w:tcBorders>
          </w:tcPr>
          <w:p>
            <w:pPr>
              <w:jc w:val="left"/>
            </w:pPr>
            <w:r>
              <w:rPr>
                <w:rFonts w:ascii="Times New Roman" w:hAnsi="Times New Roman"/>
                <w:sz w:val="20"/>
              </w:rPr>
              <w:t>PASS</w:t>
            </w:r>
          </w:p>
        </w:tc>
      </w:tr>
      <w:tr>
        <w:tc>
          <w:tcPr>
            <w:tcW w:type="dxa" w:w="1445"/>
            <w:tcMar>
              <w:top w:w="80" w:type="dxa"/>
              <w:bottom w:w="80" w:type="dxa"/>
              <w:left w:w="120" w:type="dxa"/>
              <w:right w:w="120" w:type="dxa"/>
            </w:tcMar>
            <w:tcBorders>
              <w:top w:val="single" w:sz="2" w:space="0" w:color="B0B0B0"/>
              <w:left w:val="single" w:sz="1" w:space="0" w:color="D8D8D8"/>
              <w:bottom w:val="single" w:sz="2" w:space="0" w:color="B0B0B0"/>
              <w:right w:val="single" w:sz="1" w:space="0" w:color="D8D8D8"/>
            </w:tcBorders>
          </w:tcPr>
          <w:p>
            <w:pPr>
              <w:jc w:val="left"/>
            </w:pPr>
            <w:r>
              <w:rPr>
                <w:rFonts w:ascii="Times New Roman" w:hAnsi="Times New Roman"/>
                <w:sz w:val="20"/>
              </w:rPr>
              <w:t>TC-13</w:t>
            </w:r>
          </w:p>
        </w:tc>
        <w:tc>
          <w:tcPr>
            <w:tcW w:type="dxa" w:w="1445"/>
            <w:tcMar>
              <w:top w:w="80" w:type="dxa"/>
              <w:bottom w:w="80" w:type="dxa"/>
              <w:left w:w="120" w:type="dxa"/>
              <w:right w:w="120" w:type="dxa"/>
            </w:tcMar>
            <w:tcBorders>
              <w:top w:val="single" w:sz="2" w:space="0" w:color="B0B0B0"/>
              <w:left w:val="single" w:sz="1" w:space="0" w:color="D8D8D8"/>
              <w:bottom w:val="single" w:sz="2" w:space="0" w:color="B0B0B0"/>
              <w:right w:val="single" w:sz="1" w:space="0" w:color="D8D8D8"/>
            </w:tcBorders>
          </w:tcPr>
          <w:p>
            <w:pPr>
              <w:jc w:val="left"/>
            </w:pPr>
            <w:r>
              <w:rPr>
                <w:rFonts w:ascii="Times New Roman" w:hAnsi="Times New Roman"/>
                <w:sz w:val="20"/>
              </w:rPr>
              <w:t>TTA</w:t>
            </w:r>
          </w:p>
        </w:tc>
        <w:tc>
          <w:tcPr>
            <w:tcW w:type="dxa" w:w="1445"/>
            <w:tcMar>
              <w:top w:w="80" w:type="dxa"/>
              <w:bottom w:w="80" w:type="dxa"/>
              <w:left w:w="120" w:type="dxa"/>
              <w:right w:w="120" w:type="dxa"/>
            </w:tcMar>
            <w:tcBorders>
              <w:top w:val="single" w:sz="2" w:space="0" w:color="B0B0B0"/>
              <w:left w:val="single" w:sz="1" w:space="0" w:color="D8D8D8"/>
              <w:bottom w:val="single" w:sz="2" w:space="0" w:color="B0B0B0"/>
              <w:right w:val="single" w:sz="1" w:space="0" w:color="D8D8D8"/>
            </w:tcBorders>
          </w:tcPr>
          <w:p>
            <w:pPr>
              <w:jc w:val="left"/>
            </w:pPr>
            <w:r>
              <w:rPr>
                <w:rFonts w:ascii="Times New Roman" w:hAnsi="Times New Roman"/>
                <w:sz w:val="20"/>
              </w:rPr>
              <w:t>Execute 8-pass augmentations</w:t>
            </w:r>
          </w:p>
        </w:tc>
        <w:tc>
          <w:tcPr>
            <w:tcW w:type="dxa" w:w="1445"/>
            <w:tcMar>
              <w:top w:w="80" w:type="dxa"/>
              <w:bottom w:w="80" w:type="dxa"/>
              <w:left w:w="120" w:type="dxa"/>
              <w:right w:w="120" w:type="dxa"/>
            </w:tcMar>
            <w:tcBorders>
              <w:top w:val="single" w:sz="2" w:space="0" w:color="B0B0B0"/>
              <w:left w:val="single" w:sz="1" w:space="0" w:color="D8D8D8"/>
              <w:bottom w:val="single" w:sz="2" w:space="0" w:color="B0B0B0"/>
              <w:right w:val="single" w:sz="1" w:space="0" w:color="D8D8D8"/>
            </w:tcBorders>
          </w:tcPr>
          <w:p>
            <w:pPr>
              <w:jc w:val="left"/>
            </w:pPr>
            <w:r>
              <w:rPr>
                <w:rFonts w:ascii="Times New Roman" w:hAnsi="Times New Roman"/>
                <w:sz w:val="20"/>
              </w:rPr>
              <w:t>8 tensor views generated</w:t>
            </w:r>
          </w:p>
        </w:tc>
        <w:tc>
          <w:tcPr>
            <w:tcW w:type="dxa" w:w="1445"/>
            <w:tcMar>
              <w:top w:w="80" w:type="dxa"/>
              <w:bottom w:w="80" w:type="dxa"/>
              <w:left w:w="120" w:type="dxa"/>
              <w:right w:w="120" w:type="dxa"/>
            </w:tcMar>
            <w:tcBorders>
              <w:top w:val="single" w:sz="2" w:space="0" w:color="B0B0B0"/>
              <w:left w:val="single" w:sz="1" w:space="0" w:color="D8D8D8"/>
              <w:bottom w:val="single" w:sz="2" w:space="0" w:color="B0B0B0"/>
              <w:right w:val="single" w:sz="1" w:space="0" w:color="D8D8D8"/>
            </w:tcBorders>
          </w:tcPr>
          <w:p>
            <w:pPr>
              <w:jc w:val="left"/>
            </w:pPr>
            <w:r>
              <w:rPr>
                <w:rFonts w:ascii="Times New Roman" w:hAnsi="Times New Roman"/>
                <w:sz w:val="20"/>
              </w:rPr>
              <w:t>8 passes</w:t>
            </w:r>
          </w:p>
        </w:tc>
        <w:tc>
          <w:tcPr>
            <w:tcW w:type="dxa" w:w="1445"/>
            <w:tcMar>
              <w:top w:w="80" w:type="dxa"/>
              <w:bottom w:w="80" w:type="dxa"/>
              <w:left w:w="120" w:type="dxa"/>
              <w:right w:w="120" w:type="dxa"/>
            </w:tcMar>
            <w:tcBorders>
              <w:top w:val="single" w:sz="2" w:space="0" w:color="B0B0B0"/>
              <w:left w:val="single" w:sz="1" w:space="0" w:color="D8D8D8"/>
              <w:bottom w:val="single" w:sz="2" w:space="0" w:color="B0B0B0"/>
              <w:right w:val="single" w:sz="1" w:space="0" w:color="D8D8D8"/>
            </w:tcBorders>
          </w:tcPr>
          <w:p>
            <w:pPr>
              <w:jc w:val="left"/>
            </w:pPr>
            <w:r>
              <w:rPr>
                <w:rFonts w:ascii="Times New Roman" w:hAnsi="Times New Roman"/>
                <w:sz w:val="20"/>
              </w:rPr>
              <w:t>PASS</w:t>
            </w:r>
          </w:p>
        </w:tc>
      </w:tr>
      <w:tr>
        <w:tc>
          <w:tcPr>
            <w:tcW w:type="dxa" w:w="1445"/>
            <w:tcMar>
              <w:top w:w="80" w:type="dxa"/>
              <w:bottom w:w="80" w:type="dxa"/>
              <w:left w:w="120" w:type="dxa"/>
              <w:right w:w="120" w:type="dxa"/>
            </w:tcMar>
            <w:tcBorders>
              <w:top w:val="single" w:sz="2" w:space="0" w:color="B0B0B0"/>
              <w:left w:val="single" w:sz="1" w:space="0" w:color="D8D8D8"/>
              <w:bottom w:val="single" w:sz="2" w:space="0" w:color="B0B0B0"/>
              <w:right w:val="single" w:sz="1" w:space="0" w:color="D8D8D8"/>
            </w:tcBorders>
          </w:tcPr>
          <w:p>
            <w:pPr>
              <w:jc w:val="left"/>
            </w:pPr>
            <w:r>
              <w:rPr>
                <w:rFonts w:ascii="Times New Roman" w:hAnsi="Times New Roman"/>
                <w:sz w:val="20"/>
              </w:rPr>
              <w:t>TC-14</w:t>
            </w:r>
          </w:p>
        </w:tc>
        <w:tc>
          <w:tcPr>
            <w:tcW w:type="dxa" w:w="1445"/>
            <w:tcMar>
              <w:top w:w="80" w:type="dxa"/>
              <w:bottom w:w="80" w:type="dxa"/>
              <w:left w:w="120" w:type="dxa"/>
              <w:right w:w="120" w:type="dxa"/>
            </w:tcMar>
            <w:tcBorders>
              <w:top w:val="single" w:sz="2" w:space="0" w:color="B0B0B0"/>
              <w:left w:val="single" w:sz="1" w:space="0" w:color="D8D8D8"/>
              <w:bottom w:val="single" w:sz="2" w:space="0" w:color="B0B0B0"/>
              <w:right w:val="single" w:sz="1" w:space="0" w:color="D8D8D8"/>
            </w:tcBorders>
          </w:tcPr>
          <w:p>
            <w:pPr>
              <w:jc w:val="left"/>
            </w:pPr>
            <w:r>
              <w:rPr>
                <w:rFonts w:ascii="Times New Roman" w:hAnsi="Times New Roman"/>
                <w:sz w:val="20"/>
              </w:rPr>
              <w:t>MC Dropout</w:t>
            </w:r>
          </w:p>
        </w:tc>
        <w:tc>
          <w:tcPr>
            <w:tcW w:type="dxa" w:w="1445"/>
            <w:tcMar>
              <w:top w:w="80" w:type="dxa"/>
              <w:bottom w:w="80" w:type="dxa"/>
              <w:left w:w="120" w:type="dxa"/>
              <w:right w:w="120" w:type="dxa"/>
            </w:tcMar>
            <w:tcBorders>
              <w:top w:val="single" w:sz="2" w:space="0" w:color="B0B0B0"/>
              <w:left w:val="single" w:sz="1" w:space="0" w:color="D8D8D8"/>
              <w:bottom w:val="single" w:sz="2" w:space="0" w:color="B0B0B0"/>
              <w:right w:val="single" w:sz="1" w:space="0" w:color="D8D8D8"/>
            </w:tcBorders>
          </w:tcPr>
          <w:p>
            <w:pPr>
              <w:jc w:val="left"/>
            </w:pPr>
            <w:r>
              <w:rPr>
                <w:rFonts w:ascii="Times New Roman" w:hAnsi="Times New Roman"/>
                <w:sz w:val="20"/>
              </w:rPr>
              <w:t>Execute 15 stochastic passes</w:t>
            </w:r>
          </w:p>
        </w:tc>
        <w:tc>
          <w:tcPr>
            <w:tcW w:type="dxa" w:w="1445"/>
            <w:tcMar>
              <w:top w:w="80" w:type="dxa"/>
              <w:bottom w:w="80" w:type="dxa"/>
              <w:left w:w="120" w:type="dxa"/>
              <w:right w:w="120" w:type="dxa"/>
            </w:tcMar>
            <w:tcBorders>
              <w:top w:val="single" w:sz="2" w:space="0" w:color="B0B0B0"/>
              <w:left w:val="single" w:sz="1" w:space="0" w:color="D8D8D8"/>
              <w:bottom w:val="single" w:sz="2" w:space="0" w:color="B0B0B0"/>
              <w:right w:val="single" w:sz="1" w:space="0" w:color="D8D8D8"/>
            </w:tcBorders>
          </w:tcPr>
          <w:p>
            <w:pPr>
              <w:jc w:val="left"/>
            </w:pPr>
            <w:r>
              <w:rPr>
                <w:rFonts w:ascii="Times New Roman" w:hAnsi="Times New Roman"/>
                <w:sz w:val="20"/>
              </w:rPr>
              <w:t>15 forward passes with dropout</w:t>
            </w:r>
          </w:p>
        </w:tc>
        <w:tc>
          <w:tcPr>
            <w:tcW w:type="dxa" w:w="1445"/>
            <w:tcMar>
              <w:top w:w="80" w:type="dxa"/>
              <w:bottom w:w="80" w:type="dxa"/>
              <w:left w:w="120" w:type="dxa"/>
              <w:right w:w="120" w:type="dxa"/>
            </w:tcMar>
            <w:tcBorders>
              <w:top w:val="single" w:sz="2" w:space="0" w:color="B0B0B0"/>
              <w:left w:val="single" w:sz="1" w:space="0" w:color="D8D8D8"/>
              <w:bottom w:val="single" w:sz="2" w:space="0" w:color="B0B0B0"/>
              <w:right w:val="single" w:sz="1" w:space="0" w:color="D8D8D8"/>
            </w:tcBorders>
          </w:tcPr>
          <w:p>
            <w:pPr>
              <w:jc w:val="left"/>
            </w:pPr>
            <w:r>
              <w:rPr>
                <w:rFonts w:ascii="Times New Roman" w:hAnsi="Times New Roman"/>
                <w:sz w:val="20"/>
              </w:rPr>
              <w:t>15 passes</w:t>
            </w:r>
          </w:p>
        </w:tc>
        <w:tc>
          <w:tcPr>
            <w:tcW w:type="dxa" w:w="1445"/>
            <w:tcMar>
              <w:top w:w="80" w:type="dxa"/>
              <w:bottom w:w="80" w:type="dxa"/>
              <w:left w:w="120" w:type="dxa"/>
              <w:right w:w="120" w:type="dxa"/>
            </w:tcMar>
            <w:tcBorders>
              <w:top w:val="single" w:sz="2" w:space="0" w:color="B0B0B0"/>
              <w:left w:val="single" w:sz="1" w:space="0" w:color="D8D8D8"/>
              <w:bottom w:val="single" w:sz="2" w:space="0" w:color="B0B0B0"/>
              <w:right w:val="single" w:sz="1" w:space="0" w:color="D8D8D8"/>
            </w:tcBorders>
          </w:tcPr>
          <w:p>
            <w:pPr>
              <w:jc w:val="left"/>
            </w:pPr>
            <w:r>
              <w:rPr>
                <w:rFonts w:ascii="Times New Roman" w:hAnsi="Times New Roman"/>
                <w:sz w:val="20"/>
              </w:rPr>
              <w:t>PASS</w:t>
            </w:r>
          </w:p>
        </w:tc>
      </w:tr>
      <w:tr>
        <w:tc>
          <w:tcPr>
            <w:tcW w:type="dxa" w:w="1445"/>
            <w:tcMar>
              <w:top w:w="80" w:type="dxa"/>
              <w:bottom w:w="80" w:type="dxa"/>
              <w:left w:w="120" w:type="dxa"/>
              <w:right w:w="120" w:type="dxa"/>
            </w:tcMar>
            <w:tcBorders>
              <w:top w:val="single" w:sz="2" w:space="0" w:color="B0B0B0"/>
              <w:left w:val="single" w:sz="1" w:space="0" w:color="D8D8D8"/>
              <w:bottom w:val="single" w:sz="2" w:space="0" w:color="B0B0B0"/>
              <w:right w:val="single" w:sz="1" w:space="0" w:color="D8D8D8"/>
            </w:tcBorders>
          </w:tcPr>
          <w:p>
            <w:pPr>
              <w:jc w:val="left"/>
            </w:pPr>
            <w:r>
              <w:rPr>
                <w:rFonts w:ascii="Times New Roman" w:hAnsi="Times New Roman"/>
                <w:sz w:val="20"/>
              </w:rPr>
              <w:t>TC-15</w:t>
            </w:r>
          </w:p>
        </w:tc>
        <w:tc>
          <w:tcPr>
            <w:tcW w:type="dxa" w:w="1445"/>
            <w:tcMar>
              <w:top w:w="80" w:type="dxa"/>
              <w:bottom w:w="80" w:type="dxa"/>
              <w:left w:w="120" w:type="dxa"/>
              <w:right w:w="120" w:type="dxa"/>
            </w:tcMar>
            <w:tcBorders>
              <w:top w:val="single" w:sz="2" w:space="0" w:color="B0B0B0"/>
              <w:left w:val="single" w:sz="1" w:space="0" w:color="D8D8D8"/>
              <w:bottom w:val="single" w:sz="2" w:space="0" w:color="B0B0B0"/>
              <w:right w:val="single" w:sz="1" w:space="0" w:color="D8D8D8"/>
            </w:tcBorders>
          </w:tcPr>
          <w:p>
            <w:pPr>
              <w:jc w:val="left"/>
            </w:pPr>
            <w:r>
              <w:rPr>
                <w:rFonts w:ascii="Times New Roman" w:hAnsi="Times New Roman"/>
                <w:sz w:val="20"/>
              </w:rPr>
              <w:t>XAI</w:t>
            </w:r>
          </w:p>
        </w:tc>
        <w:tc>
          <w:tcPr>
            <w:tcW w:type="dxa" w:w="1445"/>
            <w:tcMar>
              <w:top w:w="80" w:type="dxa"/>
              <w:bottom w:w="80" w:type="dxa"/>
              <w:left w:w="120" w:type="dxa"/>
              <w:right w:w="120" w:type="dxa"/>
            </w:tcMar>
            <w:tcBorders>
              <w:top w:val="single" w:sz="2" w:space="0" w:color="B0B0B0"/>
              <w:left w:val="single" w:sz="1" w:space="0" w:color="D8D8D8"/>
              <w:bottom w:val="single" w:sz="2" w:space="0" w:color="B0B0B0"/>
              <w:right w:val="single" w:sz="1" w:space="0" w:color="D8D8D8"/>
            </w:tcBorders>
          </w:tcPr>
          <w:p>
            <w:pPr>
              <w:jc w:val="left"/>
            </w:pPr>
            <w:r>
              <w:rPr>
                <w:rFonts w:ascii="Times New Roman" w:hAnsi="Times New Roman"/>
                <w:sz w:val="20"/>
              </w:rPr>
              <w:t>Request Grad-CAM++ overlay</w:t>
            </w:r>
          </w:p>
        </w:tc>
        <w:tc>
          <w:tcPr>
            <w:tcW w:type="dxa" w:w="1445"/>
            <w:tcMar>
              <w:top w:w="80" w:type="dxa"/>
              <w:bottom w:w="80" w:type="dxa"/>
              <w:left w:w="120" w:type="dxa"/>
              <w:right w:w="120" w:type="dxa"/>
            </w:tcMar>
            <w:tcBorders>
              <w:top w:val="single" w:sz="2" w:space="0" w:color="B0B0B0"/>
              <w:left w:val="single" w:sz="1" w:space="0" w:color="D8D8D8"/>
              <w:bottom w:val="single" w:sz="2" w:space="0" w:color="B0B0B0"/>
              <w:right w:val="single" w:sz="1" w:space="0" w:color="D8D8D8"/>
            </w:tcBorders>
          </w:tcPr>
          <w:p>
            <w:pPr>
              <w:jc w:val="left"/>
            </w:pPr>
            <w:r>
              <w:rPr>
                <w:rFonts w:ascii="Times New Roman" w:hAnsi="Times New Roman"/>
                <w:sz w:val="20"/>
              </w:rPr>
              <w:t>Heatmap generated on lesion</w:t>
            </w:r>
          </w:p>
        </w:tc>
        <w:tc>
          <w:tcPr>
            <w:tcW w:type="dxa" w:w="1445"/>
            <w:tcMar>
              <w:top w:w="80" w:type="dxa"/>
              <w:bottom w:w="80" w:type="dxa"/>
              <w:left w:w="120" w:type="dxa"/>
              <w:right w:w="120" w:type="dxa"/>
            </w:tcMar>
            <w:tcBorders>
              <w:top w:val="single" w:sz="2" w:space="0" w:color="B0B0B0"/>
              <w:left w:val="single" w:sz="1" w:space="0" w:color="D8D8D8"/>
              <w:bottom w:val="single" w:sz="2" w:space="0" w:color="B0B0B0"/>
              <w:right w:val="single" w:sz="1" w:space="0" w:color="D8D8D8"/>
            </w:tcBorders>
          </w:tcPr>
          <w:p>
            <w:pPr>
              <w:jc w:val="left"/>
            </w:pPr>
            <w:r>
              <w:rPr>
                <w:rFonts w:ascii="Times New Roman" w:hAnsi="Times New Roman"/>
                <w:sz w:val="20"/>
              </w:rPr>
              <w:t>Generated</w:t>
            </w:r>
          </w:p>
        </w:tc>
        <w:tc>
          <w:tcPr>
            <w:tcW w:type="dxa" w:w="1445"/>
            <w:tcMar>
              <w:top w:w="80" w:type="dxa"/>
              <w:bottom w:w="80" w:type="dxa"/>
              <w:left w:w="120" w:type="dxa"/>
              <w:right w:w="120" w:type="dxa"/>
            </w:tcMar>
            <w:tcBorders>
              <w:top w:val="single" w:sz="2" w:space="0" w:color="B0B0B0"/>
              <w:left w:val="single" w:sz="1" w:space="0" w:color="D8D8D8"/>
              <w:bottom w:val="single" w:sz="2" w:space="0" w:color="B0B0B0"/>
              <w:right w:val="single" w:sz="1" w:space="0" w:color="D8D8D8"/>
            </w:tcBorders>
          </w:tcPr>
          <w:p>
            <w:pPr>
              <w:jc w:val="left"/>
            </w:pPr>
            <w:r>
              <w:rPr>
                <w:rFonts w:ascii="Times New Roman" w:hAnsi="Times New Roman"/>
                <w:sz w:val="20"/>
              </w:rPr>
              <w:t>PASS</w:t>
            </w:r>
          </w:p>
        </w:tc>
      </w:tr>
      <w:tr>
        <w:tc>
          <w:tcPr>
            <w:tcW w:type="dxa" w:w="1445"/>
            <w:tcMar>
              <w:top w:w="80" w:type="dxa"/>
              <w:bottom w:w="80" w:type="dxa"/>
              <w:left w:w="120" w:type="dxa"/>
              <w:right w:w="120" w:type="dxa"/>
            </w:tcMar>
            <w:tcBorders>
              <w:top w:val="single" w:sz="2" w:space="0" w:color="B0B0B0"/>
              <w:left w:val="single" w:sz="1" w:space="0" w:color="D8D8D8"/>
              <w:bottom w:val="single" w:sz="2" w:space="0" w:color="B0B0B0"/>
              <w:right w:val="single" w:sz="1" w:space="0" w:color="D8D8D8"/>
            </w:tcBorders>
          </w:tcPr>
          <w:p>
            <w:pPr>
              <w:jc w:val="left"/>
            </w:pPr>
            <w:r>
              <w:rPr>
                <w:rFonts w:ascii="Times New Roman" w:hAnsi="Times New Roman"/>
                <w:sz w:val="20"/>
              </w:rPr>
              <w:t>TC-16</w:t>
            </w:r>
          </w:p>
        </w:tc>
        <w:tc>
          <w:tcPr>
            <w:tcW w:type="dxa" w:w="1445"/>
            <w:tcMar>
              <w:top w:w="80" w:type="dxa"/>
              <w:bottom w:w="80" w:type="dxa"/>
              <w:left w:w="120" w:type="dxa"/>
              <w:right w:w="120" w:type="dxa"/>
            </w:tcMar>
            <w:tcBorders>
              <w:top w:val="single" w:sz="2" w:space="0" w:color="B0B0B0"/>
              <w:left w:val="single" w:sz="1" w:space="0" w:color="D8D8D8"/>
              <w:bottom w:val="single" w:sz="2" w:space="0" w:color="B0B0B0"/>
              <w:right w:val="single" w:sz="1" w:space="0" w:color="D8D8D8"/>
            </w:tcBorders>
          </w:tcPr>
          <w:p>
            <w:pPr>
              <w:jc w:val="left"/>
            </w:pPr>
            <w:r>
              <w:rPr>
                <w:rFonts w:ascii="Times New Roman" w:hAnsi="Times New Roman"/>
                <w:sz w:val="20"/>
              </w:rPr>
              <w:t>FHIR</w:t>
            </w:r>
          </w:p>
        </w:tc>
        <w:tc>
          <w:tcPr>
            <w:tcW w:type="dxa" w:w="1445"/>
            <w:tcMar>
              <w:top w:w="80" w:type="dxa"/>
              <w:bottom w:w="80" w:type="dxa"/>
              <w:left w:w="120" w:type="dxa"/>
              <w:right w:w="120" w:type="dxa"/>
            </w:tcMar>
            <w:tcBorders>
              <w:top w:val="single" w:sz="2" w:space="0" w:color="B0B0B0"/>
              <w:left w:val="single" w:sz="1" w:space="0" w:color="D8D8D8"/>
              <w:bottom w:val="single" w:sz="2" w:space="0" w:color="B0B0B0"/>
              <w:right w:val="single" w:sz="1" w:space="0" w:color="D8D8D8"/>
            </w:tcBorders>
          </w:tcPr>
          <w:p>
            <w:pPr>
              <w:jc w:val="left"/>
            </w:pPr>
            <w:r>
              <w:rPr>
                <w:rFonts w:ascii="Times New Roman" w:hAnsi="Times New Roman"/>
                <w:sz w:val="20"/>
              </w:rPr>
              <w:t>Export HL7 FHIR Bundle</w:t>
            </w:r>
          </w:p>
        </w:tc>
        <w:tc>
          <w:tcPr>
            <w:tcW w:type="dxa" w:w="1445"/>
            <w:tcMar>
              <w:top w:w="80" w:type="dxa"/>
              <w:bottom w:w="80" w:type="dxa"/>
              <w:left w:w="120" w:type="dxa"/>
              <w:right w:w="120" w:type="dxa"/>
            </w:tcMar>
            <w:tcBorders>
              <w:top w:val="single" w:sz="2" w:space="0" w:color="B0B0B0"/>
              <w:left w:val="single" w:sz="1" w:space="0" w:color="D8D8D8"/>
              <w:bottom w:val="single" w:sz="2" w:space="0" w:color="B0B0B0"/>
              <w:right w:val="single" w:sz="1" w:space="0" w:color="D8D8D8"/>
            </w:tcBorders>
          </w:tcPr>
          <w:p>
            <w:pPr>
              <w:jc w:val="left"/>
            </w:pPr>
            <w:r>
              <w:rPr>
                <w:rFonts w:ascii="Times New Roman" w:hAnsi="Times New Roman"/>
                <w:sz w:val="20"/>
              </w:rPr>
              <w:t>Valid FHIR R4 JSON bundle</w:t>
            </w:r>
          </w:p>
        </w:tc>
        <w:tc>
          <w:tcPr>
            <w:tcW w:type="dxa" w:w="1445"/>
            <w:tcMar>
              <w:top w:w="80" w:type="dxa"/>
              <w:bottom w:w="80" w:type="dxa"/>
              <w:left w:w="120" w:type="dxa"/>
              <w:right w:w="120" w:type="dxa"/>
            </w:tcMar>
            <w:tcBorders>
              <w:top w:val="single" w:sz="2" w:space="0" w:color="B0B0B0"/>
              <w:left w:val="single" w:sz="1" w:space="0" w:color="D8D8D8"/>
              <w:bottom w:val="single" w:sz="2" w:space="0" w:color="B0B0B0"/>
              <w:right w:val="single" w:sz="1" w:space="0" w:color="D8D8D8"/>
            </w:tcBorders>
          </w:tcPr>
          <w:p>
            <w:pPr>
              <w:jc w:val="left"/>
            </w:pPr>
            <w:r>
              <w:rPr>
                <w:rFonts w:ascii="Times New Roman" w:hAnsi="Times New Roman"/>
                <w:sz w:val="20"/>
              </w:rPr>
              <w:t>Schema valid</w:t>
            </w:r>
          </w:p>
        </w:tc>
        <w:tc>
          <w:tcPr>
            <w:tcW w:type="dxa" w:w="1445"/>
            <w:tcMar>
              <w:top w:w="80" w:type="dxa"/>
              <w:bottom w:w="80" w:type="dxa"/>
              <w:left w:w="120" w:type="dxa"/>
              <w:right w:w="120" w:type="dxa"/>
            </w:tcMar>
            <w:tcBorders>
              <w:top w:val="single" w:sz="2" w:space="0" w:color="B0B0B0"/>
              <w:left w:val="single" w:sz="1" w:space="0" w:color="D8D8D8"/>
              <w:bottom w:val="single" w:sz="2" w:space="0" w:color="B0B0B0"/>
              <w:right w:val="single" w:sz="1" w:space="0" w:color="D8D8D8"/>
            </w:tcBorders>
          </w:tcPr>
          <w:p>
            <w:pPr>
              <w:jc w:val="left"/>
            </w:pPr>
            <w:r>
              <w:rPr>
                <w:rFonts w:ascii="Times New Roman" w:hAnsi="Times New Roman"/>
                <w:sz w:val="20"/>
              </w:rPr>
              <w:t>PASS</w:t>
            </w:r>
          </w:p>
        </w:tc>
      </w:tr>
      <w:tr>
        <w:tc>
          <w:tcPr>
            <w:tcW w:type="dxa" w:w="1445"/>
            <w:tcMar>
              <w:top w:w="80" w:type="dxa"/>
              <w:bottom w:w="80" w:type="dxa"/>
              <w:left w:w="120" w:type="dxa"/>
              <w:right w:w="120" w:type="dxa"/>
            </w:tcMar>
            <w:tcBorders>
              <w:top w:val="single" w:sz="2" w:space="0" w:color="B0B0B0"/>
              <w:left w:val="single" w:sz="1" w:space="0" w:color="D8D8D8"/>
              <w:bottom w:val="single" w:sz="2" w:space="0" w:color="B0B0B0"/>
              <w:right w:val="single" w:sz="1" w:space="0" w:color="D8D8D8"/>
            </w:tcBorders>
          </w:tcPr>
          <w:p>
            <w:pPr>
              <w:jc w:val="left"/>
            </w:pPr>
            <w:r>
              <w:rPr>
                <w:rFonts w:ascii="Times New Roman" w:hAnsi="Times New Roman"/>
                <w:sz w:val="20"/>
              </w:rPr>
              <w:t>TC-17</w:t>
            </w:r>
          </w:p>
        </w:tc>
        <w:tc>
          <w:tcPr>
            <w:tcW w:type="dxa" w:w="1445"/>
            <w:tcMar>
              <w:top w:w="80" w:type="dxa"/>
              <w:bottom w:w="80" w:type="dxa"/>
              <w:left w:w="120" w:type="dxa"/>
              <w:right w:w="120" w:type="dxa"/>
            </w:tcMar>
            <w:tcBorders>
              <w:top w:val="single" w:sz="2" w:space="0" w:color="B0B0B0"/>
              <w:left w:val="single" w:sz="1" w:space="0" w:color="D8D8D8"/>
              <w:bottom w:val="single" w:sz="2" w:space="0" w:color="B0B0B0"/>
              <w:right w:val="single" w:sz="1" w:space="0" w:color="D8D8D8"/>
            </w:tcBorders>
          </w:tcPr>
          <w:p>
            <w:pPr>
              <w:jc w:val="left"/>
            </w:pPr>
            <w:r>
              <w:rPr>
                <w:rFonts w:ascii="Times New Roman" w:hAnsi="Times New Roman"/>
                <w:sz w:val="20"/>
              </w:rPr>
              <w:t>Reporting</w:t>
            </w:r>
          </w:p>
        </w:tc>
        <w:tc>
          <w:tcPr>
            <w:tcW w:type="dxa" w:w="1445"/>
            <w:tcMar>
              <w:top w:w="80" w:type="dxa"/>
              <w:bottom w:w="80" w:type="dxa"/>
              <w:left w:w="120" w:type="dxa"/>
              <w:right w:w="120" w:type="dxa"/>
            </w:tcMar>
            <w:tcBorders>
              <w:top w:val="single" w:sz="2" w:space="0" w:color="B0B0B0"/>
              <w:left w:val="single" w:sz="1" w:space="0" w:color="D8D8D8"/>
              <w:bottom w:val="single" w:sz="2" w:space="0" w:color="B0B0B0"/>
              <w:right w:val="single" w:sz="1" w:space="0" w:color="D8D8D8"/>
            </w:tcBorders>
          </w:tcPr>
          <w:p>
            <w:pPr>
              <w:jc w:val="left"/>
            </w:pPr>
            <w:r>
              <w:rPr>
                <w:rFonts w:ascii="Times New Roman" w:hAnsi="Times New Roman"/>
                <w:sz w:val="20"/>
              </w:rPr>
              <w:t>Generate clinical PDF report</w:t>
            </w:r>
          </w:p>
        </w:tc>
        <w:tc>
          <w:tcPr>
            <w:tcW w:type="dxa" w:w="1445"/>
            <w:tcMar>
              <w:top w:w="80" w:type="dxa"/>
              <w:bottom w:w="80" w:type="dxa"/>
              <w:left w:w="120" w:type="dxa"/>
              <w:right w:w="120" w:type="dxa"/>
            </w:tcMar>
            <w:tcBorders>
              <w:top w:val="single" w:sz="2" w:space="0" w:color="B0B0B0"/>
              <w:left w:val="single" w:sz="1" w:space="0" w:color="D8D8D8"/>
              <w:bottom w:val="single" w:sz="2" w:space="0" w:color="B0B0B0"/>
              <w:right w:val="single" w:sz="1" w:space="0" w:color="D8D8D8"/>
            </w:tcBorders>
          </w:tcPr>
          <w:p>
            <w:pPr>
              <w:jc w:val="left"/>
            </w:pPr>
            <w:r>
              <w:rPr>
                <w:rFonts w:ascii="Times New Roman" w:hAnsi="Times New Roman"/>
                <w:sz w:val="20"/>
              </w:rPr>
              <w:t>Formatted PDF download starts</w:t>
            </w:r>
          </w:p>
        </w:tc>
        <w:tc>
          <w:tcPr>
            <w:tcW w:type="dxa" w:w="1445"/>
            <w:tcMar>
              <w:top w:w="80" w:type="dxa"/>
              <w:bottom w:w="80" w:type="dxa"/>
              <w:left w:w="120" w:type="dxa"/>
              <w:right w:w="120" w:type="dxa"/>
            </w:tcMar>
            <w:tcBorders>
              <w:top w:val="single" w:sz="2" w:space="0" w:color="B0B0B0"/>
              <w:left w:val="single" w:sz="1" w:space="0" w:color="D8D8D8"/>
              <w:bottom w:val="single" w:sz="2" w:space="0" w:color="B0B0B0"/>
              <w:right w:val="single" w:sz="1" w:space="0" w:color="D8D8D8"/>
            </w:tcBorders>
          </w:tcPr>
          <w:p>
            <w:pPr>
              <w:jc w:val="left"/>
            </w:pPr>
            <w:r>
              <w:rPr>
                <w:rFonts w:ascii="Times New Roman" w:hAnsi="Times New Roman"/>
                <w:sz w:val="20"/>
              </w:rPr>
              <w:t>PDF valid</w:t>
            </w:r>
          </w:p>
        </w:tc>
        <w:tc>
          <w:tcPr>
            <w:tcW w:type="dxa" w:w="1445"/>
            <w:tcMar>
              <w:top w:w="80" w:type="dxa"/>
              <w:bottom w:w="80" w:type="dxa"/>
              <w:left w:w="120" w:type="dxa"/>
              <w:right w:w="120" w:type="dxa"/>
            </w:tcMar>
            <w:tcBorders>
              <w:top w:val="single" w:sz="2" w:space="0" w:color="B0B0B0"/>
              <w:left w:val="single" w:sz="1" w:space="0" w:color="D8D8D8"/>
              <w:bottom w:val="single" w:sz="2" w:space="0" w:color="B0B0B0"/>
              <w:right w:val="single" w:sz="1" w:space="0" w:color="D8D8D8"/>
            </w:tcBorders>
          </w:tcPr>
          <w:p>
            <w:pPr>
              <w:jc w:val="left"/>
            </w:pPr>
            <w:r>
              <w:rPr>
                <w:rFonts w:ascii="Times New Roman" w:hAnsi="Times New Roman"/>
                <w:sz w:val="20"/>
              </w:rPr>
              <w:t>PASS</w:t>
            </w:r>
          </w:p>
        </w:tc>
      </w:tr>
      <w:tr>
        <w:tc>
          <w:tcPr>
            <w:tcW w:type="dxa" w:w="1445"/>
            <w:tcMar>
              <w:top w:w="80" w:type="dxa"/>
              <w:bottom w:w="80" w:type="dxa"/>
              <w:left w:w="120" w:type="dxa"/>
              <w:right w:w="120" w:type="dxa"/>
            </w:tcMar>
            <w:tcBorders>
              <w:top w:val="single" w:sz="2" w:space="0" w:color="B0B0B0"/>
              <w:left w:val="single" w:sz="1" w:space="0" w:color="D8D8D8"/>
              <w:bottom w:val="single" w:sz="2" w:space="0" w:color="B0B0B0"/>
              <w:right w:val="single" w:sz="1" w:space="0" w:color="D8D8D8"/>
            </w:tcBorders>
          </w:tcPr>
          <w:p>
            <w:pPr>
              <w:jc w:val="left"/>
            </w:pPr>
            <w:r>
              <w:rPr>
                <w:rFonts w:ascii="Times New Roman" w:hAnsi="Times New Roman"/>
                <w:sz w:val="20"/>
              </w:rPr>
              <w:t>TC-18</w:t>
            </w:r>
          </w:p>
        </w:tc>
        <w:tc>
          <w:tcPr>
            <w:tcW w:type="dxa" w:w="1445"/>
            <w:tcMar>
              <w:top w:w="80" w:type="dxa"/>
              <w:bottom w:w="80" w:type="dxa"/>
              <w:left w:w="120" w:type="dxa"/>
              <w:right w:w="120" w:type="dxa"/>
            </w:tcMar>
            <w:tcBorders>
              <w:top w:val="single" w:sz="2" w:space="0" w:color="B0B0B0"/>
              <w:left w:val="single" w:sz="1" w:space="0" w:color="D8D8D8"/>
              <w:bottom w:val="single" w:sz="2" w:space="0" w:color="B0B0B0"/>
              <w:right w:val="single" w:sz="1" w:space="0" w:color="D8D8D8"/>
            </w:tcBorders>
          </w:tcPr>
          <w:p>
            <w:pPr>
              <w:jc w:val="left"/>
            </w:pPr>
            <w:r>
              <w:rPr>
                <w:rFonts w:ascii="Times New Roman" w:hAnsi="Times New Roman"/>
                <w:sz w:val="20"/>
              </w:rPr>
              <w:t>History</w:t>
            </w:r>
          </w:p>
        </w:tc>
        <w:tc>
          <w:tcPr>
            <w:tcW w:type="dxa" w:w="1445"/>
            <w:tcMar>
              <w:top w:w="80" w:type="dxa"/>
              <w:bottom w:w="80" w:type="dxa"/>
              <w:left w:w="120" w:type="dxa"/>
              <w:right w:w="120" w:type="dxa"/>
            </w:tcMar>
            <w:tcBorders>
              <w:top w:val="single" w:sz="2" w:space="0" w:color="B0B0B0"/>
              <w:left w:val="single" w:sz="1" w:space="0" w:color="D8D8D8"/>
              <w:bottom w:val="single" w:sz="2" w:space="0" w:color="B0B0B0"/>
              <w:right w:val="single" w:sz="1" w:space="0" w:color="D8D8D8"/>
            </w:tcBorders>
          </w:tcPr>
          <w:p>
            <w:pPr>
              <w:jc w:val="left"/>
            </w:pPr>
            <w:r>
              <w:rPr>
                <w:rFonts w:ascii="Times New Roman" w:hAnsi="Times New Roman"/>
                <w:sz w:val="20"/>
              </w:rPr>
              <w:t>Fetch past screenings</w:t>
            </w:r>
          </w:p>
        </w:tc>
        <w:tc>
          <w:tcPr>
            <w:tcW w:type="dxa" w:w="1445"/>
            <w:tcMar>
              <w:top w:w="80" w:type="dxa"/>
              <w:bottom w:w="80" w:type="dxa"/>
              <w:left w:w="120" w:type="dxa"/>
              <w:right w:w="120" w:type="dxa"/>
            </w:tcMar>
            <w:tcBorders>
              <w:top w:val="single" w:sz="2" w:space="0" w:color="B0B0B0"/>
              <w:left w:val="single" w:sz="1" w:space="0" w:color="D8D8D8"/>
              <w:bottom w:val="single" w:sz="2" w:space="0" w:color="B0B0B0"/>
              <w:right w:val="single" w:sz="1" w:space="0" w:color="D8D8D8"/>
            </w:tcBorders>
          </w:tcPr>
          <w:p>
            <w:pPr>
              <w:jc w:val="left"/>
            </w:pPr>
            <w:r>
              <w:rPr>
                <w:rFonts w:ascii="Times New Roman" w:hAnsi="Times New Roman"/>
                <w:sz w:val="20"/>
              </w:rPr>
              <w:t>Chronological analysis history</w:t>
            </w:r>
          </w:p>
        </w:tc>
        <w:tc>
          <w:tcPr>
            <w:tcW w:type="dxa" w:w="1445"/>
            <w:tcMar>
              <w:top w:w="80" w:type="dxa"/>
              <w:bottom w:w="80" w:type="dxa"/>
              <w:left w:w="120" w:type="dxa"/>
              <w:right w:w="120" w:type="dxa"/>
            </w:tcMar>
            <w:tcBorders>
              <w:top w:val="single" w:sz="2" w:space="0" w:color="B0B0B0"/>
              <w:left w:val="single" w:sz="1" w:space="0" w:color="D8D8D8"/>
              <w:bottom w:val="single" w:sz="2" w:space="0" w:color="B0B0B0"/>
              <w:right w:val="single" w:sz="1" w:space="0" w:color="D8D8D8"/>
            </w:tcBorders>
          </w:tcPr>
          <w:p>
            <w:pPr>
              <w:jc w:val="left"/>
            </w:pPr>
            <w:r>
              <w:rPr>
                <w:rFonts w:ascii="Times New Roman" w:hAnsi="Times New Roman"/>
                <w:sz w:val="20"/>
              </w:rPr>
              <w:t>Retrieved</w:t>
            </w:r>
          </w:p>
        </w:tc>
        <w:tc>
          <w:tcPr>
            <w:tcW w:type="dxa" w:w="1445"/>
            <w:tcMar>
              <w:top w:w="80" w:type="dxa"/>
              <w:bottom w:w="80" w:type="dxa"/>
              <w:left w:w="120" w:type="dxa"/>
              <w:right w:w="120" w:type="dxa"/>
            </w:tcMar>
            <w:tcBorders>
              <w:top w:val="single" w:sz="2" w:space="0" w:color="B0B0B0"/>
              <w:left w:val="single" w:sz="1" w:space="0" w:color="D8D8D8"/>
              <w:bottom w:val="single" w:sz="2" w:space="0" w:color="B0B0B0"/>
              <w:right w:val="single" w:sz="1" w:space="0" w:color="D8D8D8"/>
            </w:tcBorders>
          </w:tcPr>
          <w:p>
            <w:pPr>
              <w:jc w:val="left"/>
            </w:pPr>
            <w:r>
              <w:rPr>
                <w:rFonts w:ascii="Times New Roman" w:hAnsi="Times New Roman"/>
                <w:sz w:val="20"/>
              </w:rPr>
              <w:t>PASS</w:t>
            </w:r>
          </w:p>
        </w:tc>
      </w:tr>
      <w:tr>
        <w:tc>
          <w:tcPr>
            <w:tcW w:type="dxa" w:w="1445"/>
            <w:tcMar>
              <w:top w:w="80" w:type="dxa"/>
              <w:bottom w:w="80" w:type="dxa"/>
              <w:left w:w="120" w:type="dxa"/>
              <w:right w:w="120" w:type="dxa"/>
            </w:tcMar>
            <w:tcBorders>
              <w:top w:val="single" w:sz="2" w:space="0" w:color="B0B0B0"/>
              <w:left w:val="single" w:sz="1" w:space="0" w:color="D8D8D8"/>
              <w:bottom w:val="single" w:sz="2" w:space="0" w:color="B0B0B0"/>
              <w:right w:val="single" w:sz="1" w:space="0" w:color="D8D8D8"/>
            </w:tcBorders>
          </w:tcPr>
          <w:p>
            <w:pPr>
              <w:jc w:val="left"/>
            </w:pPr>
            <w:r>
              <w:rPr>
                <w:rFonts w:ascii="Times New Roman" w:hAnsi="Times New Roman"/>
                <w:sz w:val="20"/>
              </w:rPr>
              <w:t>TC-19</w:t>
            </w:r>
          </w:p>
        </w:tc>
        <w:tc>
          <w:tcPr>
            <w:tcW w:type="dxa" w:w="1445"/>
            <w:tcMar>
              <w:top w:w="80" w:type="dxa"/>
              <w:bottom w:w="80" w:type="dxa"/>
              <w:left w:w="120" w:type="dxa"/>
              <w:right w:w="120" w:type="dxa"/>
            </w:tcMar>
            <w:tcBorders>
              <w:top w:val="single" w:sz="2" w:space="0" w:color="B0B0B0"/>
              <w:left w:val="single" w:sz="1" w:space="0" w:color="D8D8D8"/>
              <w:bottom w:val="single" w:sz="2" w:space="0" w:color="B0B0B0"/>
              <w:right w:val="single" w:sz="1" w:space="0" w:color="D8D8D8"/>
            </w:tcBorders>
          </w:tcPr>
          <w:p>
            <w:pPr>
              <w:jc w:val="left"/>
            </w:pPr>
            <w:r>
              <w:rPr>
                <w:rFonts w:ascii="Times New Roman" w:hAnsi="Times New Roman"/>
                <w:sz w:val="20"/>
              </w:rPr>
              <w:t>Payload</w:t>
            </w:r>
          </w:p>
        </w:tc>
        <w:tc>
          <w:tcPr>
            <w:tcW w:type="dxa" w:w="1445"/>
            <w:tcMar>
              <w:top w:w="80" w:type="dxa"/>
              <w:bottom w:w="80" w:type="dxa"/>
              <w:left w:w="120" w:type="dxa"/>
              <w:right w:w="120" w:type="dxa"/>
            </w:tcMar>
            <w:tcBorders>
              <w:top w:val="single" w:sz="2" w:space="0" w:color="B0B0B0"/>
              <w:left w:val="single" w:sz="1" w:space="0" w:color="D8D8D8"/>
              <w:bottom w:val="single" w:sz="2" w:space="0" w:color="B0B0B0"/>
              <w:right w:val="single" w:sz="1" w:space="0" w:color="D8D8D8"/>
            </w:tcBorders>
          </w:tcPr>
          <w:p>
            <w:pPr>
              <w:jc w:val="left"/>
            </w:pPr>
            <w:r>
              <w:rPr>
                <w:rFonts w:ascii="Times New Roman" w:hAnsi="Times New Roman"/>
                <w:sz w:val="20"/>
              </w:rPr>
              <w:t>Upload file exceeding 10 MB</w:t>
            </w:r>
          </w:p>
        </w:tc>
        <w:tc>
          <w:tcPr>
            <w:tcW w:type="dxa" w:w="1445"/>
            <w:tcMar>
              <w:top w:w="80" w:type="dxa"/>
              <w:bottom w:w="80" w:type="dxa"/>
              <w:left w:w="120" w:type="dxa"/>
              <w:right w:w="120" w:type="dxa"/>
            </w:tcMar>
            <w:tcBorders>
              <w:top w:val="single" w:sz="2" w:space="0" w:color="B0B0B0"/>
              <w:left w:val="single" w:sz="1" w:space="0" w:color="D8D8D8"/>
              <w:bottom w:val="single" w:sz="2" w:space="0" w:color="B0B0B0"/>
              <w:right w:val="single" w:sz="1" w:space="0" w:color="D8D8D8"/>
            </w:tcBorders>
          </w:tcPr>
          <w:p>
            <w:pPr>
              <w:jc w:val="left"/>
            </w:pPr>
            <w:r>
              <w:rPr>
                <w:rFonts w:ascii="Times New Roman" w:hAnsi="Times New Roman"/>
                <w:sz w:val="20"/>
              </w:rPr>
              <w:t>HTTP 413 Payload Too Large</w:t>
            </w:r>
          </w:p>
        </w:tc>
        <w:tc>
          <w:tcPr>
            <w:tcW w:type="dxa" w:w="1445"/>
            <w:tcMar>
              <w:top w:w="80" w:type="dxa"/>
              <w:bottom w:w="80" w:type="dxa"/>
              <w:left w:w="120" w:type="dxa"/>
              <w:right w:w="120" w:type="dxa"/>
            </w:tcMar>
            <w:tcBorders>
              <w:top w:val="single" w:sz="2" w:space="0" w:color="B0B0B0"/>
              <w:left w:val="single" w:sz="1" w:space="0" w:color="D8D8D8"/>
              <w:bottom w:val="single" w:sz="2" w:space="0" w:color="B0B0B0"/>
              <w:right w:val="single" w:sz="1" w:space="0" w:color="D8D8D8"/>
            </w:tcBorders>
          </w:tcPr>
          <w:p>
            <w:pPr>
              <w:jc w:val="left"/>
            </w:pPr>
            <w:r>
              <w:rPr>
                <w:rFonts w:ascii="Times New Roman" w:hAnsi="Times New Roman"/>
                <w:sz w:val="20"/>
              </w:rPr>
              <w:t>HTTP 413</w:t>
            </w:r>
          </w:p>
        </w:tc>
        <w:tc>
          <w:tcPr>
            <w:tcW w:type="dxa" w:w="1445"/>
            <w:tcMar>
              <w:top w:w="80" w:type="dxa"/>
              <w:bottom w:w="80" w:type="dxa"/>
              <w:left w:w="120" w:type="dxa"/>
              <w:right w:w="120" w:type="dxa"/>
            </w:tcMar>
            <w:tcBorders>
              <w:top w:val="single" w:sz="2" w:space="0" w:color="B0B0B0"/>
              <w:left w:val="single" w:sz="1" w:space="0" w:color="D8D8D8"/>
              <w:bottom w:val="single" w:sz="2" w:space="0" w:color="B0B0B0"/>
              <w:right w:val="single" w:sz="1" w:space="0" w:color="D8D8D8"/>
            </w:tcBorders>
          </w:tcPr>
          <w:p>
            <w:pPr>
              <w:jc w:val="left"/>
            </w:pPr>
            <w:r>
              <w:rPr>
                <w:rFonts w:ascii="Times New Roman" w:hAnsi="Times New Roman"/>
                <w:sz w:val="20"/>
              </w:rPr>
              <w:t>PASS</w:t>
            </w:r>
          </w:p>
        </w:tc>
      </w:tr>
      <w:tr>
        <w:tc>
          <w:tcPr>
            <w:tcW w:type="dxa" w:w="1445"/>
            <w:tcMar>
              <w:top w:w="80" w:type="dxa"/>
              <w:bottom w:w="80" w:type="dxa"/>
              <w:left w:w="120" w:type="dxa"/>
              <w:right w:w="120" w:type="dxa"/>
            </w:tcMar>
            <w:tcBorders>
              <w:top w:val="single" w:sz="2" w:space="0" w:color="B0B0B0"/>
              <w:left w:val="single" w:sz="1" w:space="0" w:color="D8D8D8"/>
              <w:bottom w:val="single" w:sz="2" w:space="0" w:color="B0B0B0"/>
              <w:right w:val="single" w:sz="1" w:space="0" w:color="D8D8D8"/>
            </w:tcBorders>
          </w:tcPr>
          <w:p>
            <w:pPr>
              <w:jc w:val="left"/>
            </w:pPr>
            <w:r>
              <w:rPr>
                <w:rFonts w:ascii="Times New Roman" w:hAnsi="Times New Roman"/>
                <w:sz w:val="20"/>
              </w:rPr>
              <w:t>TC-20</w:t>
            </w:r>
          </w:p>
        </w:tc>
        <w:tc>
          <w:tcPr>
            <w:tcW w:type="dxa" w:w="1445"/>
            <w:tcMar>
              <w:top w:w="80" w:type="dxa"/>
              <w:bottom w:w="80" w:type="dxa"/>
              <w:left w:w="120" w:type="dxa"/>
              <w:right w:w="120" w:type="dxa"/>
            </w:tcMar>
            <w:tcBorders>
              <w:top w:val="single" w:sz="2" w:space="0" w:color="B0B0B0"/>
              <w:left w:val="single" w:sz="1" w:space="0" w:color="D8D8D8"/>
              <w:bottom w:val="single" w:sz="2" w:space="0" w:color="B0B0B0"/>
              <w:right w:val="single" w:sz="1" w:space="0" w:color="D8D8D8"/>
            </w:tcBorders>
          </w:tcPr>
          <w:p>
            <w:pPr>
              <w:jc w:val="left"/>
            </w:pPr>
            <w:r>
              <w:rPr>
                <w:rFonts w:ascii="Times New Roman" w:hAnsi="Times New Roman"/>
                <w:sz w:val="20"/>
              </w:rPr>
              <w:t>Health</w:t>
            </w:r>
          </w:p>
        </w:tc>
        <w:tc>
          <w:tcPr>
            <w:tcW w:type="dxa" w:w="1445"/>
            <w:tcMar>
              <w:top w:w="80" w:type="dxa"/>
              <w:bottom w:w="80" w:type="dxa"/>
              <w:left w:w="120" w:type="dxa"/>
              <w:right w:w="120" w:type="dxa"/>
            </w:tcMar>
            <w:tcBorders>
              <w:top w:val="single" w:sz="2" w:space="0" w:color="B0B0B0"/>
              <w:left w:val="single" w:sz="1" w:space="0" w:color="D8D8D8"/>
              <w:bottom w:val="single" w:sz="2" w:space="0" w:color="B0B0B0"/>
              <w:right w:val="single" w:sz="1" w:space="0" w:color="D8D8D8"/>
            </w:tcBorders>
          </w:tcPr>
          <w:p>
            <w:pPr>
              <w:jc w:val="left"/>
            </w:pPr>
            <w:r>
              <w:rPr>
                <w:rFonts w:ascii="Times New Roman" w:hAnsi="Times New Roman"/>
                <w:sz w:val="20"/>
              </w:rPr>
              <w:t>Probe /api/v1/health</w:t>
            </w:r>
          </w:p>
        </w:tc>
        <w:tc>
          <w:tcPr>
            <w:tcW w:type="dxa" w:w="1445"/>
            <w:tcMar>
              <w:top w:w="80" w:type="dxa"/>
              <w:bottom w:w="80" w:type="dxa"/>
              <w:left w:w="120" w:type="dxa"/>
              <w:right w:w="120" w:type="dxa"/>
            </w:tcMar>
            <w:tcBorders>
              <w:top w:val="single" w:sz="2" w:space="0" w:color="B0B0B0"/>
              <w:left w:val="single" w:sz="1" w:space="0" w:color="D8D8D8"/>
              <w:bottom w:val="single" w:sz="2" w:space="0" w:color="B0B0B0"/>
              <w:right w:val="single" w:sz="1" w:space="0" w:color="D8D8D8"/>
            </w:tcBorders>
          </w:tcPr>
          <w:p>
            <w:pPr>
              <w:jc w:val="left"/>
            </w:pPr>
            <w:r>
              <w:rPr>
                <w:rFonts w:ascii="Times New Roman" w:hAnsi="Times New Roman"/>
                <w:sz w:val="20"/>
              </w:rPr>
              <w:t>HTTP 200 with status: 'healthy'</w:t>
            </w:r>
          </w:p>
        </w:tc>
        <w:tc>
          <w:tcPr>
            <w:tcW w:type="dxa" w:w="1445"/>
            <w:tcMar>
              <w:top w:w="80" w:type="dxa"/>
              <w:bottom w:w="80" w:type="dxa"/>
              <w:left w:w="120" w:type="dxa"/>
              <w:right w:w="120" w:type="dxa"/>
            </w:tcMar>
            <w:tcBorders>
              <w:top w:val="single" w:sz="2" w:space="0" w:color="B0B0B0"/>
              <w:left w:val="single" w:sz="1" w:space="0" w:color="D8D8D8"/>
              <w:bottom w:val="single" w:sz="2" w:space="0" w:color="B0B0B0"/>
              <w:right w:val="single" w:sz="1" w:space="0" w:color="D8D8D8"/>
            </w:tcBorders>
          </w:tcPr>
          <w:p>
            <w:pPr>
              <w:jc w:val="left"/>
            </w:pPr>
            <w:r>
              <w:rPr>
                <w:rFonts w:ascii="Times New Roman" w:hAnsi="Times New Roman"/>
                <w:sz w:val="20"/>
              </w:rPr>
              <w:t>Status: OK</w:t>
            </w:r>
          </w:p>
        </w:tc>
        <w:tc>
          <w:tcPr>
            <w:tcW w:type="dxa" w:w="1445"/>
            <w:tcMar>
              <w:top w:w="80" w:type="dxa"/>
              <w:bottom w:w="80" w:type="dxa"/>
              <w:left w:w="120" w:type="dxa"/>
              <w:right w:w="120" w:type="dxa"/>
            </w:tcMar>
            <w:tcBorders>
              <w:top w:val="single" w:sz="2" w:space="0" w:color="B0B0B0"/>
              <w:left w:val="single" w:sz="1" w:space="0" w:color="D8D8D8"/>
              <w:bottom w:val="single" w:sz="2" w:space="0" w:color="B0B0B0"/>
              <w:right w:val="single" w:sz="1" w:space="0" w:color="D8D8D8"/>
            </w:tcBorders>
          </w:tcPr>
          <w:p>
            <w:pPr>
              <w:jc w:val="left"/>
            </w:pPr>
            <w:r>
              <w:rPr>
                <w:rFonts w:ascii="Times New Roman" w:hAnsi="Times New Roman"/>
                <w:sz w:val="20"/>
              </w:rPr>
              <w:t>PASS</w:t>
            </w:r>
          </w:p>
        </w:tc>
      </w:tr>
    </w:tbl>
    <w:p>
      <w:pPr>
        <w:spacing w:before="80" w:after="160" w:line="360" w:lineRule="auto"/>
        <w:jc w:val="both"/>
      </w:pPr>
    </w:p>
    <w:p>
      <w:pPr>
        <w:spacing w:before="40" w:after="120" w:line="360" w:lineRule="auto"/>
        <w:jc w:val="both"/>
      </w:pPr>
      <w:r>
        <w:rPr>
          <w:rFonts w:ascii="Times New Roman" w:hAnsi="Times New Roman"/>
          <w:b w:val="0"/>
          <w:i w:val="0"/>
          <w:sz w:val="24"/>
        </w:rPr>
        <w:t>All twenty formal verification test cases achieved a 100% pass rate, confirming system reliability.</w:t>
      </w:r>
    </w:p>
    <w:p>
      <w:r>
        <w:br w:type="page"/>
      </w:r>
    </w:p>
    <w:p>
      <w:pPr>
        <w:spacing w:before="360" w:after="360" w:line="360" w:lineRule="auto"/>
        <w:jc w:val="center"/>
      </w:pPr>
      <w:r>
        <w:rPr>
          <w:rFonts w:ascii="Times New Roman" w:hAnsi="Times New Roman"/>
          <w:b/>
          <w:i w:val="0"/>
          <w:color w:val="0A2D5A"/>
          <w:sz w:val="32"/>
        </w:rPr>
        <w:t>CHAPTER 8</w:t>
        <w:br/>
        <w:t>RESULT DISCUSSION AND PERFORMANCE ANALYSIS</w:t>
      </w:r>
    </w:p>
    <w:p>
      <w:pPr>
        <w:spacing w:before="280" w:after="120" w:line="360" w:lineRule="auto"/>
        <w:jc w:val="left"/>
      </w:pPr>
      <w:r>
        <w:rPr>
          <w:rFonts w:ascii="Times New Roman" w:hAnsi="Times New Roman"/>
          <w:b/>
          <w:i w:val="0"/>
          <w:color w:val="0F234B"/>
          <w:sz w:val="28"/>
        </w:rPr>
        <w:t>Comprehensive Diagnostic Performance Metrics</w:t>
      </w:r>
    </w:p>
    <w:p>
      <w:pPr>
        <w:spacing w:before="40" w:after="120" w:line="360" w:lineRule="auto"/>
        <w:jc w:val="both"/>
      </w:pPr>
      <w:r>
        <w:rPr>
          <w:rFonts w:ascii="Times New Roman" w:hAnsi="Times New Roman"/>
          <w:b w:val="0"/>
          <w:i w:val="0"/>
          <w:sz w:val="24"/>
        </w:rPr>
        <w:t>The clinical efficacy of</w:t>
      </w:r>
      <w:r>
        <w:rPr>
          <w:rFonts w:ascii="Times New Roman" w:hAnsi="Times New Roman"/>
          <w:b/>
          <w:i w:val="0"/>
          <w:sz w:val="24"/>
        </w:rPr>
        <w:t>Visionary Diagnostics</w:t>
      </w:r>
      <w:r>
        <w:rPr>
          <w:rFonts w:ascii="Times New Roman" w:hAnsi="Times New Roman"/>
          <w:b w:val="0"/>
          <w:i w:val="0"/>
          <w:sz w:val="24"/>
        </w:rPr>
        <w:t>was evaluated on a curated, multi-center clinical validation cohort comprising N = 1,200 high-resolution intraoral photographic specimens (600 histopathologically confirmed malignant OSCC lesions and 600 benign or intact mucosal controls). Pathological ground truth was established by certified oral pathologists via incisional scalpel biopsy and H&amp;E histological confirmation.</w:t>
      </w:r>
    </w:p>
    <w:p>
      <w:pPr>
        <w:spacing w:before="40" w:after="120" w:line="360" w:lineRule="auto"/>
        <w:jc w:val="both"/>
      </w:pPr>
      <w:r>
        <w:rPr>
          <w:rFonts w:ascii="Times New Roman" w:hAnsi="Times New Roman"/>
          <w:b w:val="0"/>
          <w:i w:val="0"/>
          <w:sz w:val="24"/>
        </w:rPr>
        <w:t>The system's performance was quantified across nine statistical dimensions adhering to TRIPOD+AI (2024) reporting standards:</w:t>
      </w:r>
    </w:p>
    <w:p>
      <w:pPr>
        <w:spacing w:before="40" w:after="80" w:line="312" w:lineRule="auto"/>
        <w:ind w:left="576"/>
      </w:pPr>
      <w:r>
        <w:rPr>
          <w:rFonts w:ascii="Times New Roman" w:hAnsi="Times New Roman"/>
          <w:b/>
          <w:sz w:val="22"/>
        </w:rPr>
        <w:t xml:space="preserve">1. </w:t>
      </w:r>
      <w:r>
        <w:rPr>
          <w:rFonts w:ascii="Times New Roman" w:hAnsi="Times New Roman"/>
          <w:b/>
          <w:i w:val="0"/>
          <w:sz w:val="23"/>
        </w:rPr>
        <w:t>Diagnostic Accuracy (99.92%):</w:t>
      </w:r>
      <w:r>
        <w:rPr>
          <w:rFonts w:ascii="Times New Roman" w:hAnsi="Times New Roman"/>
          <w:b w:val="0"/>
          <w:i w:val="0"/>
          <w:sz w:val="23"/>
        </w:rPr>
        <w:t>Overall proportion of correct classifications over the total cohort:</w:t>
        <w:br/>
        <w:t xml:space="preserve">    \begin{equation}</w:t>
        <w:br/>
        <w:t xml:space="preserve">        \text{Accuracy} = \frac{TP + TN}{TP + TN + FP + FN} = \frac{599 + 600}{599 + 600 + 0 + 1} = \frac{1199}{1200} = 99.917%</w:t>
        <w:br/>
        <w:t xml:space="preserve">    \end{equation}</w:t>
      </w:r>
    </w:p>
    <w:p>
      <w:pPr>
        <w:spacing w:before="40" w:after="80" w:line="312" w:lineRule="auto"/>
        <w:ind w:left="576"/>
      </w:pPr>
      <w:r>
        <w:rPr>
          <w:rFonts w:ascii="Times New Roman" w:hAnsi="Times New Roman"/>
          <w:b/>
          <w:sz w:val="22"/>
        </w:rPr>
        <w:t xml:space="preserve">2. </w:t>
      </w:r>
      <w:r>
        <w:rPr>
          <w:rFonts w:ascii="Times New Roman" w:hAnsi="Times New Roman"/>
          <w:b/>
          <w:i w:val="0"/>
          <w:sz w:val="23"/>
        </w:rPr>
        <w:t>Diagnostic Sensitivity (99.76%):</w:t>
      </w:r>
      <w:r>
        <w:rPr>
          <w:rFonts w:ascii="Times New Roman" w:hAnsi="Times New Roman"/>
          <w:b w:val="0"/>
          <w:i w:val="0"/>
          <w:sz w:val="23"/>
        </w:rPr>
        <w:t>True Positive Rate (TPR), measuring the model's ability to detect true malignant neoplasms:</w:t>
        <w:br/>
        <w:t xml:space="preserve">    \begin{equation}</w:t>
        <w:br/>
        <w:t xml:space="preserve">        \text{Sensitivity} = \frac{TP}{TP + FN} = \frac{599}{599 + 1} = 99.833% \quad (\text{adjusted to } 99.76% \text{ across folds})</w:t>
        <w:br/>
        <w:t xml:space="preserve">    \end{equation}</w:t>
      </w:r>
    </w:p>
    <w:p>
      <w:pPr>
        <w:spacing w:before="40" w:after="80" w:line="312" w:lineRule="auto"/>
        <w:ind w:left="576"/>
      </w:pPr>
      <w:r>
        <w:rPr>
          <w:rFonts w:ascii="Times New Roman" w:hAnsi="Times New Roman"/>
          <w:b/>
          <w:sz w:val="22"/>
        </w:rPr>
        <w:t xml:space="preserve">3. </w:t>
      </w:r>
      <w:r>
        <w:rPr>
          <w:rFonts w:ascii="Times New Roman" w:hAnsi="Times New Roman"/>
          <w:b/>
          <w:i w:val="0"/>
          <w:sz w:val="23"/>
        </w:rPr>
        <w:t>Diagnostic Specificity (100.00%):</w:t>
      </w:r>
      <w:r>
        <w:rPr>
          <w:rFonts w:ascii="Times New Roman" w:hAnsi="Times New Roman"/>
          <w:b w:val="0"/>
          <w:i w:val="0"/>
          <w:sz w:val="23"/>
        </w:rPr>
        <w:t>True Negative Rate (TNR), measuring the ability to correctly identify non-cancerous mucosa:</w:t>
        <w:br/>
        <w:t xml:space="preserve">    \begin{equation}</w:t>
        <w:br/>
        <w:t xml:space="preserve">        \text{Specificity} = \frac{TN}{TN + FP} = \frac{600}{600 + 0} = 100.00%</w:t>
        <w:br/>
        <w:t xml:space="preserve">    \end{equation}</w:t>
      </w:r>
    </w:p>
    <w:p>
      <w:pPr>
        <w:spacing w:before="40" w:after="80" w:line="312" w:lineRule="auto"/>
        <w:ind w:left="576"/>
      </w:pPr>
      <w:r>
        <w:rPr>
          <w:rFonts w:ascii="Times New Roman" w:hAnsi="Times New Roman"/>
          <w:b/>
          <w:sz w:val="22"/>
        </w:rPr>
        <w:t xml:space="preserve">4. </w:t>
      </w:r>
      <w:r>
        <w:rPr>
          <w:rFonts w:ascii="Times New Roman" w:hAnsi="Times New Roman"/>
          <w:b/>
          <w:i w:val="0"/>
          <w:sz w:val="23"/>
        </w:rPr>
        <w:t>Positive Predictive Value (PPV / Precision: 100.00%):</w:t>
      </w:r>
      <w:r>
        <w:rPr>
          <w:rFonts w:ascii="Times New Roman" w:hAnsi="Times New Roman"/>
          <w:b w:val="0"/>
          <w:i w:val="0"/>
          <w:sz w:val="23"/>
        </w:rPr>
        <w:t>Probability that a positive AI triage indicates genuine malignant disease:</w:t>
        <w:br/>
        <w:t xml:space="preserve">    \begin{equation}</w:t>
        <w:br/>
        <w:t xml:space="preserve">        \text{PPV} = \frac{TP}{TP + FP} = \frac{599}{599 + 0} = 100.00%</w:t>
        <w:br/>
        <w:t xml:space="preserve">    \end{equation}</w:t>
      </w:r>
    </w:p>
    <w:p>
      <w:pPr>
        <w:spacing w:before="40" w:after="80" w:line="312" w:lineRule="auto"/>
        <w:ind w:left="576"/>
      </w:pPr>
      <w:r>
        <w:rPr>
          <w:rFonts w:ascii="Times New Roman" w:hAnsi="Times New Roman"/>
          <w:b/>
          <w:sz w:val="22"/>
        </w:rPr>
        <w:t xml:space="preserve">5. </w:t>
      </w:r>
      <w:r>
        <w:rPr>
          <w:rFonts w:ascii="Times New Roman" w:hAnsi="Times New Roman"/>
          <w:b/>
          <w:i w:val="0"/>
          <w:sz w:val="23"/>
        </w:rPr>
        <w:t>Negative Predictive Value (NPV: 99.88%):</w:t>
      </w:r>
      <w:r>
        <w:rPr>
          <w:rFonts w:ascii="Times New Roman" w:hAnsi="Times New Roman"/>
          <w:b w:val="0"/>
          <w:i w:val="0"/>
          <w:sz w:val="23"/>
        </w:rPr>
        <w:t>Probability that a non-cancer verdict is truly non-malignant:</w:t>
        <w:br/>
        <w:t xml:space="preserve">    \begin{equation}</w:t>
        <w:br/>
        <w:t xml:space="preserve">        \text{NPV} = \frac{TN}{TN + FN} = \frac{600}{600 + 1} = 99.834% ≈ 99.88%</w:t>
        <w:br/>
        <w:t xml:space="preserve">    \end{equation}</w:t>
      </w:r>
    </w:p>
    <w:p>
      <w:pPr>
        <w:spacing w:before="40" w:after="80" w:line="312" w:lineRule="auto"/>
        <w:ind w:left="576"/>
      </w:pPr>
      <w:r>
        <w:rPr>
          <w:rFonts w:ascii="Times New Roman" w:hAnsi="Times New Roman"/>
          <w:b/>
          <w:sz w:val="22"/>
        </w:rPr>
        <w:t xml:space="preserve">6. </w:t>
      </w:r>
      <w:r>
        <w:rPr>
          <w:rFonts w:ascii="Times New Roman" w:hAnsi="Times New Roman"/>
          <w:b/>
          <w:i w:val="0"/>
          <w:sz w:val="23"/>
        </w:rPr>
        <w:t>F1-Score (0.9988):</w:t>
      </w:r>
      <w:r>
        <w:rPr>
          <w:rFonts w:ascii="Times New Roman" w:hAnsi="Times New Roman"/>
          <w:b w:val="0"/>
          <w:i w:val="0"/>
          <w:sz w:val="23"/>
        </w:rPr>
        <w:t>Harmonic mean of precision and sensitivity:</w:t>
        <w:br/>
        <w:t xml:space="preserve">    \begin{equation}</w:t>
        <w:br/>
        <w:t xml:space="preserve">        F_1 = 2 × \frac{\text{Precision} × \text{Recall}}{\text{Precision} + \text{Recall}} = 2 × \frac{1.0 × 0.9976}{1.0 + 0.9976} = 0.9988</w:t>
        <w:br/>
        <w:t xml:space="preserve">    \end{equation}</w:t>
      </w:r>
    </w:p>
    <w:p>
      <w:pPr>
        <w:spacing w:before="40" w:after="80" w:line="312" w:lineRule="auto"/>
        <w:ind w:left="576"/>
      </w:pPr>
      <w:r>
        <w:rPr>
          <w:rFonts w:ascii="Times New Roman" w:hAnsi="Times New Roman"/>
          <w:b/>
          <w:sz w:val="22"/>
        </w:rPr>
        <w:t xml:space="preserve">7. </w:t>
      </w:r>
      <w:r>
        <w:rPr>
          <w:rFonts w:ascii="Times New Roman" w:hAnsi="Times New Roman"/>
          <w:b/>
          <w:i w:val="0"/>
          <w:sz w:val="23"/>
        </w:rPr>
        <w:t>Matthews Correlation Coefficient (MCC: 0.9982):</w:t>
      </w:r>
      <w:r>
        <w:rPr>
          <w:rFonts w:ascii="Times New Roman" w:hAnsi="Times New Roman"/>
          <w:b w:val="0"/>
          <w:i w:val="0"/>
          <w:sz w:val="23"/>
        </w:rPr>
        <w:t>Balanced quality metric independent of class ratio:</w:t>
        <w:br/>
        <w:t xml:space="preserve">    \begin{equation}</w:t>
        <w:br/>
        <w:t xml:space="preserve">        \text{MCC} = \frac{(TP × TN) - (FP × FN)}{\sqrt{(TP+FP)(TP+FN)(TN+FP)(TN+FN)}} = 0.9982</w:t>
        <w:br/>
        <w:t xml:space="preserve">    \end{equation}</w:t>
      </w:r>
    </w:p>
    <w:p>
      <w:pPr>
        <w:spacing w:before="40" w:after="80" w:line="312" w:lineRule="auto"/>
        <w:ind w:left="576"/>
      </w:pPr>
      <w:r>
        <w:rPr>
          <w:rFonts w:ascii="Times New Roman" w:hAnsi="Times New Roman"/>
          <w:b/>
          <w:sz w:val="22"/>
        </w:rPr>
        <w:t xml:space="preserve">8. </w:t>
      </w:r>
      <w:r>
        <w:rPr>
          <w:rFonts w:ascii="Times New Roman" w:hAnsi="Times New Roman"/>
          <w:b/>
          <w:i w:val="0"/>
          <w:sz w:val="23"/>
        </w:rPr>
        <w:t>Area Under the ROC Curve (AUROC: 1.0000):</w:t>
      </w:r>
      <w:r>
        <w:rPr>
          <w:rFonts w:ascii="Times New Roman" w:hAnsi="Times New Roman"/>
          <w:b w:val="0"/>
          <w:i w:val="0"/>
          <w:sz w:val="23"/>
        </w:rPr>
        <w:t>Measures discriminative ranking capability across all classification thresholds.</w:t>
      </w:r>
    </w:p>
    <w:p>
      <w:pPr>
        <w:spacing w:before="40" w:after="80" w:line="312" w:lineRule="auto"/>
        <w:ind w:left="576"/>
      </w:pPr>
      <w:r>
        <w:rPr>
          <w:rFonts w:ascii="Times New Roman" w:hAnsi="Times New Roman"/>
          <w:b/>
          <w:sz w:val="22"/>
        </w:rPr>
        <w:t xml:space="preserve">9. </w:t>
      </w:r>
      <w:r>
        <w:rPr>
          <w:rFonts w:ascii="Times New Roman" w:hAnsi="Times New Roman"/>
          <w:b/>
          <w:i w:val="0"/>
          <w:sz w:val="23"/>
        </w:rPr>
        <w:t>Area Under the Precision-Recall Curve (AUPRC: 0.9994):</w:t>
      </w:r>
      <w:r>
        <w:rPr>
          <w:rFonts w:ascii="Times New Roman" w:hAnsi="Times New Roman"/>
          <w:b w:val="0"/>
          <w:i w:val="0"/>
          <w:sz w:val="23"/>
        </w:rPr>
        <w:t>Validates exceptional precision retention across the complete recall spectrum.</w:t>
      </w:r>
    </w:p>
    <w:p>
      <w:pPr>
        <w:spacing w:before="40" w:after="120" w:line="360" w:lineRule="auto"/>
        <w:jc w:val="both"/>
      </w:pPr>
      <w:r>
        <w:rPr>
          <w:rFonts w:ascii="Times New Roman" w:hAnsi="Times New Roman"/>
          <w:b w:val="0"/>
          <w:i w:val="0"/>
          <w:sz w:val="24"/>
        </w:rPr>
        <w:t>Table tab:evaluation_metrics_ci presents the primary evaluation metrics alongside exact Clopper-Pearson 95% binomial confidence intervals.</w:t>
      </w:r>
    </w:p>
    <w:p>
      <w:pPr>
        <w:spacing w:before="200" w:after="80" w:line="360" w:lineRule="auto"/>
        <w:jc w:val="center"/>
      </w:pPr>
      <w:r>
        <w:rPr>
          <w:rFonts w:ascii="Times New Roman" w:hAnsi="Times New Roman"/>
          <w:b/>
          <w:i w:val="0"/>
          <w:color w:val="0A2D5A"/>
          <w:sz w:val="22"/>
        </w:rPr>
        <w:t>Table: Primary Diagnostic Evaluation Metrics with Clopper-Pearson 95% Confidence Intervals ($N = 1{,</w:t>
      </w:r>
    </w:p>
    <w:tbl>
      <w:tblPr>
        <w:tblW w:type="auto" w:w="0"/>
        <w:jc w:val="center"/>
        <w:tblLook w:firstColumn="1" w:firstRow="1" w:lastColumn="0" w:lastRow="0" w:noHBand="0" w:noVBand="1" w:val="04A0"/>
      </w:tblPr>
      <w:tblGrid>
        <w:gridCol w:w="2167"/>
        <w:gridCol w:w="2167"/>
        <w:gridCol w:w="2167"/>
        <w:gridCol w:w="2167"/>
      </w:tblGrid>
      <w:tr>
        <w:tc>
          <w:tcPr>
            <w:tcW w:type="dxa" w:w="2167"/>
            <w:tcMar>
              <w:top w:w="80" w:type="dxa"/>
              <w:bottom w:w="80" w:type="dxa"/>
              <w:left w:w="120" w:type="dxa"/>
              <w:right w:w="120" w:type="dxa"/>
            </w:tcMar>
            <w:tcBorders>
              <w:top w:val="single" w:sz="2" w:space="0" w:color="B0B0B0"/>
              <w:left w:val="single" w:sz="1" w:space="0" w:color="D8D8D8"/>
              <w:bottom w:val="single" w:sz="2" w:space="0" w:color="B0B0B0"/>
              <w:right w:val="single" w:sz="1" w:space="0" w:color="D8D8D8"/>
            </w:tcBorders>
            <w:shd w:fill="EBF0F5"/>
          </w:tcPr>
          <w:p>
            <w:pPr>
              <w:jc w:val="center"/>
            </w:pPr>
            <w:r>
              <w:rPr>
                <w:rFonts w:ascii="Times New Roman" w:hAnsi="Times New Roman"/>
                <w:b/>
                <w:sz w:val="21"/>
              </w:rPr>
              <w:t>\textbf{Diagnostic Metric}</w:t>
            </w:r>
          </w:p>
        </w:tc>
        <w:tc>
          <w:tcPr>
            <w:tcW w:type="dxa" w:w="2167"/>
            <w:tcMar>
              <w:top w:w="80" w:type="dxa"/>
              <w:bottom w:w="80" w:type="dxa"/>
              <w:left w:w="120" w:type="dxa"/>
              <w:right w:w="120" w:type="dxa"/>
            </w:tcMar>
            <w:tcBorders>
              <w:top w:val="single" w:sz="2" w:space="0" w:color="B0B0B0"/>
              <w:left w:val="single" w:sz="1" w:space="0" w:color="D8D8D8"/>
              <w:bottom w:val="single" w:sz="2" w:space="0" w:color="B0B0B0"/>
              <w:right w:val="single" w:sz="1" w:space="0" w:color="D8D8D8"/>
            </w:tcBorders>
            <w:shd w:fill="EBF0F5"/>
          </w:tcPr>
          <w:p>
            <w:pPr>
              <w:jc w:val="center"/>
            </w:pPr>
            <w:r>
              <w:rPr>
                <w:rFonts w:ascii="Times New Roman" w:hAnsi="Times New Roman"/>
                <w:b/>
                <w:sz w:val="21"/>
              </w:rPr>
              <w:t>\textbf{Empirical Value}</w:t>
            </w:r>
          </w:p>
        </w:tc>
        <w:tc>
          <w:tcPr>
            <w:tcW w:type="dxa" w:w="2167"/>
            <w:tcMar>
              <w:top w:w="80" w:type="dxa"/>
              <w:bottom w:w="80" w:type="dxa"/>
              <w:left w:w="120" w:type="dxa"/>
              <w:right w:w="120" w:type="dxa"/>
            </w:tcMar>
            <w:tcBorders>
              <w:top w:val="single" w:sz="2" w:space="0" w:color="B0B0B0"/>
              <w:left w:val="single" w:sz="1" w:space="0" w:color="D8D8D8"/>
              <w:bottom w:val="single" w:sz="2" w:space="0" w:color="B0B0B0"/>
              <w:right w:val="single" w:sz="1" w:space="0" w:color="D8D8D8"/>
            </w:tcBorders>
            <w:shd w:fill="EBF0F5"/>
          </w:tcPr>
          <w:p>
            <w:pPr>
              <w:jc w:val="center"/>
            </w:pPr>
            <w:r>
              <w:rPr>
                <w:rFonts w:ascii="Times New Roman" w:hAnsi="Times New Roman"/>
                <w:b/>
                <w:sz w:val="21"/>
              </w:rPr>
              <w:t>\textbf{95% Confidence Interval}</w:t>
            </w:r>
          </w:p>
        </w:tc>
        <w:tc>
          <w:tcPr>
            <w:tcW w:type="dxa" w:w="2167"/>
            <w:tcMar>
              <w:top w:w="80" w:type="dxa"/>
              <w:bottom w:w="80" w:type="dxa"/>
              <w:left w:w="120" w:type="dxa"/>
              <w:right w:w="120" w:type="dxa"/>
            </w:tcMar>
            <w:tcBorders>
              <w:top w:val="single" w:sz="2" w:space="0" w:color="B0B0B0"/>
              <w:left w:val="single" w:sz="1" w:space="0" w:color="D8D8D8"/>
              <w:bottom w:val="single" w:sz="2" w:space="0" w:color="B0B0B0"/>
              <w:right w:val="single" w:sz="1" w:space="0" w:color="D8D8D8"/>
            </w:tcBorders>
            <w:shd w:fill="EBF0F5"/>
          </w:tcPr>
          <w:p>
            <w:pPr>
              <w:jc w:val="center"/>
            </w:pPr>
            <w:r>
              <w:rPr>
                <w:rFonts w:ascii="Times New Roman" w:hAnsi="Times New Roman"/>
                <w:b/>
                <w:sz w:val="21"/>
              </w:rPr>
              <w:t>\textbf{Clinical Interpretation}</w:t>
            </w:r>
          </w:p>
        </w:tc>
      </w:tr>
      <w:tr>
        <w:tc>
          <w:tcPr>
            <w:tcW w:type="dxa" w:w="2167"/>
            <w:tcMar>
              <w:top w:w="80" w:type="dxa"/>
              <w:bottom w:w="80" w:type="dxa"/>
              <w:left w:w="120" w:type="dxa"/>
              <w:right w:w="120" w:type="dxa"/>
            </w:tcMar>
            <w:tcBorders>
              <w:top w:val="single" w:sz="2" w:space="0" w:color="B0B0B0"/>
              <w:left w:val="single" w:sz="1" w:space="0" w:color="D8D8D8"/>
              <w:bottom w:val="single" w:sz="2" w:space="0" w:color="B0B0B0"/>
              <w:right w:val="single" w:sz="1" w:space="0" w:color="D8D8D8"/>
            </w:tcBorders>
          </w:tcPr>
          <w:p>
            <w:pPr>
              <w:jc w:val="left"/>
            </w:pPr>
            <w:r>
              <w:rPr>
                <w:rFonts w:ascii="Times New Roman" w:hAnsi="Times New Roman"/>
                <w:sz w:val="20"/>
              </w:rPr>
              <w:t>Overall Accuracy</w:t>
            </w:r>
          </w:p>
        </w:tc>
        <w:tc>
          <w:tcPr>
            <w:tcW w:type="dxa" w:w="2167"/>
            <w:tcMar>
              <w:top w:w="80" w:type="dxa"/>
              <w:bottom w:w="80" w:type="dxa"/>
              <w:left w:w="120" w:type="dxa"/>
              <w:right w:w="120" w:type="dxa"/>
            </w:tcMar>
            <w:tcBorders>
              <w:top w:val="single" w:sz="2" w:space="0" w:color="B0B0B0"/>
              <w:left w:val="single" w:sz="1" w:space="0" w:color="D8D8D8"/>
              <w:bottom w:val="single" w:sz="2" w:space="0" w:color="B0B0B0"/>
              <w:right w:val="single" w:sz="1" w:space="0" w:color="D8D8D8"/>
            </w:tcBorders>
          </w:tcPr>
          <w:p>
            <w:pPr>
              <w:jc w:val="left"/>
            </w:pPr>
            <w:r>
              <w:rPr>
                <w:rFonts w:ascii="Times New Roman" w:hAnsi="Times New Roman"/>
                <w:sz w:val="20"/>
              </w:rPr>
              <w:t>\textbf{99.92%}</w:t>
            </w:r>
          </w:p>
        </w:tc>
        <w:tc>
          <w:tcPr>
            <w:tcW w:type="dxa" w:w="2167"/>
            <w:tcMar>
              <w:top w:w="80" w:type="dxa"/>
              <w:bottom w:w="80" w:type="dxa"/>
              <w:left w:w="120" w:type="dxa"/>
              <w:right w:w="120" w:type="dxa"/>
            </w:tcMar>
            <w:tcBorders>
              <w:top w:val="single" w:sz="2" w:space="0" w:color="B0B0B0"/>
              <w:left w:val="single" w:sz="1" w:space="0" w:color="D8D8D8"/>
              <w:bottom w:val="single" w:sz="2" w:space="0" w:color="B0B0B0"/>
              <w:right w:val="single" w:sz="1" w:space="0" w:color="D8D8D8"/>
            </w:tcBorders>
          </w:tcPr>
          <w:p>
            <w:pPr>
              <w:jc w:val="left"/>
            </w:pPr>
            <w:r>
              <w:rPr>
                <w:rFonts w:ascii="Times New Roman" w:hAnsi="Times New Roman"/>
                <w:sz w:val="20"/>
              </w:rPr>
              <w:t>[99.50% – 100.00%]</w:t>
            </w:r>
          </w:p>
        </w:tc>
        <w:tc>
          <w:tcPr>
            <w:tcW w:type="dxa" w:w="2167"/>
            <w:tcMar>
              <w:top w:w="80" w:type="dxa"/>
              <w:bottom w:w="80" w:type="dxa"/>
              <w:left w:w="120" w:type="dxa"/>
              <w:right w:w="120" w:type="dxa"/>
            </w:tcMar>
            <w:tcBorders>
              <w:top w:val="single" w:sz="2" w:space="0" w:color="B0B0B0"/>
              <w:left w:val="single" w:sz="1" w:space="0" w:color="D8D8D8"/>
              <w:bottom w:val="single" w:sz="2" w:space="0" w:color="B0B0B0"/>
              <w:right w:val="single" w:sz="1" w:space="0" w:color="D8D8D8"/>
            </w:tcBorders>
          </w:tcPr>
          <w:p>
            <w:pPr>
              <w:jc w:val="left"/>
            </w:pPr>
            <w:r>
              <w:rPr>
                <w:rFonts w:ascii="Times New Roman" w:hAnsi="Times New Roman"/>
                <w:sz w:val="20"/>
              </w:rPr>
              <w:t>High reliability across complete cohort</w:t>
            </w:r>
          </w:p>
        </w:tc>
      </w:tr>
      <w:tr>
        <w:tc>
          <w:tcPr>
            <w:tcW w:type="dxa" w:w="2167"/>
            <w:tcMar>
              <w:top w:w="80" w:type="dxa"/>
              <w:bottom w:w="80" w:type="dxa"/>
              <w:left w:w="120" w:type="dxa"/>
              <w:right w:w="120" w:type="dxa"/>
            </w:tcMar>
            <w:tcBorders>
              <w:top w:val="single" w:sz="2" w:space="0" w:color="B0B0B0"/>
              <w:left w:val="single" w:sz="1" w:space="0" w:color="D8D8D8"/>
              <w:bottom w:val="single" w:sz="2" w:space="0" w:color="B0B0B0"/>
              <w:right w:val="single" w:sz="1" w:space="0" w:color="D8D8D8"/>
            </w:tcBorders>
          </w:tcPr>
          <w:p>
            <w:pPr>
              <w:jc w:val="left"/>
            </w:pPr>
            <w:r>
              <w:rPr>
                <w:rFonts w:ascii="Times New Roman" w:hAnsi="Times New Roman"/>
                <w:sz w:val="20"/>
              </w:rPr>
              <w:t>Sensitivity (Recall)</w:t>
            </w:r>
          </w:p>
        </w:tc>
        <w:tc>
          <w:tcPr>
            <w:tcW w:type="dxa" w:w="2167"/>
            <w:tcMar>
              <w:top w:w="80" w:type="dxa"/>
              <w:bottom w:w="80" w:type="dxa"/>
              <w:left w:w="120" w:type="dxa"/>
              <w:right w:w="120" w:type="dxa"/>
            </w:tcMar>
            <w:tcBorders>
              <w:top w:val="single" w:sz="2" w:space="0" w:color="B0B0B0"/>
              <w:left w:val="single" w:sz="1" w:space="0" w:color="D8D8D8"/>
              <w:bottom w:val="single" w:sz="2" w:space="0" w:color="B0B0B0"/>
              <w:right w:val="single" w:sz="1" w:space="0" w:color="D8D8D8"/>
            </w:tcBorders>
          </w:tcPr>
          <w:p>
            <w:pPr>
              <w:jc w:val="left"/>
            </w:pPr>
            <w:r>
              <w:rPr>
                <w:rFonts w:ascii="Times New Roman" w:hAnsi="Times New Roman"/>
                <w:sz w:val="20"/>
              </w:rPr>
              <w:t>\textbf{99.76%}</w:t>
            </w:r>
          </w:p>
        </w:tc>
        <w:tc>
          <w:tcPr>
            <w:tcW w:type="dxa" w:w="2167"/>
            <w:tcMar>
              <w:top w:w="80" w:type="dxa"/>
              <w:bottom w:w="80" w:type="dxa"/>
              <w:left w:w="120" w:type="dxa"/>
              <w:right w:w="120" w:type="dxa"/>
            </w:tcMar>
            <w:tcBorders>
              <w:top w:val="single" w:sz="2" w:space="0" w:color="B0B0B0"/>
              <w:left w:val="single" w:sz="1" w:space="0" w:color="D8D8D8"/>
              <w:bottom w:val="single" w:sz="2" w:space="0" w:color="B0B0B0"/>
              <w:right w:val="single" w:sz="1" w:space="0" w:color="D8D8D8"/>
            </w:tcBorders>
          </w:tcPr>
          <w:p>
            <w:pPr>
              <w:jc w:val="left"/>
            </w:pPr>
            <w:r>
              <w:rPr>
                <w:rFonts w:ascii="Times New Roman" w:hAnsi="Times New Roman"/>
                <w:sz w:val="20"/>
              </w:rPr>
              <w:t>[99.12% – 99.97%]</w:t>
            </w:r>
          </w:p>
        </w:tc>
        <w:tc>
          <w:tcPr>
            <w:tcW w:type="dxa" w:w="2167"/>
            <w:tcMar>
              <w:top w:w="80" w:type="dxa"/>
              <w:bottom w:w="80" w:type="dxa"/>
              <w:left w:w="120" w:type="dxa"/>
              <w:right w:w="120" w:type="dxa"/>
            </w:tcMar>
            <w:tcBorders>
              <w:top w:val="single" w:sz="2" w:space="0" w:color="B0B0B0"/>
              <w:left w:val="single" w:sz="1" w:space="0" w:color="D8D8D8"/>
              <w:bottom w:val="single" w:sz="2" w:space="0" w:color="B0B0B0"/>
              <w:right w:val="single" w:sz="1" w:space="0" w:color="D8D8D8"/>
            </w:tcBorders>
          </w:tcPr>
          <w:p>
            <w:pPr>
              <w:jc w:val="left"/>
            </w:pPr>
            <w:r>
              <w:rPr>
                <w:rFonts w:ascii="Times New Roman" w:hAnsi="Times New Roman"/>
                <w:sz w:val="20"/>
              </w:rPr>
              <w:t>Extreme clinical safety; minimal false negative risk</w:t>
            </w:r>
          </w:p>
        </w:tc>
      </w:tr>
      <w:tr>
        <w:tc>
          <w:tcPr>
            <w:tcW w:type="dxa" w:w="2167"/>
            <w:tcMar>
              <w:top w:w="80" w:type="dxa"/>
              <w:bottom w:w="80" w:type="dxa"/>
              <w:left w:w="120" w:type="dxa"/>
              <w:right w:w="120" w:type="dxa"/>
            </w:tcMar>
            <w:tcBorders>
              <w:top w:val="single" w:sz="2" w:space="0" w:color="B0B0B0"/>
              <w:left w:val="single" w:sz="1" w:space="0" w:color="D8D8D8"/>
              <w:bottom w:val="single" w:sz="2" w:space="0" w:color="B0B0B0"/>
              <w:right w:val="single" w:sz="1" w:space="0" w:color="D8D8D8"/>
            </w:tcBorders>
          </w:tcPr>
          <w:p>
            <w:pPr>
              <w:jc w:val="left"/>
            </w:pPr>
            <w:r>
              <w:rPr>
                <w:rFonts w:ascii="Times New Roman" w:hAnsi="Times New Roman"/>
                <w:sz w:val="20"/>
              </w:rPr>
              <w:t>Specificity</w:t>
            </w:r>
          </w:p>
        </w:tc>
        <w:tc>
          <w:tcPr>
            <w:tcW w:type="dxa" w:w="2167"/>
            <w:tcMar>
              <w:top w:w="80" w:type="dxa"/>
              <w:bottom w:w="80" w:type="dxa"/>
              <w:left w:w="120" w:type="dxa"/>
              <w:right w:w="120" w:type="dxa"/>
            </w:tcMar>
            <w:tcBorders>
              <w:top w:val="single" w:sz="2" w:space="0" w:color="B0B0B0"/>
              <w:left w:val="single" w:sz="1" w:space="0" w:color="D8D8D8"/>
              <w:bottom w:val="single" w:sz="2" w:space="0" w:color="B0B0B0"/>
              <w:right w:val="single" w:sz="1" w:space="0" w:color="D8D8D8"/>
            </w:tcBorders>
          </w:tcPr>
          <w:p>
            <w:pPr>
              <w:jc w:val="left"/>
            </w:pPr>
            <w:r>
              <w:rPr>
                <w:rFonts w:ascii="Times New Roman" w:hAnsi="Times New Roman"/>
                <w:sz w:val="20"/>
              </w:rPr>
              <w:t>\textbf{100.00%}</w:t>
            </w:r>
          </w:p>
        </w:tc>
        <w:tc>
          <w:tcPr>
            <w:tcW w:type="dxa" w:w="2167"/>
            <w:tcMar>
              <w:top w:w="80" w:type="dxa"/>
              <w:bottom w:w="80" w:type="dxa"/>
              <w:left w:w="120" w:type="dxa"/>
              <w:right w:w="120" w:type="dxa"/>
            </w:tcMar>
            <w:tcBorders>
              <w:top w:val="single" w:sz="2" w:space="0" w:color="B0B0B0"/>
              <w:left w:val="single" w:sz="1" w:space="0" w:color="D8D8D8"/>
              <w:bottom w:val="single" w:sz="2" w:space="0" w:color="B0B0B0"/>
              <w:right w:val="single" w:sz="1" w:space="0" w:color="D8D8D8"/>
            </w:tcBorders>
          </w:tcPr>
          <w:p>
            <w:pPr>
              <w:jc w:val="left"/>
            </w:pPr>
            <w:r>
              <w:rPr>
                <w:rFonts w:ascii="Times New Roman" w:hAnsi="Times New Roman"/>
                <w:sz w:val="20"/>
              </w:rPr>
              <w:t>[99.39% – 100.00%]</w:t>
            </w:r>
          </w:p>
        </w:tc>
        <w:tc>
          <w:tcPr>
            <w:tcW w:type="dxa" w:w="2167"/>
            <w:tcMar>
              <w:top w:w="80" w:type="dxa"/>
              <w:bottom w:w="80" w:type="dxa"/>
              <w:left w:w="120" w:type="dxa"/>
              <w:right w:w="120" w:type="dxa"/>
            </w:tcMar>
            <w:tcBorders>
              <w:top w:val="single" w:sz="2" w:space="0" w:color="B0B0B0"/>
              <w:left w:val="single" w:sz="1" w:space="0" w:color="D8D8D8"/>
              <w:bottom w:val="single" w:sz="2" w:space="0" w:color="B0B0B0"/>
              <w:right w:val="single" w:sz="1" w:space="0" w:color="D8D8D8"/>
            </w:tcBorders>
          </w:tcPr>
          <w:p>
            <w:pPr>
              <w:jc w:val="left"/>
            </w:pPr>
            <w:r>
              <w:rPr>
                <w:rFonts w:ascii="Times New Roman" w:hAnsi="Times New Roman"/>
                <w:sz w:val="20"/>
              </w:rPr>
              <w:t>Zero unnecessary invasive scalpel biopsies</w:t>
            </w:r>
          </w:p>
        </w:tc>
      </w:tr>
      <w:tr>
        <w:tc>
          <w:tcPr>
            <w:tcW w:type="dxa" w:w="2167"/>
            <w:tcMar>
              <w:top w:w="80" w:type="dxa"/>
              <w:bottom w:w="80" w:type="dxa"/>
              <w:left w:w="120" w:type="dxa"/>
              <w:right w:w="120" w:type="dxa"/>
            </w:tcMar>
            <w:tcBorders>
              <w:top w:val="single" w:sz="2" w:space="0" w:color="B0B0B0"/>
              <w:left w:val="single" w:sz="1" w:space="0" w:color="D8D8D8"/>
              <w:bottom w:val="single" w:sz="2" w:space="0" w:color="B0B0B0"/>
              <w:right w:val="single" w:sz="1" w:space="0" w:color="D8D8D8"/>
            </w:tcBorders>
          </w:tcPr>
          <w:p>
            <w:pPr>
              <w:jc w:val="left"/>
            </w:pPr>
            <w:r>
              <w:rPr>
                <w:rFonts w:ascii="Times New Roman" w:hAnsi="Times New Roman"/>
                <w:sz w:val="20"/>
              </w:rPr>
              <w:t>Positive Predictive Value (PPV)</w:t>
            </w:r>
          </w:p>
        </w:tc>
        <w:tc>
          <w:tcPr>
            <w:tcW w:type="dxa" w:w="2167"/>
            <w:tcMar>
              <w:top w:w="80" w:type="dxa"/>
              <w:bottom w:w="80" w:type="dxa"/>
              <w:left w:w="120" w:type="dxa"/>
              <w:right w:w="120" w:type="dxa"/>
            </w:tcMar>
            <w:tcBorders>
              <w:top w:val="single" w:sz="2" w:space="0" w:color="B0B0B0"/>
              <w:left w:val="single" w:sz="1" w:space="0" w:color="D8D8D8"/>
              <w:bottom w:val="single" w:sz="2" w:space="0" w:color="B0B0B0"/>
              <w:right w:val="single" w:sz="1" w:space="0" w:color="D8D8D8"/>
            </w:tcBorders>
          </w:tcPr>
          <w:p>
            <w:pPr>
              <w:jc w:val="left"/>
            </w:pPr>
            <w:r>
              <w:rPr>
                <w:rFonts w:ascii="Times New Roman" w:hAnsi="Times New Roman"/>
                <w:sz w:val="20"/>
              </w:rPr>
              <w:t>\textbf{100.00%}</w:t>
            </w:r>
          </w:p>
        </w:tc>
        <w:tc>
          <w:tcPr>
            <w:tcW w:type="dxa" w:w="2167"/>
            <w:tcMar>
              <w:top w:w="80" w:type="dxa"/>
              <w:bottom w:w="80" w:type="dxa"/>
              <w:left w:w="120" w:type="dxa"/>
              <w:right w:w="120" w:type="dxa"/>
            </w:tcMar>
            <w:tcBorders>
              <w:top w:val="single" w:sz="2" w:space="0" w:color="B0B0B0"/>
              <w:left w:val="single" w:sz="1" w:space="0" w:color="D8D8D8"/>
              <w:bottom w:val="single" w:sz="2" w:space="0" w:color="B0B0B0"/>
              <w:right w:val="single" w:sz="1" w:space="0" w:color="D8D8D8"/>
            </w:tcBorders>
          </w:tcPr>
          <w:p>
            <w:pPr>
              <w:jc w:val="left"/>
            </w:pPr>
            <w:r>
              <w:rPr>
                <w:rFonts w:ascii="Times New Roman" w:hAnsi="Times New Roman"/>
                <w:sz w:val="20"/>
              </w:rPr>
              <w:t>[99.39% – 100.00%]</w:t>
            </w:r>
          </w:p>
        </w:tc>
        <w:tc>
          <w:tcPr>
            <w:tcW w:type="dxa" w:w="2167"/>
            <w:tcMar>
              <w:top w:w="80" w:type="dxa"/>
              <w:bottom w:w="80" w:type="dxa"/>
              <w:left w:w="120" w:type="dxa"/>
              <w:right w:w="120" w:type="dxa"/>
            </w:tcMar>
            <w:tcBorders>
              <w:top w:val="single" w:sz="2" w:space="0" w:color="B0B0B0"/>
              <w:left w:val="single" w:sz="1" w:space="0" w:color="D8D8D8"/>
              <w:bottom w:val="single" w:sz="2" w:space="0" w:color="B0B0B0"/>
              <w:right w:val="single" w:sz="1" w:space="0" w:color="D8D8D8"/>
            </w:tcBorders>
          </w:tcPr>
          <w:p>
            <w:pPr>
              <w:jc w:val="left"/>
            </w:pPr>
            <w:r>
              <w:rPr>
                <w:rFonts w:ascii="Times New Roman" w:hAnsi="Times New Roman"/>
                <w:sz w:val="20"/>
              </w:rPr>
              <w:t>Perfect positive triage referral fidelity</w:t>
            </w:r>
          </w:p>
        </w:tc>
      </w:tr>
      <w:tr>
        <w:tc>
          <w:tcPr>
            <w:tcW w:type="dxa" w:w="2167"/>
            <w:tcMar>
              <w:top w:w="80" w:type="dxa"/>
              <w:bottom w:w="80" w:type="dxa"/>
              <w:left w:w="120" w:type="dxa"/>
              <w:right w:w="120" w:type="dxa"/>
            </w:tcMar>
            <w:tcBorders>
              <w:top w:val="single" w:sz="2" w:space="0" w:color="B0B0B0"/>
              <w:left w:val="single" w:sz="1" w:space="0" w:color="D8D8D8"/>
              <w:bottom w:val="single" w:sz="2" w:space="0" w:color="B0B0B0"/>
              <w:right w:val="single" w:sz="1" w:space="0" w:color="D8D8D8"/>
            </w:tcBorders>
          </w:tcPr>
          <w:p>
            <w:pPr>
              <w:jc w:val="left"/>
            </w:pPr>
            <w:r>
              <w:rPr>
                <w:rFonts w:ascii="Times New Roman" w:hAnsi="Times New Roman"/>
                <w:sz w:val="20"/>
              </w:rPr>
              <w:t>Negative Predictive Value (NPV)</w:t>
            </w:r>
          </w:p>
        </w:tc>
        <w:tc>
          <w:tcPr>
            <w:tcW w:type="dxa" w:w="2167"/>
            <w:tcMar>
              <w:top w:w="80" w:type="dxa"/>
              <w:bottom w:w="80" w:type="dxa"/>
              <w:left w:w="120" w:type="dxa"/>
              <w:right w:w="120" w:type="dxa"/>
            </w:tcMar>
            <w:tcBorders>
              <w:top w:val="single" w:sz="2" w:space="0" w:color="B0B0B0"/>
              <w:left w:val="single" w:sz="1" w:space="0" w:color="D8D8D8"/>
              <w:bottom w:val="single" w:sz="2" w:space="0" w:color="B0B0B0"/>
              <w:right w:val="single" w:sz="1" w:space="0" w:color="D8D8D8"/>
            </w:tcBorders>
          </w:tcPr>
          <w:p>
            <w:pPr>
              <w:jc w:val="left"/>
            </w:pPr>
            <w:r>
              <w:rPr>
                <w:rFonts w:ascii="Times New Roman" w:hAnsi="Times New Roman"/>
                <w:sz w:val="20"/>
              </w:rPr>
              <w:t>\textbf{99.88%}</w:t>
            </w:r>
          </w:p>
        </w:tc>
        <w:tc>
          <w:tcPr>
            <w:tcW w:type="dxa" w:w="2167"/>
            <w:tcMar>
              <w:top w:w="80" w:type="dxa"/>
              <w:bottom w:w="80" w:type="dxa"/>
              <w:left w:w="120" w:type="dxa"/>
              <w:right w:w="120" w:type="dxa"/>
            </w:tcMar>
            <w:tcBorders>
              <w:top w:val="single" w:sz="2" w:space="0" w:color="B0B0B0"/>
              <w:left w:val="single" w:sz="1" w:space="0" w:color="D8D8D8"/>
              <w:bottom w:val="single" w:sz="2" w:space="0" w:color="B0B0B0"/>
              <w:right w:val="single" w:sz="1" w:space="0" w:color="D8D8D8"/>
            </w:tcBorders>
          </w:tcPr>
          <w:p>
            <w:pPr>
              <w:jc w:val="left"/>
            </w:pPr>
            <w:r>
              <w:rPr>
                <w:rFonts w:ascii="Times New Roman" w:hAnsi="Times New Roman"/>
                <w:sz w:val="20"/>
              </w:rPr>
              <w:t>[99.15% – 99.99%]</w:t>
            </w:r>
          </w:p>
        </w:tc>
        <w:tc>
          <w:tcPr>
            <w:tcW w:type="dxa" w:w="2167"/>
            <w:tcMar>
              <w:top w:w="80" w:type="dxa"/>
              <w:bottom w:w="80" w:type="dxa"/>
              <w:left w:w="120" w:type="dxa"/>
              <w:right w:w="120" w:type="dxa"/>
            </w:tcMar>
            <w:tcBorders>
              <w:top w:val="single" w:sz="2" w:space="0" w:color="B0B0B0"/>
              <w:left w:val="single" w:sz="1" w:space="0" w:color="D8D8D8"/>
              <w:bottom w:val="single" w:sz="2" w:space="0" w:color="B0B0B0"/>
              <w:right w:val="single" w:sz="1" w:space="0" w:color="D8D8D8"/>
            </w:tcBorders>
          </w:tcPr>
          <w:p>
            <w:pPr>
              <w:jc w:val="left"/>
            </w:pPr>
            <w:r>
              <w:rPr>
                <w:rFonts w:ascii="Times New Roman" w:hAnsi="Times New Roman"/>
                <w:sz w:val="20"/>
              </w:rPr>
              <w:t>Trustworthy negative screening reassurance</w:t>
            </w:r>
          </w:p>
        </w:tc>
      </w:tr>
      <w:tr>
        <w:tc>
          <w:tcPr>
            <w:tcW w:type="dxa" w:w="2167"/>
            <w:tcMar>
              <w:top w:w="80" w:type="dxa"/>
              <w:bottom w:w="80" w:type="dxa"/>
              <w:left w:w="120" w:type="dxa"/>
              <w:right w:w="120" w:type="dxa"/>
            </w:tcMar>
            <w:tcBorders>
              <w:top w:val="single" w:sz="2" w:space="0" w:color="B0B0B0"/>
              <w:left w:val="single" w:sz="1" w:space="0" w:color="D8D8D8"/>
              <w:bottom w:val="single" w:sz="2" w:space="0" w:color="B0B0B0"/>
              <w:right w:val="single" w:sz="1" w:space="0" w:color="D8D8D8"/>
            </w:tcBorders>
          </w:tcPr>
          <w:p>
            <w:pPr>
              <w:jc w:val="left"/>
            </w:pPr>
            <w:r>
              <w:rPr>
                <w:rFonts w:ascii="Times New Roman" w:hAnsi="Times New Roman"/>
                <w:sz w:val="20"/>
              </w:rPr>
              <w:t>F1-Score</w:t>
            </w:r>
          </w:p>
        </w:tc>
        <w:tc>
          <w:tcPr>
            <w:tcW w:type="dxa" w:w="2167"/>
            <w:tcMar>
              <w:top w:w="80" w:type="dxa"/>
              <w:bottom w:w="80" w:type="dxa"/>
              <w:left w:w="120" w:type="dxa"/>
              <w:right w:w="120" w:type="dxa"/>
            </w:tcMar>
            <w:tcBorders>
              <w:top w:val="single" w:sz="2" w:space="0" w:color="B0B0B0"/>
              <w:left w:val="single" w:sz="1" w:space="0" w:color="D8D8D8"/>
              <w:bottom w:val="single" w:sz="2" w:space="0" w:color="B0B0B0"/>
              <w:right w:val="single" w:sz="1" w:space="0" w:color="D8D8D8"/>
            </w:tcBorders>
          </w:tcPr>
          <w:p>
            <w:pPr>
              <w:jc w:val="left"/>
            </w:pPr>
            <w:r>
              <w:rPr>
                <w:rFonts w:ascii="Times New Roman" w:hAnsi="Times New Roman"/>
                <w:sz w:val="20"/>
              </w:rPr>
              <w:t>\textbf{0.9988}</w:t>
            </w:r>
          </w:p>
        </w:tc>
        <w:tc>
          <w:tcPr>
            <w:tcW w:type="dxa" w:w="2167"/>
            <w:tcMar>
              <w:top w:w="80" w:type="dxa"/>
              <w:bottom w:w="80" w:type="dxa"/>
              <w:left w:w="120" w:type="dxa"/>
              <w:right w:w="120" w:type="dxa"/>
            </w:tcMar>
            <w:tcBorders>
              <w:top w:val="single" w:sz="2" w:space="0" w:color="B0B0B0"/>
              <w:left w:val="single" w:sz="1" w:space="0" w:color="D8D8D8"/>
              <w:bottom w:val="single" w:sz="2" w:space="0" w:color="B0B0B0"/>
              <w:right w:val="single" w:sz="1" w:space="0" w:color="D8D8D8"/>
            </w:tcBorders>
          </w:tcPr>
          <w:p>
            <w:pPr>
              <w:jc w:val="left"/>
            </w:pPr>
            <w:r>
              <w:rPr>
                <w:rFonts w:ascii="Times New Roman" w:hAnsi="Times New Roman"/>
                <w:sz w:val="20"/>
              </w:rPr>
              <w:t>[0.9962 – 0.9998]</w:t>
            </w:r>
          </w:p>
        </w:tc>
        <w:tc>
          <w:tcPr>
            <w:tcW w:type="dxa" w:w="2167"/>
            <w:tcMar>
              <w:top w:w="80" w:type="dxa"/>
              <w:bottom w:w="80" w:type="dxa"/>
              <w:left w:w="120" w:type="dxa"/>
              <w:right w:w="120" w:type="dxa"/>
            </w:tcMar>
            <w:tcBorders>
              <w:top w:val="single" w:sz="2" w:space="0" w:color="B0B0B0"/>
              <w:left w:val="single" w:sz="1" w:space="0" w:color="D8D8D8"/>
              <w:bottom w:val="single" w:sz="2" w:space="0" w:color="B0B0B0"/>
              <w:right w:val="single" w:sz="1" w:space="0" w:color="D8D8D8"/>
            </w:tcBorders>
          </w:tcPr>
          <w:p>
            <w:pPr>
              <w:jc w:val="left"/>
            </w:pPr>
            <w:r>
              <w:rPr>
                <w:rFonts w:ascii="Times New Roman" w:hAnsi="Times New Roman"/>
                <w:sz w:val="20"/>
              </w:rPr>
              <w:t>Robust balance of precision and sensitivity</w:t>
            </w:r>
          </w:p>
        </w:tc>
      </w:tr>
      <w:tr>
        <w:tc>
          <w:tcPr>
            <w:tcW w:type="dxa" w:w="2167"/>
            <w:tcMar>
              <w:top w:w="80" w:type="dxa"/>
              <w:bottom w:w="80" w:type="dxa"/>
              <w:left w:w="120" w:type="dxa"/>
              <w:right w:w="120" w:type="dxa"/>
            </w:tcMar>
            <w:tcBorders>
              <w:top w:val="single" w:sz="2" w:space="0" w:color="B0B0B0"/>
              <w:left w:val="single" w:sz="1" w:space="0" w:color="D8D8D8"/>
              <w:bottom w:val="single" w:sz="2" w:space="0" w:color="B0B0B0"/>
              <w:right w:val="single" w:sz="1" w:space="0" w:color="D8D8D8"/>
            </w:tcBorders>
          </w:tcPr>
          <w:p>
            <w:pPr>
              <w:jc w:val="left"/>
            </w:pPr>
            <w:r>
              <w:rPr>
                <w:rFonts w:ascii="Times New Roman" w:hAnsi="Times New Roman"/>
                <w:sz w:val="20"/>
              </w:rPr>
              <w:t>Matthews Correlation (MCC)</w:t>
            </w:r>
          </w:p>
        </w:tc>
        <w:tc>
          <w:tcPr>
            <w:tcW w:type="dxa" w:w="2167"/>
            <w:tcMar>
              <w:top w:w="80" w:type="dxa"/>
              <w:bottom w:w="80" w:type="dxa"/>
              <w:left w:w="120" w:type="dxa"/>
              <w:right w:w="120" w:type="dxa"/>
            </w:tcMar>
            <w:tcBorders>
              <w:top w:val="single" w:sz="2" w:space="0" w:color="B0B0B0"/>
              <w:left w:val="single" w:sz="1" w:space="0" w:color="D8D8D8"/>
              <w:bottom w:val="single" w:sz="2" w:space="0" w:color="B0B0B0"/>
              <w:right w:val="single" w:sz="1" w:space="0" w:color="D8D8D8"/>
            </w:tcBorders>
          </w:tcPr>
          <w:p>
            <w:pPr>
              <w:jc w:val="left"/>
            </w:pPr>
            <w:r>
              <w:rPr>
                <w:rFonts w:ascii="Times New Roman" w:hAnsi="Times New Roman"/>
                <w:sz w:val="20"/>
              </w:rPr>
              <w:t>\textbf{0.9982}</w:t>
            </w:r>
          </w:p>
        </w:tc>
        <w:tc>
          <w:tcPr>
            <w:tcW w:type="dxa" w:w="2167"/>
            <w:tcMar>
              <w:top w:w="80" w:type="dxa"/>
              <w:bottom w:w="80" w:type="dxa"/>
              <w:left w:w="120" w:type="dxa"/>
              <w:right w:w="120" w:type="dxa"/>
            </w:tcMar>
            <w:tcBorders>
              <w:top w:val="single" w:sz="2" w:space="0" w:color="B0B0B0"/>
              <w:left w:val="single" w:sz="1" w:space="0" w:color="D8D8D8"/>
              <w:bottom w:val="single" w:sz="2" w:space="0" w:color="B0B0B0"/>
              <w:right w:val="single" w:sz="1" w:space="0" w:color="D8D8D8"/>
            </w:tcBorders>
          </w:tcPr>
          <w:p>
            <w:pPr>
              <w:jc w:val="left"/>
            </w:pPr>
            <w:r>
              <w:rPr>
                <w:rFonts w:ascii="Times New Roman" w:hAnsi="Times New Roman"/>
                <w:sz w:val="20"/>
              </w:rPr>
              <w:t>[0.9950 – 0.9996]</w:t>
            </w:r>
          </w:p>
        </w:tc>
        <w:tc>
          <w:tcPr>
            <w:tcW w:type="dxa" w:w="2167"/>
            <w:tcMar>
              <w:top w:w="80" w:type="dxa"/>
              <w:bottom w:w="80" w:type="dxa"/>
              <w:left w:w="120" w:type="dxa"/>
              <w:right w:w="120" w:type="dxa"/>
            </w:tcMar>
            <w:tcBorders>
              <w:top w:val="single" w:sz="2" w:space="0" w:color="B0B0B0"/>
              <w:left w:val="single" w:sz="1" w:space="0" w:color="D8D8D8"/>
              <w:bottom w:val="single" w:sz="2" w:space="0" w:color="B0B0B0"/>
              <w:right w:val="single" w:sz="1" w:space="0" w:color="D8D8D8"/>
            </w:tcBorders>
          </w:tcPr>
          <w:p>
            <w:pPr>
              <w:jc w:val="left"/>
            </w:pPr>
            <w:r>
              <w:rPr>
                <w:rFonts w:ascii="Times New Roman" w:hAnsi="Times New Roman"/>
                <w:sz w:val="20"/>
              </w:rPr>
              <w:t>Statistically robust binary correlation</w:t>
            </w:r>
          </w:p>
        </w:tc>
      </w:tr>
      <w:tr>
        <w:tc>
          <w:tcPr>
            <w:tcW w:type="dxa" w:w="2167"/>
            <w:tcMar>
              <w:top w:w="80" w:type="dxa"/>
              <w:bottom w:w="80" w:type="dxa"/>
              <w:left w:w="120" w:type="dxa"/>
              <w:right w:w="120" w:type="dxa"/>
            </w:tcMar>
            <w:tcBorders>
              <w:top w:val="single" w:sz="2" w:space="0" w:color="B0B0B0"/>
              <w:left w:val="single" w:sz="1" w:space="0" w:color="D8D8D8"/>
              <w:bottom w:val="single" w:sz="2" w:space="0" w:color="B0B0B0"/>
              <w:right w:val="single" w:sz="1" w:space="0" w:color="D8D8D8"/>
            </w:tcBorders>
          </w:tcPr>
          <w:p>
            <w:pPr>
              <w:jc w:val="left"/>
            </w:pPr>
            <w:r>
              <w:rPr>
                <w:rFonts w:ascii="Times New Roman" w:hAnsi="Times New Roman"/>
                <w:sz w:val="20"/>
              </w:rPr>
              <w:t>AUROC</w:t>
            </w:r>
          </w:p>
        </w:tc>
        <w:tc>
          <w:tcPr>
            <w:tcW w:type="dxa" w:w="2167"/>
            <w:tcMar>
              <w:top w:w="80" w:type="dxa"/>
              <w:bottom w:w="80" w:type="dxa"/>
              <w:left w:w="120" w:type="dxa"/>
              <w:right w:w="120" w:type="dxa"/>
            </w:tcMar>
            <w:tcBorders>
              <w:top w:val="single" w:sz="2" w:space="0" w:color="B0B0B0"/>
              <w:left w:val="single" w:sz="1" w:space="0" w:color="D8D8D8"/>
              <w:bottom w:val="single" w:sz="2" w:space="0" w:color="B0B0B0"/>
              <w:right w:val="single" w:sz="1" w:space="0" w:color="D8D8D8"/>
            </w:tcBorders>
          </w:tcPr>
          <w:p>
            <w:pPr>
              <w:jc w:val="left"/>
            </w:pPr>
            <w:r>
              <w:rPr>
                <w:rFonts w:ascii="Times New Roman" w:hAnsi="Times New Roman"/>
                <w:sz w:val="20"/>
              </w:rPr>
              <w:t>\textbf{1.0000}</w:t>
            </w:r>
          </w:p>
        </w:tc>
        <w:tc>
          <w:tcPr>
            <w:tcW w:type="dxa" w:w="2167"/>
            <w:tcMar>
              <w:top w:w="80" w:type="dxa"/>
              <w:bottom w:w="80" w:type="dxa"/>
              <w:left w:w="120" w:type="dxa"/>
              <w:right w:w="120" w:type="dxa"/>
            </w:tcMar>
            <w:tcBorders>
              <w:top w:val="single" w:sz="2" w:space="0" w:color="B0B0B0"/>
              <w:left w:val="single" w:sz="1" w:space="0" w:color="D8D8D8"/>
              <w:bottom w:val="single" w:sz="2" w:space="0" w:color="B0B0B0"/>
              <w:right w:val="single" w:sz="1" w:space="0" w:color="D8D8D8"/>
            </w:tcBorders>
          </w:tcPr>
          <w:p>
            <w:pPr>
              <w:jc w:val="left"/>
            </w:pPr>
            <w:r>
              <w:rPr>
                <w:rFonts w:ascii="Times New Roman" w:hAnsi="Times New Roman"/>
                <w:sz w:val="20"/>
              </w:rPr>
              <w:t>[0.9996 – 1.0000]</w:t>
            </w:r>
          </w:p>
        </w:tc>
        <w:tc>
          <w:tcPr>
            <w:tcW w:type="dxa" w:w="2167"/>
            <w:tcMar>
              <w:top w:w="80" w:type="dxa"/>
              <w:bottom w:w="80" w:type="dxa"/>
              <w:left w:w="120" w:type="dxa"/>
              <w:right w:w="120" w:type="dxa"/>
            </w:tcMar>
            <w:tcBorders>
              <w:top w:val="single" w:sz="2" w:space="0" w:color="B0B0B0"/>
              <w:left w:val="single" w:sz="1" w:space="0" w:color="D8D8D8"/>
              <w:bottom w:val="single" w:sz="2" w:space="0" w:color="B0B0B0"/>
              <w:right w:val="single" w:sz="1" w:space="0" w:color="D8D8D8"/>
            </w:tcBorders>
          </w:tcPr>
          <w:p>
            <w:pPr>
              <w:jc w:val="left"/>
            </w:pPr>
            <w:r>
              <w:rPr>
                <w:rFonts w:ascii="Times New Roman" w:hAnsi="Times New Roman"/>
                <w:sz w:val="20"/>
              </w:rPr>
              <w:t>Flawless separation of malignant distributions</w:t>
            </w:r>
          </w:p>
        </w:tc>
      </w:tr>
      <w:tr>
        <w:tc>
          <w:tcPr>
            <w:tcW w:type="dxa" w:w="2167"/>
            <w:tcMar>
              <w:top w:w="80" w:type="dxa"/>
              <w:bottom w:w="80" w:type="dxa"/>
              <w:left w:w="120" w:type="dxa"/>
              <w:right w:w="120" w:type="dxa"/>
            </w:tcMar>
            <w:tcBorders>
              <w:top w:val="single" w:sz="2" w:space="0" w:color="B0B0B0"/>
              <w:left w:val="single" w:sz="1" w:space="0" w:color="D8D8D8"/>
              <w:bottom w:val="single" w:sz="2" w:space="0" w:color="B0B0B0"/>
              <w:right w:val="single" w:sz="1" w:space="0" w:color="D8D8D8"/>
            </w:tcBorders>
          </w:tcPr>
          <w:p>
            <w:pPr>
              <w:jc w:val="left"/>
            </w:pPr>
            <w:r>
              <w:rPr>
                <w:rFonts w:ascii="Times New Roman" w:hAnsi="Times New Roman"/>
                <w:sz w:val="20"/>
              </w:rPr>
              <w:t>AUPRC</w:t>
            </w:r>
          </w:p>
        </w:tc>
        <w:tc>
          <w:tcPr>
            <w:tcW w:type="dxa" w:w="2167"/>
            <w:tcMar>
              <w:top w:w="80" w:type="dxa"/>
              <w:bottom w:w="80" w:type="dxa"/>
              <w:left w:w="120" w:type="dxa"/>
              <w:right w:w="120" w:type="dxa"/>
            </w:tcMar>
            <w:tcBorders>
              <w:top w:val="single" w:sz="2" w:space="0" w:color="B0B0B0"/>
              <w:left w:val="single" w:sz="1" w:space="0" w:color="D8D8D8"/>
              <w:bottom w:val="single" w:sz="2" w:space="0" w:color="B0B0B0"/>
              <w:right w:val="single" w:sz="1" w:space="0" w:color="D8D8D8"/>
            </w:tcBorders>
          </w:tcPr>
          <w:p>
            <w:pPr>
              <w:jc w:val="left"/>
            </w:pPr>
            <w:r>
              <w:rPr>
                <w:rFonts w:ascii="Times New Roman" w:hAnsi="Times New Roman"/>
                <w:sz w:val="20"/>
              </w:rPr>
              <w:t>\textbf{0.9994}</w:t>
            </w:r>
          </w:p>
        </w:tc>
        <w:tc>
          <w:tcPr>
            <w:tcW w:type="dxa" w:w="2167"/>
            <w:tcMar>
              <w:top w:w="80" w:type="dxa"/>
              <w:bottom w:w="80" w:type="dxa"/>
              <w:left w:w="120" w:type="dxa"/>
              <w:right w:w="120" w:type="dxa"/>
            </w:tcMar>
            <w:tcBorders>
              <w:top w:val="single" w:sz="2" w:space="0" w:color="B0B0B0"/>
              <w:left w:val="single" w:sz="1" w:space="0" w:color="D8D8D8"/>
              <w:bottom w:val="single" w:sz="2" w:space="0" w:color="B0B0B0"/>
              <w:right w:val="single" w:sz="1" w:space="0" w:color="D8D8D8"/>
            </w:tcBorders>
          </w:tcPr>
          <w:p>
            <w:pPr>
              <w:jc w:val="left"/>
            </w:pPr>
            <w:r>
              <w:rPr>
                <w:rFonts w:ascii="Times New Roman" w:hAnsi="Times New Roman"/>
                <w:sz w:val="20"/>
              </w:rPr>
              <w:t>[0.9985 – 1.0000]</w:t>
            </w:r>
          </w:p>
        </w:tc>
        <w:tc>
          <w:tcPr>
            <w:tcW w:type="dxa" w:w="2167"/>
            <w:tcMar>
              <w:top w:w="80" w:type="dxa"/>
              <w:bottom w:w="80" w:type="dxa"/>
              <w:left w:w="120" w:type="dxa"/>
              <w:right w:w="120" w:type="dxa"/>
            </w:tcMar>
            <w:tcBorders>
              <w:top w:val="single" w:sz="2" w:space="0" w:color="B0B0B0"/>
              <w:left w:val="single" w:sz="1" w:space="0" w:color="D8D8D8"/>
              <w:bottom w:val="single" w:sz="2" w:space="0" w:color="B0B0B0"/>
              <w:right w:val="single" w:sz="1" w:space="0" w:color="D8D8D8"/>
            </w:tcBorders>
          </w:tcPr>
          <w:p>
            <w:pPr>
              <w:jc w:val="left"/>
            </w:pPr>
            <w:r>
              <w:rPr>
                <w:rFonts w:ascii="Times New Roman" w:hAnsi="Times New Roman"/>
                <w:sz w:val="20"/>
              </w:rPr>
              <w:t>Near-ideal precision-recall characteristics</w:t>
            </w:r>
          </w:p>
        </w:tc>
      </w:tr>
      <w:tr>
        <w:tc>
          <w:tcPr>
            <w:tcW w:type="dxa" w:w="2167"/>
            <w:tcMar>
              <w:top w:w="80" w:type="dxa"/>
              <w:bottom w:w="80" w:type="dxa"/>
              <w:left w:w="120" w:type="dxa"/>
              <w:right w:w="120" w:type="dxa"/>
            </w:tcMar>
            <w:tcBorders>
              <w:top w:val="single" w:sz="2" w:space="0" w:color="B0B0B0"/>
              <w:left w:val="single" w:sz="1" w:space="0" w:color="D8D8D8"/>
              <w:bottom w:val="single" w:sz="2" w:space="0" w:color="B0B0B0"/>
              <w:right w:val="single" w:sz="1" w:space="0" w:color="D8D8D8"/>
            </w:tcBorders>
          </w:tcPr>
          <w:p>
            <w:pPr>
              <w:jc w:val="left"/>
            </w:pPr>
            <w:r>
              <w:rPr>
                <w:rFonts w:ascii="Times New Roman" w:hAnsi="Times New Roman"/>
                <w:sz w:val="20"/>
              </w:rPr>
              <w:t>Expected Calibration Error</w:t>
            </w:r>
          </w:p>
        </w:tc>
        <w:tc>
          <w:tcPr>
            <w:tcW w:type="dxa" w:w="2167"/>
            <w:tcMar>
              <w:top w:w="80" w:type="dxa"/>
              <w:bottom w:w="80" w:type="dxa"/>
              <w:left w:w="120" w:type="dxa"/>
              <w:right w:w="120" w:type="dxa"/>
            </w:tcMar>
            <w:tcBorders>
              <w:top w:val="single" w:sz="2" w:space="0" w:color="B0B0B0"/>
              <w:left w:val="single" w:sz="1" w:space="0" w:color="D8D8D8"/>
              <w:bottom w:val="single" w:sz="2" w:space="0" w:color="B0B0B0"/>
              <w:right w:val="single" w:sz="1" w:space="0" w:color="D8D8D8"/>
            </w:tcBorders>
          </w:tcPr>
          <w:p>
            <w:pPr>
              <w:jc w:val="left"/>
            </w:pPr>
            <w:r>
              <w:rPr>
                <w:rFonts w:ascii="Times New Roman" w:hAnsi="Times New Roman"/>
                <w:sz w:val="20"/>
              </w:rPr>
              <w:t>\textbf{0.82%}</w:t>
            </w:r>
          </w:p>
        </w:tc>
        <w:tc>
          <w:tcPr>
            <w:tcW w:type="dxa" w:w="2167"/>
            <w:tcMar>
              <w:top w:w="80" w:type="dxa"/>
              <w:bottom w:w="80" w:type="dxa"/>
              <w:left w:w="120" w:type="dxa"/>
              <w:right w:w="120" w:type="dxa"/>
            </w:tcMar>
            <w:tcBorders>
              <w:top w:val="single" w:sz="2" w:space="0" w:color="B0B0B0"/>
              <w:left w:val="single" w:sz="1" w:space="0" w:color="D8D8D8"/>
              <w:bottom w:val="single" w:sz="2" w:space="0" w:color="B0B0B0"/>
              <w:right w:val="single" w:sz="1" w:space="0" w:color="D8D8D8"/>
            </w:tcBorders>
          </w:tcPr>
          <w:p>
            <w:pPr>
              <w:jc w:val="left"/>
            </w:pPr>
            <w:r>
              <w:rPr>
                <w:rFonts w:ascii="Times New Roman" w:hAnsi="Times New Roman"/>
                <w:sz w:val="20"/>
              </w:rPr>
              <w:t>[0.45% – 1.18%]</w:t>
            </w:r>
          </w:p>
        </w:tc>
        <w:tc>
          <w:tcPr>
            <w:tcW w:type="dxa" w:w="2167"/>
            <w:tcMar>
              <w:top w:w="80" w:type="dxa"/>
              <w:bottom w:w="80" w:type="dxa"/>
              <w:left w:w="120" w:type="dxa"/>
              <w:right w:w="120" w:type="dxa"/>
            </w:tcMar>
            <w:tcBorders>
              <w:top w:val="single" w:sz="2" w:space="0" w:color="B0B0B0"/>
              <w:left w:val="single" w:sz="1" w:space="0" w:color="D8D8D8"/>
              <w:bottom w:val="single" w:sz="2" w:space="0" w:color="B0B0B0"/>
              <w:right w:val="single" w:sz="1" w:space="0" w:color="D8D8D8"/>
            </w:tcBorders>
          </w:tcPr>
          <w:p>
            <w:pPr>
              <w:jc w:val="left"/>
            </w:pPr>
            <w:r>
              <w:rPr>
                <w:rFonts w:ascii="Times New Roman" w:hAnsi="Times New Roman"/>
                <w:sz w:val="20"/>
              </w:rPr>
              <w:t>Well-calibrated Bayesian posterior confidence</w:t>
            </w:r>
          </w:p>
        </w:tc>
      </w:tr>
    </w:tbl>
    <w:p>
      <w:pPr>
        <w:spacing w:before="80" w:after="160" w:line="360" w:lineRule="auto"/>
        <w:jc w:val="both"/>
      </w:pPr>
    </w:p>
    <w:p>
      <w:pPr>
        <w:spacing w:before="280" w:after="120" w:line="360" w:lineRule="auto"/>
        <w:jc w:val="left"/>
      </w:pPr>
      <w:r>
        <w:rPr>
          <w:rFonts w:ascii="Times New Roman" w:hAnsi="Times New Roman"/>
          <w:b/>
          <w:i w:val="0"/>
          <w:color w:val="0F234B"/>
          <w:sz w:val="28"/>
        </w:rPr>
        <w:t>ROC, Precision-Recall, and Decision Curve Analysis (DCA)</w:t>
      </w:r>
    </w:p>
    <w:p>
      <w:pPr>
        <w:spacing w:before="40" w:after="120" w:line="360" w:lineRule="auto"/>
        <w:jc w:val="both"/>
      </w:pPr>
      <w:r>
        <w:rPr>
          <w:rFonts w:ascii="Times New Roman" w:hAnsi="Times New Roman"/>
          <w:b w:val="0"/>
          <w:i w:val="0"/>
          <w:sz w:val="24"/>
        </w:rPr>
        <w:t>Figure fig:roc_curves illustrates the Receiver Operating Characteristic (ROC) curves across the evaluation cohort, demonstrating perfect discriminative separation (AUROC = 1.0000).</w:t>
      </w:r>
    </w:p>
    <w:p>
      <w:pPr>
        <w:spacing w:before="160" w:after="80"/>
        <w:jc w:val="center"/>
      </w:pPr>
      <w:r>
        <w:drawing>
          <wp:inline xmlns:a="http://schemas.openxmlformats.org/drawingml/2006/main" xmlns:pic="http://schemas.openxmlformats.org/drawingml/2006/picture">
            <wp:extent cx="5120640" cy="5109286"/>
            <wp:docPr id="10" name="Picture 10"/>
            <wp:cNvGraphicFramePr>
              <a:graphicFrameLocks noChangeAspect="1"/>
            </wp:cNvGraphicFramePr>
            <a:graphic>
              <a:graphicData uri="http://schemas.openxmlformats.org/drawingml/2006/picture">
                <pic:pic>
                  <pic:nvPicPr>
                    <pic:cNvPr id="0" name="roc_curves.png"/>
                    <pic:cNvPicPr/>
                  </pic:nvPicPr>
                  <pic:blipFill>
                    <a:blip r:embed="rId20"/>
                    <a:stretch>
                      <a:fillRect/>
                    </a:stretch>
                  </pic:blipFill>
                  <pic:spPr>
                    <a:xfrm>
                      <a:off x="0" y="0"/>
                      <a:ext cx="5120640" cy="5109286"/>
                    </a:xfrm>
                    <a:prstGeom prst="rect"/>
                  </pic:spPr>
                </pic:pic>
              </a:graphicData>
            </a:graphic>
          </wp:inline>
        </w:drawing>
      </w:r>
    </w:p>
    <w:p>
      <w:pPr>
        <w:spacing w:before="40" w:after="200" w:line="360" w:lineRule="auto"/>
        <w:jc w:val="center"/>
      </w:pPr>
      <w:r>
        <w:rPr>
          <w:rFonts w:ascii="Times New Roman" w:hAnsi="Times New Roman"/>
          <w:b w:val="0"/>
          <w:i/>
          <w:color w:val="0A2D5A"/>
          <w:sz w:val="21"/>
        </w:rPr>
        <w:t>Figure: Receiver Operating Characteristic (ROC) Curve Demonstrating Flawless Discriminative Separation (AUROC = 1.0000)</w:t>
      </w:r>
    </w:p>
    <w:p>
      <w:pPr>
        <w:spacing w:before="40" w:after="120" w:line="360" w:lineRule="auto"/>
        <w:jc w:val="both"/>
      </w:pPr>
      <w:r>
        <w:rPr>
          <w:rFonts w:ascii="Times New Roman" w:hAnsi="Times New Roman"/>
          <w:b w:val="0"/>
          <w:i w:val="0"/>
          <w:sz w:val="24"/>
        </w:rPr>
        <w:t>Figure fig:precision_recall_dca presents the complementary Precision-Recall Curve alongside the Decision Curve Analysis (DCA) measuring standardized net clinical benefit across variable biopsy referral thresholds.</w:t>
      </w:r>
    </w:p>
    <w:p>
      <w:pPr>
        <w:spacing w:before="160" w:after="80"/>
        <w:jc w:val="center"/>
      </w:pPr>
      <w:r>
        <w:drawing>
          <wp:inline xmlns:a="http://schemas.openxmlformats.org/drawingml/2006/main" xmlns:pic="http://schemas.openxmlformats.org/drawingml/2006/picture">
            <wp:extent cx="5120640" cy="2143524"/>
            <wp:docPr id="11" name="Picture 11"/>
            <wp:cNvGraphicFramePr>
              <a:graphicFrameLocks noChangeAspect="1"/>
            </wp:cNvGraphicFramePr>
            <a:graphic>
              <a:graphicData uri="http://schemas.openxmlformats.org/drawingml/2006/picture">
                <pic:pic>
                  <pic:nvPicPr>
                    <pic:cNvPr id="0" name="precision_recall_dca_curve.png"/>
                    <pic:cNvPicPr/>
                  </pic:nvPicPr>
                  <pic:blipFill>
                    <a:blip r:embed="rId21"/>
                    <a:stretch>
                      <a:fillRect/>
                    </a:stretch>
                  </pic:blipFill>
                  <pic:spPr>
                    <a:xfrm>
                      <a:off x="0" y="0"/>
                      <a:ext cx="5120640" cy="2143524"/>
                    </a:xfrm>
                    <a:prstGeom prst="rect"/>
                  </pic:spPr>
                </pic:pic>
              </a:graphicData>
            </a:graphic>
          </wp:inline>
        </w:drawing>
      </w:r>
    </w:p>
    <w:p>
      <w:pPr>
        <w:spacing w:before="40" w:after="200" w:line="360" w:lineRule="auto"/>
        <w:jc w:val="center"/>
      </w:pPr>
      <w:r>
        <w:rPr>
          <w:rFonts w:ascii="Times New Roman" w:hAnsi="Times New Roman"/>
          <w:b w:val="0"/>
          <w:i/>
          <w:color w:val="0A2D5A"/>
          <w:sz w:val="21"/>
        </w:rPr>
        <w:t>Figure: (A) Precision-Recall Benchmark on Imbalanced Cohort and (B) Decision Curve Analysis (DCA Net Clinical Utility)</w:t>
      </w:r>
    </w:p>
    <w:p>
      <w:pPr>
        <w:spacing w:before="40" w:after="120" w:line="360" w:lineRule="auto"/>
        <w:jc w:val="both"/>
      </w:pPr>
      <w:r>
        <w:rPr>
          <w:rFonts w:ascii="Times New Roman" w:hAnsi="Times New Roman"/>
          <w:b w:val="0"/>
          <w:i w:val="0"/>
          <w:sz w:val="24"/>
        </w:rPr>
        <w:t>The DCA curve confirms that deploying Visionary Diagnostics delivers superior net clinical benefit across all realistic threshold probabilities (p_t ∈ [0.05, 0.75]) compared to default clinical strategies of either "referring all patients" or "referring no patients".</w:t>
      </w:r>
    </w:p>
    <w:p>
      <w:pPr>
        <w:spacing w:before="280" w:after="120" w:line="360" w:lineRule="auto"/>
        <w:jc w:val="left"/>
      </w:pPr>
      <w:r>
        <w:rPr>
          <w:rFonts w:ascii="Times New Roman" w:hAnsi="Times New Roman"/>
          <w:b/>
          <w:i w:val="0"/>
          <w:color w:val="0F234B"/>
          <w:sz w:val="28"/>
        </w:rPr>
        <w:t>Confusion Matrix and Forensic Error Breakdown</w:t>
      </w:r>
    </w:p>
    <w:p>
      <w:pPr>
        <w:spacing w:before="40" w:after="120" w:line="360" w:lineRule="auto"/>
        <w:jc w:val="both"/>
      </w:pPr>
      <w:r>
        <w:rPr>
          <w:rFonts w:ascii="Times New Roman" w:hAnsi="Times New Roman"/>
          <w:b w:val="0"/>
          <w:i w:val="0"/>
          <w:sz w:val="24"/>
        </w:rPr>
        <w:t>Figure fig:confusion_matrix documents the final evaluation Confusion Matrix for the N = 1,200 clinical validation cohort.</w:t>
      </w:r>
    </w:p>
    <w:p>
      <w:pPr>
        <w:spacing w:before="160" w:after="80"/>
        <w:jc w:val="center"/>
      </w:pPr>
      <w:r>
        <w:drawing>
          <wp:inline xmlns:a="http://schemas.openxmlformats.org/drawingml/2006/main" xmlns:pic="http://schemas.openxmlformats.org/drawingml/2006/picture">
            <wp:extent cx="5120640" cy="1955382"/>
            <wp:docPr id="12" name="Picture 12"/>
            <wp:cNvGraphicFramePr>
              <a:graphicFrameLocks noChangeAspect="1"/>
            </wp:cNvGraphicFramePr>
            <a:graphic>
              <a:graphicData uri="http://schemas.openxmlformats.org/drawingml/2006/picture">
                <pic:pic>
                  <pic:nvPicPr>
                    <pic:cNvPr id="0" name="confusion_matrix.png"/>
                    <pic:cNvPicPr/>
                  </pic:nvPicPr>
                  <pic:blipFill>
                    <a:blip r:embed="rId22"/>
                    <a:stretch>
                      <a:fillRect/>
                    </a:stretch>
                  </pic:blipFill>
                  <pic:spPr>
                    <a:xfrm>
                      <a:off x="0" y="0"/>
                      <a:ext cx="5120640" cy="1955382"/>
                    </a:xfrm>
                    <a:prstGeom prst="rect"/>
                  </pic:spPr>
                </pic:pic>
              </a:graphicData>
            </a:graphic>
          </wp:inline>
        </w:drawing>
      </w:r>
    </w:p>
    <w:p>
      <w:pPr>
        <w:spacing w:before="40" w:after="200" w:line="360" w:lineRule="auto"/>
        <w:jc w:val="center"/>
      </w:pPr>
      <w:r>
        <w:rPr>
          <w:rFonts w:ascii="Times New Roman" w:hAnsi="Times New Roman"/>
          <w:b w:val="0"/>
          <w:i/>
          <w:color w:val="0A2D5A"/>
          <w:sz w:val="21"/>
        </w:rPr>
        <w:t>Figure: Final Evaluation Confusion Matrix Demonstrating Zero False Positives and Single Borderline Deferred Case</w:t>
      </w:r>
    </w:p>
    <w:p>
      <w:pPr>
        <w:spacing w:before="40" w:after="120" w:line="360" w:lineRule="auto"/>
        <w:jc w:val="both"/>
      </w:pPr>
      <w:r>
        <w:rPr>
          <w:rFonts w:ascii="Times New Roman" w:hAnsi="Times New Roman"/>
          <w:b w:val="0"/>
          <w:i/>
          <w:sz w:val="24"/>
        </w:rPr>
        <w:t>Forensic Error Analysis:</w:t>
      </w:r>
      <w:r>
        <w:rPr>
          <w:rFonts w:ascii="Times New Roman" w:hAnsi="Times New Roman"/>
          <w:b w:val="0"/>
          <w:i w:val="0"/>
          <w:sz w:val="24"/>
        </w:rPr>
        <w:t>The single false-negative observation involved an extremely subtle, localized early-stage dysplastic leukoplakia of the left retromolar trigone. Crucially, the Monte Carlo Dropout epistemic variance engine calculated a predictive variance of σ^2 = 0.0248, which automatically exceeded the safety threshold (\theta_{\text{unc}} = 0.015). Consequently, the system</w:t>
      </w:r>
      <w:r>
        <w:rPr>
          <w:rFonts w:ascii="Times New Roman" w:hAnsi="Times New Roman"/>
          <w:b w:val="0"/>
          <w:i/>
          <w:sz w:val="24"/>
        </w:rPr>
        <w:t>did not</w:t>
      </w:r>
      <w:r>
        <w:rPr>
          <w:rFonts w:ascii="Times New Roman" w:hAnsi="Times New Roman"/>
          <w:b w:val="0"/>
          <w:i w:val="0"/>
          <w:sz w:val="24"/>
        </w:rPr>
        <w:t>issue a false-reassuring negative verdict; rather, it flagged the patient as "Uncertain – Urgent Specialist Biopsy Required", completely averting clinical misdiagnosis.</w:t>
      </w:r>
    </w:p>
    <w:p>
      <w:pPr>
        <w:spacing w:before="280" w:after="120" w:line="360" w:lineRule="auto"/>
        <w:jc w:val="left"/>
      </w:pPr>
      <w:r>
        <w:rPr>
          <w:rFonts w:ascii="Times New Roman" w:hAnsi="Times New Roman"/>
          <w:b/>
          <w:i w:val="0"/>
          <w:color w:val="0F234B"/>
          <w:sz w:val="28"/>
        </w:rPr>
        <w:t>Comparative Benchmark Against Baselines and Published State-of-the-Art</w:t>
      </w:r>
    </w:p>
    <w:p>
      <w:pPr>
        <w:spacing w:before="40" w:after="120" w:line="360" w:lineRule="auto"/>
        <w:jc w:val="both"/>
      </w:pPr>
      <w:r>
        <w:rPr>
          <w:rFonts w:ascii="Times New Roman" w:hAnsi="Times New Roman"/>
          <w:b w:val="0"/>
          <w:i w:val="0"/>
          <w:sz w:val="24"/>
        </w:rPr>
        <w:t>Table tab:comparative_baselines benchmarks Visionary Diagnostics against individual component backbones and peer-reviewed state-of-the-art architectures published between 2020 and 2026.</w:t>
      </w:r>
    </w:p>
    <w:p>
      <w:pPr>
        <w:spacing w:before="200" w:after="80" w:line="360" w:lineRule="auto"/>
        <w:jc w:val="center"/>
      </w:pPr>
      <w:r>
        <w:rPr>
          <w:rFonts w:ascii="Times New Roman" w:hAnsi="Times New Roman"/>
          <w:b/>
          <w:i w:val="0"/>
          <w:color w:val="0A2D5A"/>
          <w:sz w:val="22"/>
        </w:rPr>
        <w:t>Table: Comparative Benchmark Against Component Baselines and Published State-of-the-Art</w:t>
      </w:r>
    </w:p>
    <w:tbl>
      <w:tblPr>
        <w:tblW w:type="auto" w:w="0"/>
        <w:jc w:val="center"/>
        <w:tblLook w:firstColumn="1" w:firstRow="1" w:lastColumn="0" w:lastRow="0" w:noHBand="0" w:noVBand="1" w:val="04A0"/>
      </w:tblPr>
      <w:tblGrid>
        <w:gridCol w:w="1445"/>
        <w:gridCol w:w="1445"/>
        <w:gridCol w:w="1445"/>
        <w:gridCol w:w="1445"/>
        <w:gridCol w:w="1445"/>
        <w:gridCol w:w="1445"/>
      </w:tblGrid>
      <w:tr>
        <w:tc>
          <w:tcPr>
            <w:tcW w:type="dxa" w:w="1445"/>
            <w:tcMar>
              <w:top w:w="80" w:type="dxa"/>
              <w:bottom w:w="80" w:type="dxa"/>
              <w:left w:w="120" w:type="dxa"/>
              <w:right w:w="120" w:type="dxa"/>
            </w:tcMar>
            <w:tcBorders>
              <w:top w:val="single" w:sz="2" w:space="0" w:color="B0B0B0"/>
              <w:left w:val="single" w:sz="1" w:space="0" w:color="D8D8D8"/>
              <w:bottom w:val="single" w:sz="2" w:space="0" w:color="B0B0B0"/>
              <w:right w:val="single" w:sz="1" w:space="0" w:color="D8D8D8"/>
            </w:tcBorders>
            <w:shd w:fill="EBF0F5"/>
          </w:tcPr>
          <w:p>
            <w:pPr>
              <w:jc w:val="center"/>
            </w:pPr>
            <w:r>
              <w:rPr>
                <w:rFonts w:ascii="Times New Roman" w:hAnsi="Times New Roman"/>
                <w:b/>
                <w:sz w:val="21"/>
              </w:rPr>
              <w:t>\textbf{Architecture / Study}</w:t>
            </w:r>
          </w:p>
        </w:tc>
        <w:tc>
          <w:tcPr>
            <w:tcW w:type="dxa" w:w="1445"/>
            <w:tcMar>
              <w:top w:w="80" w:type="dxa"/>
              <w:bottom w:w="80" w:type="dxa"/>
              <w:left w:w="120" w:type="dxa"/>
              <w:right w:w="120" w:type="dxa"/>
            </w:tcMar>
            <w:tcBorders>
              <w:top w:val="single" w:sz="2" w:space="0" w:color="B0B0B0"/>
              <w:left w:val="single" w:sz="1" w:space="0" w:color="D8D8D8"/>
              <w:bottom w:val="single" w:sz="2" w:space="0" w:color="B0B0B0"/>
              <w:right w:val="single" w:sz="1" w:space="0" w:color="D8D8D8"/>
            </w:tcBorders>
            <w:shd w:fill="EBF0F5"/>
          </w:tcPr>
          <w:p>
            <w:pPr>
              <w:jc w:val="center"/>
            </w:pPr>
            <w:r>
              <w:rPr>
                <w:rFonts w:ascii="Times New Roman" w:hAnsi="Times New Roman"/>
                <w:b/>
                <w:sz w:val="21"/>
              </w:rPr>
              <w:t>\textbf{Accuracy (%)}</w:t>
            </w:r>
          </w:p>
        </w:tc>
        <w:tc>
          <w:tcPr>
            <w:tcW w:type="dxa" w:w="1445"/>
            <w:tcMar>
              <w:top w:w="80" w:type="dxa"/>
              <w:bottom w:w="80" w:type="dxa"/>
              <w:left w:w="120" w:type="dxa"/>
              <w:right w:w="120" w:type="dxa"/>
            </w:tcMar>
            <w:tcBorders>
              <w:top w:val="single" w:sz="2" w:space="0" w:color="B0B0B0"/>
              <w:left w:val="single" w:sz="1" w:space="0" w:color="D8D8D8"/>
              <w:bottom w:val="single" w:sz="2" w:space="0" w:color="B0B0B0"/>
              <w:right w:val="single" w:sz="1" w:space="0" w:color="D8D8D8"/>
            </w:tcBorders>
            <w:shd w:fill="EBF0F5"/>
          </w:tcPr>
          <w:p>
            <w:pPr>
              <w:jc w:val="center"/>
            </w:pPr>
            <w:r>
              <w:rPr>
                <w:rFonts w:ascii="Times New Roman" w:hAnsi="Times New Roman"/>
                <w:b/>
                <w:sz w:val="21"/>
              </w:rPr>
              <w:t>\textbf{Sensitivity (%)}</w:t>
            </w:r>
          </w:p>
        </w:tc>
        <w:tc>
          <w:tcPr>
            <w:tcW w:type="dxa" w:w="1445"/>
            <w:tcMar>
              <w:top w:w="80" w:type="dxa"/>
              <w:bottom w:w="80" w:type="dxa"/>
              <w:left w:w="120" w:type="dxa"/>
              <w:right w:w="120" w:type="dxa"/>
            </w:tcMar>
            <w:tcBorders>
              <w:top w:val="single" w:sz="2" w:space="0" w:color="B0B0B0"/>
              <w:left w:val="single" w:sz="1" w:space="0" w:color="D8D8D8"/>
              <w:bottom w:val="single" w:sz="2" w:space="0" w:color="B0B0B0"/>
              <w:right w:val="single" w:sz="1" w:space="0" w:color="D8D8D8"/>
            </w:tcBorders>
            <w:shd w:fill="EBF0F5"/>
          </w:tcPr>
          <w:p>
            <w:pPr>
              <w:jc w:val="center"/>
            </w:pPr>
            <w:r>
              <w:rPr>
                <w:rFonts w:ascii="Times New Roman" w:hAnsi="Times New Roman"/>
                <w:b/>
                <w:sz w:val="21"/>
              </w:rPr>
              <w:t>\textbf{Specificity (%)}</w:t>
            </w:r>
          </w:p>
        </w:tc>
        <w:tc>
          <w:tcPr>
            <w:tcW w:type="dxa" w:w="1445"/>
            <w:tcMar>
              <w:top w:w="80" w:type="dxa"/>
              <w:bottom w:w="80" w:type="dxa"/>
              <w:left w:w="120" w:type="dxa"/>
              <w:right w:w="120" w:type="dxa"/>
            </w:tcMar>
            <w:tcBorders>
              <w:top w:val="single" w:sz="2" w:space="0" w:color="B0B0B0"/>
              <w:left w:val="single" w:sz="1" w:space="0" w:color="D8D8D8"/>
              <w:bottom w:val="single" w:sz="2" w:space="0" w:color="B0B0B0"/>
              <w:right w:val="single" w:sz="1" w:space="0" w:color="D8D8D8"/>
            </w:tcBorders>
            <w:shd w:fill="EBF0F5"/>
          </w:tcPr>
          <w:p>
            <w:pPr>
              <w:jc w:val="center"/>
            </w:pPr>
            <w:r>
              <w:rPr>
                <w:rFonts w:ascii="Times New Roman" w:hAnsi="Times New Roman"/>
                <w:b/>
                <w:sz w:val="21"/>
              </w:rPr>
              <w:t>\textbf{AUROC}</w:t>
            </w:r>
          </w:p>
        </w:tc>
        <w:tc>
          <w:tcPr>
            <w:tcW w:type="dxa" w:w="1445"/>
            <w:tcMar>
              <w:top w:w="80" w:type="dxa"/>
              <w:bottom w:w="80" w:type="dxa"/>
              <w:left w:w="120" w:type="dxa"/>
              <w:right w:w="120" w:type="dxa"/>
            </w:tcMar>
            <w:tcBorders>
              <w:top w:val="single" w:sz="2" w:space="0" w:color="B0B0B0"/>
              <w:left w:val="single" w:sz="1" w:space="0" w:color="D8D8D8"/>
              <w:bottom w:val="single" w:sz="2" w:space="0" w:color="B0B0B0"/>
              <w:right w:val="single" w:sz="1" w:space="0" w:color="D8D8D8"/>
            </w:tcBorders>
            <w:shd w:fill="EBF0F5"/>
          </w:tcPr>
          <w:p>
            <w:pPr>
              <w:jc w:val="center"/>
            </w:pPr>
            <w:r>
              <w:rPr>
                <w:rFonts w:ascii="Times New Roman" w:hAnsi="Times New Roman"/>
                <w:b/>
                <w:sz w:val="21"/>
              </w:rPr>
              <w:t>\textbf{Uncertainty?}</w:t>
            </w:r>
          </w:p>
        </w:tc>
      </w:tr>
      <w:tr>
        <w:tc>
          <w:tcPr>
            <w:tcW w:type="dxa" w:w="1445"/>
            <w:tcMar>
              <w:top w:w="80" w:type="dxa"/>
              <w:bottom w:w="80" w:type="dxa"/>
              <w:left w:w="120" w:type="dxa"/>
              <w:right w:w="120" w:type="dxa"/>
            </w:tcMar>
            <w:tcBorders>
              <w:top w:val="single" w:sz="2" w:space="0" w:color="B0B0B0"/>
              <w:left w:val="single" w:sz="1" w:space="0" w:color="D8D8D8"/>
              <w:bottom w:val="single" w:sz="2" w:space="0" w:color="B0B0B0"/>
              <w:right w:val="single" w:sz="1" w:space="0" w:color="D8D8D8"/>
            </w:tcBorders>
          </w:tcPr>
          <w:p>
            <w:pPr>
              <w:jc w:val="left"/>
            </w:pPr>
            <w:r>
              <w:rPr>
                <w:rFonts w:ascii="Times New Roman" w:hAnsi="Times New Roman"/>
                <w:sz w:val="20"/>
              </w:rPr>
              <w:t>VGG-16 Baseline</w:t>
            </w:r>
          </w:p>
        </w:tc>
        <w:tc>
          <w:tcPr>
            <w:tcW w:type="dxa" w:w="1445"/>
            <w:tcMar>
              <w:top w:w="80" w:type="dxa"/>
              <w:bottom w:w="80" w:type="dxa"/>
              <w:left w:w="120" w:type="dxa"/>
              <w:right w:w="120" w:type="dxa"/>
            </w:tcMar>
            <w:tcBorders>
              <w:top w:val="single" w:sz="2" w:space="0" w:color="B0B0B0"/>
              <w:left w:val="single" w:sz="1" w:space="0" w:color="D8D8D8"/>
              <w:bottom w:val="single" w:sz="2" w:space="0" w:color="B0B0B0"/>
              <w:right w:val="single" w:sz="1" w:space="0" w:color="D8D8D8"/>
            </w:tcBorders>
          </w:tcPr>
          <w:p>
            <w:pPr>
              <w:jc w:val="left"/>
            </w:pPr>
            <w:r>
              <w:rPr>
                <w:rFonts w:ascii="Times New Roman" w:hAnsi="Times New Roman"/>
                <w:sz w:val="20"/>
              </w:rPr>
              <w:t>91.8%</w:t>
            </w:r>
          </w:p>
        </w:tc>
        <w:tc>
          <w:tcPr>
            <w:tcW w:type="dxa" w:w="1445"/>
            <w:tcMar>
              <w:top w:w="80" w:type="dxa"/>
              <w:bottom w:w="80" w:type="dxa"/>
              <w:left w:w="120" w:type="dxa"/>
              <w:right w:w="120" w:type="dxa"/>
            </w:tcMar>
            <w:tcBorders>
              <w:top w:val="single" w:sz="2" w:space="0" w:color="B0B0B0"/>
              <w:left w:val="single" w:sz="1" w:space="0" w:color="D8D8D8"/>
              <w:bottom w:val="single" w:sz="2" w:space="0" w:color="B0B0B0"/>
              <w:right w:val="single" w:sz="1" w:space="0" w:color="D8D8D8"/>
            </w:tcBorders>
          </w:tcPr>
          <w:p>
            <w:pPr>
              <w:jc w:val="left"/>
            </w:pPr>
            <w:r>
              <w:rPr>
                <w:rFonts w:ascii="Times New Roman" w:hAnsi="Times New Roman"/>
                <w:sz w:val="20"/>
              </w:rPr>
              <w:t>89.4%</w:t>
            </w:r>
          </w:p>
        </w:tc>
        <w:tc>
          <w:tcPr>
            <w:tcW w:type="dxa" w:w="1445"/>
            <w:tcMar>
              <w:top w:w="80" w:type="dxa"/>
              <w:bottom w:w="80" w:type="dxa"/>
              <w:left w:w="120" w:type="dxa"/>
              <w:right w:w="120" w:type="dxa"/>
            </w:tcMar>
            <w:tcBorders>
              <w:top w:val="single" w:sz="2" w:space="0" w:color="B0B0B0"/>
              <w:left w:val="single" w:sz="1" w:space="0" w:color="D8D8D8"/>
              <w:bottom w:val="single" w:sz="2" w:space="0" w:color="B0B0B0"/>
              <w:right w:val="single" w:sz="1" w:space="0" w:color="D8D8D8"/>
            </w:tcBorders>
          </w:tcPr>
          <w:p>
            <w:pPr>
              <w:jc w:val="left"/>
            </w:pPr>
            <w:r>
              <w:rPr>
                <w:rFonts w:ascii="Times New Roman" w:hAnsi="Times New Roman"/>
                <w:sz w:val="20"/>
              </w:rPr>
              <w:t>94.2%</w:t>
            </w:r>
          </w:p>
        </w:tc>
        <w:tc>
          <w:tcPr>
            <w:tcW w:type="dxa" w:w="1445"/>
            <w:tcMar>
              <w:top w:w="80" w:type="dxa"/>
              <w:bottom w:w="80" w:type="dxa"/>
              <w:left w:w="120" w:type="dxa"/>
              <w:right w:w="120" w:type="dxa"/>
            </w:tcMar>
            <w:tcBorders>
              <w:top w:val="single" w:sz="2" w:space="0" w:color="B0B0B0"/>
              <w:left w:val="single" w:sz="1" w:space="0" w:color="D8D8D8"/>
              <w:bottom w:val="single" w:sz="2" w:space="0" w:color="B0B0B0"/>
              <w:right w:val="single" w:sz="1" w:space="0" w:color="D8D8D8"/>
            </w:tcBorders>
          </w:tcPr>
          <w:p>
            <w:pPr>
              <w:jc w:val="left"/>
            </w:pPr>
            <w:r>
              <w:rPr>
                <w:rFonts w:ascii="Times New Roman" w:hAnsi="Times New Roman"/>
                <w:sz w:val="20"/>
              </w:rPr>
              <w:t>0.945</w:t>
            </w:r>
          </w:p>
        </w:tc>
        <w:tc>
          <w:tcPr>
            <w:tcW w:type="dxa" w:w="1445"/>
            <w:tcMar>
              <w:top w:w="80" w:type="dxa"/>
              <w:bottom w:w="80" w:type="dxa"/>
              <w:left w:w="120" w:type="dxa"/>
              <w:right w:w="120" w:type="dxa"/>
            </w:tcMar>
            <w:tcBorders>
              <w:top w:val="single" w:sz="2" w:space="0" w:color="B0B0B0"/>
              <w:left w:val="single" w:sz="1" w:space="0" w:color="D8D8D8"/>
              <w:bottom w:val="single" w:sz="2" w:space="0" w:color="B0B0B0"/>
              <w:right w:val="single" w:sz="1" w:space="0" w:color="D8D8D8"/>
            </w:tcBorders>
          </w:tcPr>
          <w:p>
            <w:pPr>
              <w:jc w:val="left"/>
            </w:pPr>
            <w:r>
              <w:rPr>
                <w:rFonts w:ascii="Times New Roman" w:hAnsi="Times New Roman"/>
                <w:sz w:val="20"/>
              </w:rPr>
              <w:t>No</w:t>
            </w:r>
          </w:p>
        </w:tc>
      </w:tr>
      <w:tr>
        <w:tc>
          <w:tcPr>
            <w:tcW w:type="dxa" w:w="1445"/>
            <w:tcMar>
              <w:top w:w="80" w:type="dxa"/>
              <w:bottom w:w="80" w:type="dxa"/>
              <w:left w:w="120" w:type="dxa"/>
              <w:right w:w="120" w:type="dxa"/>
            </w:tcMar>
            <w:tcBorders>
              <w:top w:val="single" w:sz="2" w:space="0" w:color="B0B0B0"/>
              <w:left w:val="single" w:sz="1" w:space="0" w:color="D8D8D8"/>
              <w:bottom w:val="single" w:sz="2" w:space="0" w:color="B0B0B0"/>
              <w:right w:val="single" w:sz="1" w:space="0" w:color="D8D8D8"/>
            </w:tcBorders>
          </w:tcPr>
          <w:p>
            <w:pPr>
              <w:jc w:val="left"/>
            </w:pPr>
            <w:r>
              <w:rPr>
                <w:rFonts w:ascii="Times New Roman" w:hAnsi="Times New Roman"/>
                <w:sz w:val="20"/>
              </w:rPr>
              <w:t>MobileNetV2 Baseline</w:t>
            </w:r>
          </w:p>
        </w:tc>
        <w:tc>
          <w:tcPr>
            <w:tcW w:type="dxa" w:w="1445"/>
            <w:tcMar>
              <w:top w:w="80" w:type="dxa"/>
              <w:bottom w:w="80" w:type="dxa"/>
              <w:left w:w="120" w:type="dxa"/>
              <w:right w:w="120" w:type="dxa"/>
            </w:tcMar>
            <w:tcBorders>
              <w:top w:val="single" w:sz="2" w:space="0" w:color="B0B0B0"/>
              <w:left w:val="single" w:sz="1" w:space="0" w:color="D8D8D8"/>
              <w:bottom w:val="single" w:sz="2" w:space="0" w:color="B0B0B0"/>
              <w:right w:val="single" w:sz="1" w:space="0" w:color="D8D8D8"/>
            </w:tcBorders>
          </w:tcPr>
          <w:p>
            <w:pPr>
              <w:jc w:val="left"/>
            </w:pPr>
            <w:r>
              <w:rPr>
                <w:rFonts w:ascii="Times New Roman" w:hAnsi="Times New Roman"/>
                <w:sz w:val="20"/>
              </w:rPr>
              <w:t>89.2%</w:t>
            </w:r>
          </w:p>
        </w:tc>
        <w:tc>
          <w:tcPr>
            <w:tcW w:type="dxa" w:w="1445"/>
            <w:tcMar>
              <w:top w:w="80" w:type="dxa"/>
              <w:bottom w:w="80" w:type="dxa"/>
              <w:left w:w="120" w:type="dxa"/>
              <w:right w:w="120" w:type="dxa"/>
            </w:tcMar>
            <w:tcBorders>
              <w:top w:val="single" w:sz="2" w:space="0" w:color="B0B0B0"/>
              <w:left w:val="single" w:sz="1" w:space="0" w:color="D8D8D8"/>
              <w:bottom w:val="single" w:sz="2" w:space="0" w:color="B0B0B0"/>
              <w:right w:val="single" w:sz="1" w:space="0" w:color="D8D8D8"/>
            </w:tcBorders>
          </w:tcPr>
          <w:p>
            <w:pPr>
              <w:jc w:val="left"/>
            </w:pPr>
            <w:r>
              <w:rPr>
                <w:rFonts w:ascii="Times New Roman" w:hAnsi="Times New Roman"/>
                <w:sz w:val="20"/>
              </w:rPr>
              <w:t>87.1%</w:t>
            </w:r>
          </w:p>
        </w:tc>
        <w:tc>
          <w:tcPr>
            <w:tcW w:type="dxa" w:w="1445"/>
            <w:tcMar>
              <w:top w:w="80" w:type="dxa"/>
              <w:bottom w:w="80" w:type="dxa"/>
              <w:left w:w="120" w:type="dxa"/>
              <w:right w:w="120" w:type="dxa"/>
            </w:tcMar>
            <w:tcBorders>
              <w:top w:val="single" w:sz="2" w:space="0" w:color="B0B0B0"/>
              <w:left w:val="single" w:sz="1" w:space="0" w:color="D8D8D8"/>
              <w:bottom w:val="single" w:sz="2" w:space="0" w:color="B0B0B0"/>
              <w:right w:val="single" w:sz="1" w:space="0" w:color="D8D8D8"/>
            </w:tcBorders>
          </w:tcPr>
          <w:p>
            <w:pPr>
              <w:jc w:val="left"/>
            </w:pPr>
            <w:r>
              <w:rPr>
                <w:rFonts w:ascii="Times New Roman" w:hAnsi="Times New Roman"/>
                <w:sz w:val="20"/>
              </w:rPr>
              <w:t>91.3%</w:t>
            </w:r>
          </w:p>
        </w:tc>
        <w:tc>
          <w:tcPr>
            <w:tcW w:type="dxa" w:w="1445"/>
            <w:tcMar>
              <w:top w:w="80" w:type="dxa"/>
              <w:bottom w:w="80" w:type="dxa"/>
              <w:left w:w="120" w:type="dxa"/>
              <w:right w:w="120" w:type="dxa"/>
            </w:tcMar>
            <w:tcBorders>
              <w:top w:val="single" w:sz="2" w:space="0" w:color="B0B0B0"/>
              <w:left w:val="single" w:sz="1" w:space="0" w:color="D8D8D8"/>
              <w:bottom w:val="single" w:sz="2" w:space="0" w:color="B0B0B0"/>
              <w:right w:val="single" w:sz="1" w:space="0" w:color="D8D8D8"/>
            </w:tcBorders>
          </w:tcPr>
          <w:p>
            <w:pPr>
              <w:jc w:val="left"/>
            </w:pPr>
            <w:r>
              <w:rPr>
                <w:rFonts w:ascii="Times New Roman" w:hAnsi="Times New Roman"/>
                <w:sz w:val="20"/>
              </w:rPr>
              <w:t>0.928</w:t>
            </w:r>
          </w:p>
        </w:tc>
        <w:tc>
          <w:tcPr>
            <w:tcW w:type="dxa" w:w="1445"/>
            <w:tcMar>
              <w:top w:w="80" w:type="dxa"/>
              <w:bottom w:w="80" w:type="dxa"/>
              <w:left w:w="120" w:type="dxa"/>
              <w:right w:w="120" w:type="dxa"/>
            </w:tcMar>
            <w:tcBorders>
              <w:top w:val="single" w:sz="2" w:space="0" w:color="B0B0B0"/>
              <w:left w:val="single" w:sz="1" w:space="0" w:color="D8D8D8"/>
              <w:bottom w:val="single" w:sz="2" w:space="0" w:color="B0B0B0"/>
              <w:right w:val="single" w:sz="1" w:space="0" w:color="D8D8D8"/>
            </w:tcBorders>
          </w:tcPr>
          <w:p>
            <w:pPr>
              <w:jc w:val="left"/>
            </w:pPr>
            <w:r>
              <w:rPr>
                <w:rFonts w:ascii="Times New Roman" w:hAnsi="Times New Roman"/>
                <w:sz w:val="20"/>
              </w:rPr>
              <w:t>No</w:t>
            </w:r>
          </w:p>
        </w:tc>
      </w:tr>
      <w:tr>
        <w:tc>
          <w:tcPr>
            <w:tcW w:type="dxa" w:w="1445"/>
            <w:tcMar>
              <w:top w:w="80" w:type="dxa"/>
              <w:bottom w:w="80" w:type="dxa"/>
              <w:left w:w="120" w:type="dxa"/>
              <w:right w:w="120" w:type="dxa"/>
            </w:tcMar>
            <w:tcBorders>
              <w:top w:val="single" w:sz="2" w:space="0" w:color="B0B0B0"/>
              <w:left w:val="single" w:sz="1" w:space="0" w:color="D8D8D8"/>
              <w:bottom w:val="single" w:sz="2" w:space="0" w:color="B0B0B0"/>
              <w:right w:val="single" w:sz="1" w:space="0" w:color="D8D8D8"/>
            </w:tcBorders>
          </w:tcPr>
          <w:p>
            <w:pPr>
              <w:jc w:val="left"/>
            </w:pPr>
            <w:r>
              <w:rPr>
                <w:rFonts w:ascii="Times New Roman" w:hAnsi="Times New Roman"/>
                <w:sz w:val="20"/>
              </w:rPr>
              <w:t>EfficientNet-B0 Baseline</w:t>
            </w:r>
          </w:p>
        </w:tc>
        <w:tc>
          <w:tcPr>
            <w:tcW w:type="dxa" w:w="1445"/>
            <w:tcMar>
              <w:top w:w="80" w:type="dxa"/>
              <w:bottom w:w="80" w:type="dxa"/>
              <w:left w:w="120" w:type="dxa"/>
              <w:right w:w="120" w:type="dxa"/>
            </w:tcMar>
            <w:tcBorders>
              <w:top w:val="single" w:sz="2" w:space="0" w:color="B0B0B0"/>
              <w:left w:val="single" w:sz="1" w:space="0" w:color="D8D8D8"/>
              <w:bottom w:val="single" w:sz="2" w:space="0" w:color="B0B0B0"/>
              <w:right w:val="single" w:sz="1" w:space="0" w:color="D8D8D8"/>
            </w:tcBorders>
          </w:tcPr>
          <w:p>
            <w:pPr>
              <w:jc w:val="left"/>
            </w:pPr>
            <w:r>
              <w:rPr>
                <w:rFonts w:ascii="Times New Roman" w:hAnsi="Times New Roman"/>
                <w:sz w:val="20"/>
              </w:rPr>
              <w:t>93.6%</w:t>
            </w:r>
          </w:p>
        </w:tc>
        <w:tc>
          <w:tcPr>
            <w:tcW w:type="dxa" w:w="1445"/>
            <w:tcMar>
              <w:top w:w="80" w:type="dxa"/>
              <w:bottom w:w="80" w:type="dxa"/>
              <w:left w:w="120" w:type="dxa"/>
              <w:right w:w="120" w:type="dxa"/>
            </w:tcMar>
            <w:tcBorders>
              <w:top w:val="single" w:sz="2" w:space="0" w:color="B0B0B0"/>
              <w:left w:val="single" w:sz="1" w:space="0" w:color="D8D8D8"/>
              <w:bottom w:val="single" w:sz="2" w:space="0" w:color="B0B0B0"/>
              <w:right w:val="single" w:sz="1" w:space="0" w:color="D8D8D8"/>
            </w:tcBorders>
          </w:tcPr>
          <w:p>
            <w:pPr>
              <w:jc w:val="left"/>
            </w:pPr>
            <w:r>
              <w:rPr>
                <w:rFonts w:ascii="Times New Roman" w:hAnsi="Times New Roman"/>
                <w:sz w:val="20"/>
              </w:rPr>
              <w:t>92.0%</w:t>
            </w:r>
          </w:p>
        </w:tc>
        <w:tc>
          <w:tcPr>
            <w:tcW w:type="dxa" w:w="1445"/>
            <w:tcMar>
              <w:top w:w="80" w:type="dxa"/>
              <w:bottom w:w="80" w:type="dxa"/>
              <w:left w:w="120" w:type="dxa"/>
              <w:right w:w="120" w:type="dxa"/>
            </w:tcMar>
            <w:tcBorders>
              <w:top w:val="single" w:sz="2" w:space="0" w:color="B0B0B0"/>
              <w:left w:val="single" w:sz="1" w:space="0" w:color="D8D8D8"/>
              <w:bottom w:val="single" w:sz="2" w:space="0" w:color="B0B0B0"/>
              <w:right w:val="single" w:sz="1" w:space="0" w:color="D8D8D8"/>
            </w:tcBorders>
          </w:tcPr>
          <w:p>
            <w:pPr>
              <w:jc w:val="left"/>
            </w:pPr>
            <w:r>
              <w:rPr>
                <w:rFonts w:ascii="Times New Roman" w:hAnsi="Times New Roman"/>
                <w:sz w:val="20"/>
              </w:rPr>
              <w:t>95.2%</w:t>
            </w:r>
          </w:p>
        </w:tc>
        <w:tc>
          <w:tcPr>
            <w:tcW w:type="dxa" w:w="1445"/>
            <w:tcMar>
              <w:top w:w="80" w:type="dxa"/>
              <w:bottom w:w="80" w:type="dxa"/>
              <w:left w:w="120" w:type="dxa"/>
              <w:right w:w="120" w:type="dxa"/>
            </w:tcMar>
            <w:tcBorders>
              <w:top w:val="single" w:sz="2" w:space="0" w:color="B0B0B0"/>
              <w:left w:val="single" w:sz="1" w:space="0" w:color="D8D8D8"/>
              <w:bottom w:val="single" w:sz="2" w:space="0" w:color="B0B0B0"/>
              <w:right w:val="single" w:sz="1" w:space="0" w:color="D8D8D8"/>
            </w:tcBorders>
          </w:tcPr>
          <w:p>
            <w:pPr>
              <w:jc w:val="left"/>
            </w:pPr>
            <w:r>
              <w:rPr>
                <w:rFonts w:ascii="Times New Roman" w:hAnsi="Times New Roman"/>
                <w:sz w:val="20"/>
              </w:rPr>
              <w:t>0.962</w:t>
            </w:r>
          </w:p>
        </w:tc>
        <w:tc>
          <w:tcPr>
            <w:tcW w:type="dxa" w:w="1445"/>
            <w:tcMar>
              <w:top w:w="80" w:type="dxa"/>
              <w:bottom w:w="80" w:type="dxa"/>
              <w:left w:w="120" w:type="dxa"/>
              <w:right w:w="120" w:type="dxa"/>
            </w:tcMar>
            <w:tcBorders>
              <w:top w:val="single" w:sz="2" w:space="0" w:color="B0B0B0"/>
              <w:left w:val="single" w:sz="1" w:space="0" w:color="D8D8D8"/>
              <w:bottom w:val="single" w:sz="2" w:space="0" w:color="B0B0B0"/>
              <w:right w:val="single" w:sz="1" w:space="0" w:color="D8D8D8"/>
            </w:tcBorders>
          </w:tcPr>
          <w:p>
            <w:pPr>
              <w:jc w:val="left"/>
            </w:pPr>
            <w:r>
              <w:rPr>
                <w:rFonts w:ascii="Times New Roman" w:hAnsi="Times New Roman"/>
                <w:sz w:val="20"/>
              </w:rPr>
              <w:t>No</w:t>
            </w:r>
          </w:p>
        </w:tc>
      </w:tr>
      <w:tr>
        <w:tc>
          <w:tcPr>
            <w:tcW w:type="dxa" w:w="1445"/>
            <w:tcMar>
              <w:top w:w="80" w:type="dxa"/>
              <w:bottom w:w="80" w:type="dxa"/>
              <w:left w:w="120" w:type="dxa"/>
              <w:right w:w="120" w:type="dxa"/>
            </w:tcMar>
            <w:tcBorders>
              <w:top w:val="single" w:sz="2" w:space="0" w:color="B0B0B0"/>
              <w:left w:val="single" w:sz="1" w:space="0" w:color="D8D8D8"/>
              <w:bottom w:val="single" w:sz="2" w:space="0" w:color="B0B0B0"/>
              <w:right w:val="single" w:sz="1" w:space="0" w:color="D8D8D8"/>
            </w:tcBorders>
          </w:tcPr>
          <w:p>
            <w:pPr>
              <w:jc w:val="left"/>
            </w:pPr>
            <w:r>
              <w:rPr>
                <w:rFonts w:ascii="Times New Roman" w:hAnsi="Times New Roman"/>
                <w:sz w:val="20"/>
              </w:rPr>
              <w:t>ResNet-50 Baseline</w:t>
            </w:r>
          </w:p>
        </w:tc>
        <w:tc>
          <w:tcPr>
            <w:tcW w:type="dxa" w:w="1445"/>
            <w:tcMar>
              <w:top w:w="80" w:type="dxa"/>
              <w:bottom w:w="80" w:type="dxa"/>
              <w:left w:w="120" w:type="dxa"/>
              <w:right w:w="120" w:type="dxa"/>
            </w:tcMar>
            <w:tcBorders>
              <w:top w:val="single" w:sz="2" w:space="0" w:color="B0B0B0"/>
              <w:left w:val="single" w:sz="1" w:space="0" w:color="D8D8D8"/>
              <w:bottom w:val="single" w:sz="2" w:space="0" w:color="B0B0B0"/>
              <w:right w:val="single" w:sz="1" w:space="0" w:color="D8D8D8"/>
            </w:tcBorders>
          </w:tcPr>
          <w:p>
            <w:pPr>
              <w:jc w:val="left"/>
            </w:pPr>
            <w:r>
              <w:rPr>
                <w:rFonts w:ascii="Times New Roman" w:hAnsi="Times New Roman"/>
                <w:sz w:val="20"/>
              </w:rPr>
              <w:t>94.8%</w:t>
            </w:r>
          </w:p>
        </w:tc>
        <w:tc>
          <w:tcPr>
            <w:tcW w:type="dxa" w:w="1445"/>
            <w:tcMar>
              <w:top w:w="80" w:type="dxa"/>
              <w:bottom w:w="80" w:type="dxa"/>
              <w:left w:w="120" w:type="dxa"/>
              <w:right w:w="120" w:type="dxa"/>
            </w:tcMar>
            <w:tcBorders>
              <w:top w:val="single" w:sz="2" w:space="0" w:color="B0B0B0"/>
              <w:left w:val="single" w:sz="1" w:space="0" w:color="D8D8D8"/>
              <w:bottom w:val="single" w:sz="2" w:space="0" w:color="B0B0B0"/>
              <w:right w:val="single" w:sz="1" w:space="0" w:color="D8D8D8"/>
            </w:tcBorders>
          </w:tcPr>
          <w:p>
            <w:pPr>
              <w:jc w:val="left"/>
            </w:pPr>
            <w:r>
              <w:rPr>
                <w:rFonts w:ascii="Times New Roman" w:hAnsi="Times New Roman"/>
                <w:sz w:val="20"/>
              </w:rPr>
              <w:t>93.5%</w:t>
            </w:r>
          </w:p>
        </w:tc>
        <w:tc>
          <w:tcPr>
            <w:tcW w:type="dxa" w:w="1445"/>
            <w:tcMar>
              <w:top w:w="80" w:type="dxa"/>
              <w:bottom w:w="80" w:type="dxa"/>
              <w:left w:w="120" w:type="dxa"/>
              <w:right w:w="120" w:type="dxa"/>
            </w:tcMar>
            <w:tcBorders>
              <w:top w:val="single" w:sz="2" w:space="0" w:color="B0B0B0"/>
              <w:left w:val="single" w:sz="1" w:space="0" w:color="D8D8D8"/>
              <w:bottom w:val="single" w:sz="2" w:space="0" w:color="B0B0B0"/>
              <w:right w:val="single" w:sz="1" w:space="0" w:color="D8D8D8"/>
            </w:tcBorders>
          </w:tcPr>
          <w:p>
            <w:pPr>
              <w:jc w:val="left"/>
            </w:pPr>
            <w:r>
              <w:rPr>
                <w:rFonts w:ascii="Times New Roman" w:hAnsi="Times New Roman"/>
                <w:sz w:val="20"/>
              </w:rPr>
              <w:t>96.1%</w:t>
            </w:r>
          </w:p>
        </w:tc>
        <w:tc>
          <w:tcPr>
            <w:tcW w:type="dxa" w:w="1445"/>
            <w:tcMar>
              <w:top w:w="80" w:type="dxa"/>
              <w:bottom w:w="80" w:type="dxa"/>
              <w:left w:w="120" w:type="dxa"/>
              <w:right w:w="120" w:type="dxa"/>
            </w:tcMar>
            <w:tcBorders>
              <w:top w:val="single" w:sz="2" w:space="0" w:color="B0B0B0"/>
              <w:left w:val="single" w:sz="1" w:space="0" w:color="D8D8D8"/>
              <w:bottom w:val="single" w:sz="2" w:space="0" w:color="B0B0B0"/>
              <w:right w:val="single" w:sz="1" w:space="0" w:color="D8D8D8"/>
            </w:tcBorders>
          </w:tcPr>
          <w:p>
            <w:pPr>
              <w:jc w:val="left"/>
            </w:pPr>
            <w:r>
              <w:rPr>
                <w:rFonts w:ascii="Times New Roman" w:hAnsi="Times New Roman"/>
                <w:sz w:val="20"/>
              </w:rPr>
              <w:t>0.974</w:t>
            </w:r>
          </w:p>
        </w:tc>
        <w:tc>
          <w:tcPr>
            <w:tcW w:type="dxa" w:w="1445"/>
            <w:tcMar>
              <w:top w:w="80" w:type="dxa"/>
              <w:bottom w:w="80" w:type="dxa"/>
              <w:left w:w="120" w:type="dxa"/>
              <w:right w:w="120" w:type="dxa"/>
            </w:tcMar>
            <w:tcBorders>
              <w:top w:val="single" w:sz="2" w:space="0" w:color="B0B0B0"/>
              <w:left w:val="single" w:sz="1" w:space="0" w:color="D8D8D8"/>
              <w:bottom w:val="single" w:sz="2" w:space="0" w:color="B0B0B0"/>
              <w:right w:val="single" w:sz="1" w:space="0" w:color="D8D8D8"/>
            </w:tcBorders>
          </w:tcPr>
          <w:p>
            <w:pPr>
              <w:jc w:val="left"/>
            </w:pPr>
            <w:r>
              <w:rPr>
                <w:rFonts w:ascii="Times New Roman" w:hAnsi="Times New Roman"/>
                <w:sz w:val="20"/>
              </w:rPr>
              <w:t>No</w:t>
            </w:r>
          </w:p>
        </w:tc>
      </w:tr>
      <w:tr>
        <w:tc>
          <w:tcPr>
            <w:tcW w:type="dxa" w:w="1445"/>
            <w:tcMar>
              <w:top w:w="80" w:type="dxa"/>
              <w:bottom w:w="80" w:type="dxa"/>
              <w:left w:w="120" w:type="dxa"/>
              <w:right w:w="120" w:type="dxa"/>
            </w:tcMar>
            <w:tcBorders>
              <w:top w:val="single" w:sz="2" w:space="0" w:color="B0B0B0"/>
              <w:left w:val="single" w:sz="1" w:space="0" w:color="D8D8D8"/>
              <w:bottom w:val="single" w:sz="2" w:space="0" w:color="B0B0B0"/>
              <w:right w:val="single" w:sz="1" w:space="0" w:color="D8D8D8"/>
            </w:tcBorders>
          </w:tcPr>
          <w:p>
            <w:pPr>
              <w:jc w:val="left"/>
            </w:pPr>
            <w:r>
              <w:rPr>
                <w:rFonts w:ascii="Times New Roman" w:hAnsi="Times New Roman"/>
                <w:sz w:val="20"/>
              </w:rPr>
              <w:t>Welikala et al. (2020) [welikala2020automated]</w:t>
            </w:r>
          </w:p>
        </w:tc>
        <w:tc>
          <w:tcPr>
            <w:tcW w:type="dxa" w:w="1445"/>
            <w:tcMar>
              <w:top w:w="80" w:type="dxa"/>
              <w:bottom w:w="80" w:type="dxa"/>
              <w:left w:w="120" w:type="dxa"/>
              <w:right w:w="120" w:type="dxa"/>
            </w:tcMar>
            <w:tcBorders>
              <w:top w:val="single" w:sz="2" w:space="0" w:color="B0B0B0"/>
              <w:left w:val="single" w:sz="1" w:space="0" w:color="D8D8D8"/>
              <w:bottom w:val="single" w:sz="2" w:space="0" w:color="B0B0B0"/>
              <w:right w:val="single" w:sz="1" w:space="0" w:color="D8D8D8"/>
            </w:tcBorders>
          </w:tcPr>
          <w:p>
            <w:pPr>
              <w:jc w:val="left"/>
            </w:pPr>
            <w:r>
              <w:rPr>
                <w:rFonts w:ascii="Times New Roman" w:hAnsi="Times New Roman"/>
                <w:sz w:val="20"/>
              </w:rPr>
              <w:t>87.0%</w:t>
            </w:r>
          </w:p>
        </w:tc>
        <w:tc>
          <w:tcPr>
            <w:tcW w:type="dxa" w:w="1445"/>
            <w:tcMar>
              <w:top w:w="80" w:type="dxa"/>
              <w:bottom w:w="80" w:type="dxa"/>
              <w:left w:w="120" w:type="dxa"/>
              <w:right w:w="120" w:type="dxa"/>
            </w:tcMar>
            <w:tcBorders>
              <w:top w:val="single" w:sz="2" w:space="0" w:color="B0B0B0"/>
              <w:left w:val="single" w:sz="1" w:space="0" w:color="D8D8D8"/>
              <w:bottom w:val="single" w:sz="2" w:space="0" w:color="B0B0B0"/>
              <w:right w:val="single" w:sz="1" w:space="0" w:color="D8D8D8"/>
            </w:tcBorders>
          </w:tcPr>
          <w:p>
            <w:pPr>
              <w:jc w:val="left"/>
            </w:pPr>
            <w:r>
              <w:rPr>
                <w:rFonts w:ascii="Times New Roman" w:hAnsi="Times New Roman"/>
                <w:sz w:val="20"/>
              </w:rPr>
              <w:t>87.0%</w:t>
            </w:r>
          </w:p>
        </w:tc>
        <w:tc>
          <w:tcPr>
            <w:tcW w:type="dxa" w:w="1445"/>
            <w:tcMar>
              <w:top w:w="80" w:type="dxa"/>
              <w:bottom w:w="80" w:type="dxa"/>
              <w:left w:w="120" w:type="dxa"/>
              <w:right w:w="120" w:type="dxa"/>
            </w:tcMar>
            <w:tcBorders>
              <w:top w:val="single" w:sz="2" w:space="0" w:color="B0B0B0"/>
              <w:left w:val="single" w:sz="1" w:space="0" w:color="D8D8D8"/>
              <w:bottom w:val="single" w:sz="2" w:space="0" w:color="B0B0B0"/>
              <w:right w:val="single" w:sz="1" w:space="0" w:color="D8D8D8"/>
            </w:tcBorders>
          </w:tcPr>
          <w:p>
            <w:pPr>
              <w:jc w:val="left"/>
            </w:pPr>
            <w:r>
              <w:rPr>
                <w:rFonts w:ascii="Times New Roman" w:hAnsi="Times New Roman"/>
                <w:sz w:val="20"/>
              </w:rPr>
              <w:t>78.5%</w:t>
            </w:r>
          </w:p>
        </w:tc>
        <w:tc>
          <w:tcPr>
            <w:tcW w:type="dxa" w:w="1445"/>
            <w:tcMar>
              <w:top w:w="80" w:type="dxa"/>
              <w:bottom w:w="80" w:type="dxa"/>
              <w:left w:w="120" w:type="dxa"/>
              <w:right w:w="120" w:type="dxa"/>
            </w:tcMar>
            <w:tcBorders>
              <w:top w:val="single" w:sz="2" w:space="0" w:color="B0B0B0"/>
              <w:left w:val="single" w:sz="1" w:space="0" w:color="D8D8D8"/>
              <w:bottom w:val="single" w:sz="2" w:space="0" w:color="B0B0B0"/>
              <w:right w:val="single" w:sz="1" w:space="0" w:color="D8D8D8"/>
            </w:tcBorders>
          </w:tcPr>
          <w:p>
            <w:pPr>
              <w:jc w:val="left"/>
            </w:pPr>
            <w:r>
              <w:rPr>
                <w:rFonts w:ascii="Times New Roman" w:hAnsi="Times New Roman"/>
                <w:sz w:val="20"/>
              </w:rPr>
              <w:t>0.892</w:t>
            </w:r>
          </w:p>
        </w:tc>
        <w:tc>
          <w:tcPr>
            <w:tcW w:type="dxa" w:w="1445"/>
            <w:tcMar>
              <w:top w:w="80" w:type="dxa"/>
              <w:bottom w:w="80" w:type="dxa"/>
              <w:left w:w="120" w:type="dxa"/>
              <w:right w:w="120" w:type="dxa"/>
            </w:tcMar>
            <w:tcBorders>
              <w:top w:val="single" w:sz="2" w:space="0" w:color="B0B0B0"/>
              <w:left w:val="single" w:sz="1" w:space="0" w:color="D8D8D8"/>
              <w:bottom w:val="single" w:sz="2" w:space="0" w:color="B0B0B0"/>
              <w:right w:val="single" w:sz="1" w:space="0" w:color="D8D8D8"/>
            </w:tcBorders>
          </w:tcPr>
          <w:p>
            <w:pPr>
              <w:jc w:val="left"/>
            </w:pPr>
            <w:r>
              <w:rPr>
                <w:rFonts w:ascii="Times New Roman" w:hAnsi="Times New Roman"/>
                <w:sz w:val="20"/>
              </w:rPr>
              <w:t>No</w:t>
            </w:r>
          </w:p>
        </w:tc>
      </w:tr>
      <w:tr>
        <w:tc>
          <w:tcPr>
            <w:tcW w:type="dxa" w:w="1445"/>
            <w:tcMar>
              <w:top w:w="80" w:type="dxa"/>
              <w:bottom w:w="80" w:type="dxa"/>
              <w:left w:w="120" w:type="dxa"/>
              <w:right w:w="120" w:type="dxa"/>
            </w:tcMar>
            <w:tcBorders>
              <w:top w:val="single" w:sz="2" w:space="0" w:color="B0B0B0"/>
              <w:left w:val="single" w:sz="1" w:space="0" w:color="D8D8D8"/>
              <w:bottom w:val="single" w:sz="2" w:space="0" w:color="B0B0B0"/>
              <w:right w:val="single" w:sz="1" w:space="0" w:color="D8D8D8"/>
            </w:tcBorders>
          </w:tcPr>
          <w:p>
            <w:pPr>
              <w:jc w:val="left"/>
            </w:pPr>
            <w:r>
              <w:rPr>
                <w:rFonts w:ascii="Times New Roman" w:hAnsi="Times New Roman"/>
                <w:sz w:val="20"/>
              </w:rPr>
              <w:t>Jubair et al. (2022) [jubair2022lightweight]</w:t>
            </w:r>
          </w:p>
        </w:tc>
        <w:tc>
          <w:tcPr>
            <w:tcW w:type="dxa" w:w="1445"/>
            <w:tcMar>
              <w:top w:w="80" w:type="dxa"/>
              <w:bottom w:w="80" w:type="dxa"/>
              <w:left w:w="120" w:type="dxa"/>
              <w:right w:w="120" w:type="dxa"/>
            </w:tcMar>
            <w:tcBorders>
              <w:top w:val="single" w:sz="2" w:space="0" w:color="B0B0B0"/>
              <w:left w:val="single" w:sz="1" w:space="0" w:color="D8D8D8"/>
              <w:bottom w:val="single" w:sz="2" w:space="0" w:color="B0B0B0"/>
              <w:right w:val="single" w:sz="1" w:space="0" w:color="D8D8D8"/>
            </w:tcBorders>
          </w:tcPr>
          <w:p>
            <w:pPr>
              <w:jc w:val="left"/>
            </w:pPr>
            <w:r>
              <w:rPr>
                <w:rFonts w:ascii="Times New Roman" w:hAnsi="Times New Roman"/>
                <w:sz w:val="20"/>
              </w:rPr>
              <w:t>89.2%</w:t>
            </w:r>
          </w:p>
        </w:tc>
        <w:tc>
          <w:tcPr>
            <w:tcW w:type="dxa" w:w="1445"/>
            <w:tcMar>
              <w:top w:w="80" w:type="dxa"/>
              <w:bottom w:w="80" w:type="dxa"/>
              <w:left w:w="120" w:type="dxa"/>
              <w:right w:w="120" w:type="dxa"/>
            </w:tcMar>
            <w:tcBorders>
              <w:top w:val="single" w:sz="2" w:space="0" w:color="B0B0B0"/>
              <w:left w:val="single" w:sz="1" w:space="0" w:color="D8D8D8"/>
              <w:bottom w:val="single" w:sz="2" w:space="0" w:color="B0B0B0"/>
              <w:right w:val="single" w:sz="1" w:space="0" w:color="D8D8D8"/>
            </w:tcBorders>
          </w:tcPr>
          <w:p>
            <w:pPr>
              <w:jc w:val="left"/>
            </w:pPr>
            <w:r>
              <w:rPr>
                <w:rFonts w:ascii="Times New Roman" w:hAnsi="Times New Roman"/>
                <w:sz w:val="20"/>
              </w:rPr>
              <w:t>88.0%</w:t>
            </w:r>
          </w:p>
        </w:tc>
        <w:tc>
          <w:tcPr>
            <w:tcW w:type="dxa" w:w="1445"/>
            <w:tcMar>
              <w:top w:w="80" w:type="dxa"/>
              <w:bottom w:w="80" w:type="dxa"/>
              <w:left w:w="120" w:type="dxa"/>
              <w:right w:w="120" w:type="dxa"/>
            </w:tcMar>
            <w:tcBorders>
              <w:top w:val="single" w:sz="2" w:space="0" w:color="B0B0B0"/>
              <w:left w:val="single" w:sz="1" w:space="0" w:color="D8D8D8"/>
              <w:bottom w:val="single" w:sz="2" w:space="0" w:color="B0B0B0"/>
              <w:right w:val="single" w:sz="1" w:space="0" w:color="D8D8D8"/>
            </w:tcBorders>
          </w:tcPr>
          <w:p>
            <w:pPr>
              <w:jc w:val="left"/>
            </w:pPr>
            <w:r>
              <w:rPr>
                <w:rFonts w:ascii="Times New Roman" w:hAnsi="Times New Roman"/>
                <w:sz w:val="20"/>
              </w:rPr>
              <w:t>90.4%</w:t>
            </w:r>
          </w:p>
        </w:tc>
        <w:tc>
          <w:tcPr>
            <w:tcW w:type="dxa" w:w="1445"/>
            <w:tcMar>
              <w:top w:w="80" w:type="dxa"/>
              <w:bottom w:w="80" w:type="dxa"/>
              <w:left w:w="120" w:type="dxa"/>
              <w:right w:w="120" w:type="dxa"/>
            </w:tcMar>
            <w:tcBorders>
              <w:top w:val="single" w:sz="2" w:space="0" w:color="B0B0B0"/>
              <w:left w:val="single" w:sz="1" w:space="0" w:color="D8D8D8"/>
              <w:bottom w:val="single" w:sz="2" w:space="0" w:color="B0B0B0"/>
              <w:right w:val="single" w:sz="1" w:space="0" w:color="D8D8D8"/>
            </w:tcBorders>
          </w:tcPr>
          <w:p>
            <w:pPr>
              <w:jc w:val="left"/>
            </w:pPr>
            <w:r>
              <w:rPr>
                <w:rFonts w:ascii="Times New Roman" w:hAnsi="Times New Roman"/>
                <w:sz w:val="20"/>
              </w:rPr>
              <w:t>0.934</w:t>
            </w:r>
          </w:p>
        </w:tc>
        <w:tc>
          <w:tcPr>
            <w:tcW w:type="dxa" w:w="1445"/>
            <w:tcMar>
              <w:top w:w="80" w:type="dxa"/>
              <w:bottom w:w="80" w:type="dxa"/>
              <w:left w:w="120" w:type="dxa"/>
              <w:right w:w="120" w:type="dxa"/>
            </w:tcMar>
            <w:tcBorders>
              <w:top w:val="single" w:sz="2" w:space="0" w:color="B0B0B0"/>
              <w:left w:val="single" w:sz="1" w:space="0" w:color="D8D8D8"/>
              <w:bottom w:val="single" w:sz="2" w:space="0" w:color="B0B0B0"/>
              <w:right w:val="single" w:sz="1" w:space="0" w:color="D8D8D8"/>
            </w:tcBorders>
          </w:tcPr>
          <w:p>
            <w:pPr>
              <w:jc w:val="left"/>
            </w:pPr>
            <w:r>
              <w:rPr>
                <w:rFonts w:ascii="Times New Roman" w:hAnsi="Times New Roman"/>
                <w:sz w:val="20"/>
              </w:rPr>
              <w:t>No</w:t>
            </w:r>
          </w:p>
        </w:tc>
      </w:tr>
      <w:tr>
        <w:tc>
          <w:tcPr>
            <w:tcW w:type="dxa" w:w="1445"/>
            <w:tcMar>
              <w:top w:w="80" w:type="dxa"/>
              <w:bottom w:w="80" w:type="dxa"/>
              <w:left w:w="120" w:type="dxa"/>
              <w:right w:w="120" w:type="dxa"/>
            </w:tcMar>
            <w:tcBorders>
              <w:top w:val="single" w:sz="2" w:space="0" w:color="B0B0B0"/>
              <w:left w:val="single" w:sz="1" w:space="0" w:color="D8D8D8"/>
              <w:bottom w:val="single" w:sz="2" w:space="0" w:color="B0B0B0"/>
              <w:right w:val="single" w:sz="1" w:space="0" w:color="D8D8D8"/>
            </w:tcBorders>
          </w:tcPr>
          <w:p>
            <w:pPr>
              <w:jc w:val="left"/>
            </w:pPr>
            <w:r>
              <w:rPr>
                <w:rFonts w:ascii="Times New Roman" w:hAnsi="Times New Roman"/>
                <w:sz w:val="20"/>
              </w:rPr>
              <w:t>Gaw et al. (2025) [gaw2025optimized]</w:t>
            </w:r>
          </w:p>
        </w:tc>
        <w:tc>
          <w:tcPr>
            <w:tcW w:type="dxa" w:w="1445"/>
            <w:tcMar>
              <w:top w:w="80" w:type="dxa"/>
              <w:bottom w:w="80" w:type="dxa"/>
              <w:left w:w="120" w:type="dxa"/>
              <w:right w:w="120" w:type="dxa"/>
            </w:tcMar>
            <w:tcBorders>
              <w:top w:val="single" w:sz="2" w:space="0" w:color="B0B0B0"/>
              <w:left w:val="single" w:sz="1" w:space="0" w:color="D8D8D8"/>
              <w:bottom w:val="single" w:sz="2" w:space="0" w:color="B0B0B0"/>
              <w:right w:val="single" w:sz="1" w:space="0" w:color="D8D8D8"/>
            </w:tcBorders>
          </w:tcPr>
          <w:p>
            <w:pPr>
              <w:jc w:val="left"/>
            </w:pPr>
            <w:r>
              <w:rPr>
                <w:rFonts w:ascii="Times New Roman" w:hAnsi="Times New Roman"/>
                <w:sz w:val="20"/>
              </w:rPr>
              <w:t>94.6%</w:t>
            </w:r>
          </w:p>
        </w:tc>
        <w:tc>
          <w:tcPr>
            <w:tcW w:type="dxa" w:w="1445"/>
            <w:tcMar>
              <w:top w:w="80" w:type="dxa"/>
              <w:bottom w:w="80" w:type="dxa"/>
              <w:left w:w="120" w:type="dxa"/>
              <w:right w:w="120" w:type="dxa"/>
            </w:tcMar>
            <w:tcBorders>
              <w:top w:val="single" w:sz="2" w:space="0" w:color="B0B0B0"/>
              <w:left w:val="single" w:sz="1" w:space="0" w:color="D8D8D8"/>
              <w:bottom w:val="single" w:sz="2" w:space="0" w:color="B0B0B0"/>
              <w:right w:val="single" w:sz="1" w:space="0" w:color="D8D8D8"/>
            </w:tcBorders>
          </w:tcPr>
          <w:p>
            <w:pPr>
              <w:jc w:val="left"/>
            </w:pPr>
            <w:r>
              <w:rPr>
                <w:rFonts w:ascii="Times New Roman" w:hAnsi="Times New Roman"/>
                <w:sz w:val="20"/>
              </w:rPr>
              <w:t>94.1%</w:t>
            </w:r>
          </w:p>
        </w:tc>
        <w:tc>
          <w:tcPr>
            <w:tcW w:type="dxa" w:w="1445"/>
            <w:tcMar>
              <w:top w:w="80" w:type="dxa"/>
              <w:bottom w:w="80" w:type="dxa"/>
              <w:left w:w="120" w:type="dxa"/>
              <w:right w:w="120" w:type="dxa"/>
            </w:tcMar>
            <w:tcBorders>
              <w:top w:val="single" w:sz="2" w:space="0" w:color="B0B0B0"/>
              <w:left w:val="single" w:sz="1" w:space="0" w:color="D8D8D8"/>
              <w:bottom w:val="single" w:sz="2" w:space="0" w:color="B0B0B0"/>
              <w:right w:val="single" w:sz="1" w:space="0" w:color="D8D8D8"/>
            </w:tcBorders>
          </w:tcPr>
          <w:p>
            <w:pPr>
              <w:jc w:val="left"/>
            </w:pPr>
            <w:r>
              <w:rPr>
                <w:rFonts w:ascii="Times New Roman" w:hAnsi="Times New Roman"/>
                <w:sz w:val="20"/>
              </w:rPr>
              <w:t>95.1%</w:t>
            </w:r>
          </w:p>
        </w:tc>
        <w:tc>
          <w:tcPr>
            <w:tcW w:type="dxa" w:w="1445"/>
            <w:tcMar>
              <w:top w:w="80" w:type="dxa"/>
              <w:bottom w:w="80" w:type="dxa"/>
              <w:left w:w="120" w:type="dxa"/>
              <w:right w:w="120" w:type="dxa"/>
            </w:tcMar>
            <w:tcBorders>
              <w:top w:val="single" w:sz="2" w:space="0" w:color="B0B0B0"/>
              <w:left w:val="single" w:sz="1" w:space="0" w:color="D8D8D8"/>
              <w:bottom w:val="single" w:sz="2" w:space="0" w:color="B0B0B0"/>
              <w:right w:val="single" w:sz="1" w:space="0" w:color="D8D8D8"/>
            </w:tcBorders>
          </w:tcPr>
          <w:p>
            <w:pPr>
              <w:jc w:val="left"/>
            </w:pPr>
            <w:r>
              <w:rPr>
                <w:rFonts w:ascii="Times New Roman" w:hAnsi="Times New Roman"/>
                <w:sz w:val="20"/>
              </w:rPr>
              <w:t>0.978</w:t>
            </w:r>
          </w:p>
        </w:tc>
        <w:tc>
          <w:tcPr>
            <w:tcW w:type="dxa" w:w="1445"/>
            <w:tcMar>
              <w:top w:w="80" w:type="dxa"/>
              <w:bottom w:w="80" w:type="dxa"/>
              <w:left w:w="120" w:type="dxa"/>
              <w:right w:w="120" w:type="dxa"/>
            </w:tcMar>
            <w:tcBorders>
              <w:top w:val="single" w:sz="2" w:space="0" w:color="B0B0B0"/>
              <w:left w:val="single" w:sz="1" w:space="0" w:color="D8D8D8"/>
              <w:bottom w:val="single" w:sz="2" w:space="0" w:color="B0B0B0"/>
              <w:right w:val="single" w:sz="1" w:space="0" w:color="D8D8D8"/>
            </w:tcBorders>
          </w:tcPr>
          <w:p>
            <w:pPr>
              <w:jc w:val="left"/>
            </w:pPr>
            <w:r>
              <w:rPr>
                <w:rFonts w:ascii="Times New Roman" w:hAnsi="Times New Roman"/>
                <w:sz w:val="20"/>
              </w:rPr>
              <w:t>No</w:t>
            </w:r>
          </w:p>
        </w:tc>
      </w:tr>
      <w:tr>
        <w:tc>
          <w:tcPr>
            <w:tcW w:type="dxa" w:w="1445"/>
            <w:tcMar>
              <w:top w:w="80" w:type="dxa"/>
              <w:bottom w:w="80" w:type="dxa"/>
              <w:left w:w="120" w:type="dxa"/>
              <w:right w:w="120" w:type="dxa"/>
            </w:tcMar>
            <w:tcBorders>
              <w:top w:val="single" w:sz="2" w:space="0" w:color="B0B0B0"/>
              <w:left w:val="single" w:sz="1" w:space="0" w:color="D8D8D8"/>
              <w:bottom w:val="single" w:sz="2" w:space="0" w:color="B0B0B0"/>
              <w:right w:val="single" w:sz="1" w:space="0" w:color="D8D8D8"/>
            </w:tcBorders>
          </w:tcPr>
          <w:p>
            <w:pPr>
              <w:jc w:val="left"/>
            </w:pPr>
            <w:r>
              <w:rPr>
                <w:rFonts w:ascii="Times New Roman" w:hAnsi="Times New Roman"/>
                <w:sz w:val="20"/>
              </w:rPr>
              <w:t>Research Square (2026) [researchsquare2026ai]</w:t>
            </w:r>
          </w:p>
        </w:tc>
        <w:tc>
          <w:tcPr>
            <w:tcW w:type="dxa" w:w="1445"/>
            <w:tcMar>
              <w:top w:w="80" w:type="dxa"/>
              <w:bottom w:w="80" w:type="dxa"/>
              <w:left w:w="120" w:type="dxa"/>
              <w:right w:w="120" w:type="dxa"/>
            </w:tcMar>
            <w:tcBorders>
              <w:top w:val="single" w:sz="2" w:space="0" w:color="B0B0B0"/>
              <w:left w:val="single" w:sz="1" w:space="0" w:color="D8D8D8"/>
              <w:bottom w:val="single" w:sz="2" w:space="0" w:color="B0B0B0"/>
              <w:right w:val="single" w:sz="1" w:space="0" w:color="D8D8D8"/>
            </w:tcBorders>
          </w:tcPr>
          <w:p>
            <w:pPr>
              <w:jc w:val="left"/>
            </w:pPr>
            <w:r>
              <w:rPr>
                <w:rFonts w:ascii="Times New Roman" w:hAnsi="Times New Roman"/>
                <w:sz w:val="20"/>
              </w:rPr>
              <w:t>92.4%</w:t>
            </w:r>
          </w:p>
        </w:tc>
        <w:tc>
          <w:tcPr>
            <w:tcW w:type="dxa" w:w="1445"/>
            <w:tcMar>
              <w:top w:w="80" w:type="dxa"/>
              <w:bottom w:w="80" w:type="dxa"/>
              <w:left w:w="120" w:type="dxa"/>
              <w:right w:w="120" w:type="dxa"/>
            </w:tcMar>
            <w:tcBorders>
              <w:top w:val="single" w:sz="2" w:space="0" w:color="B0B0B0"/>
              <w:left w:val="single" w:sz="1" w:space="0" w:color="D8D8D8"/>
              <w:bottom w:val="single" w:sz="2" w:space="0" w:color="B0B0B0"/>
              <w:right w:val="single" w:sz="1" w:space="0" w:color="D8D8D8"/>
            </w:tcBorders>
          </w:tcPr>
          <w:p>
            <w:pPr>
              <w:jc w:val="left"/>
            </w:pPr>
            <w:r>
              <w:rPr>
                <w:rFonts w:ascii="Times New Roman" w:hAnsi="Times New Roman"/>
                <w:sz w:val="20"/>
              </w:rPr>
              <w:t>91.8%</w:t>
            </w:r>
          </w:p>
        </w:tc>
        <w:tc>
          <w:tcPr>
            <w:tcW w:type="dxa" w:w="1445"/>
            <w:tcMar>
              <w:top w:w="80" w:type="dxa"/>
              <w:bottom w:w="80" w:type="dxa"/>
              <w:left w:w="120" w:type="dxa"/>
              <w:right w:w="120" w:type="dxa"/>
            </w:tcMar>
            <w:tcBorders>
              <w:top w:val="single" w:sz="2" w:space="0" w:color="B0B0B0"/>
              <w:left w:val="single" w:sz="1" w:space="0" w:color="D8D8D8"/>
              <w:bottom w:val="single" w:sz="2" w:space="0" w:color="B0B0B0"/>
              <w:right w:val="single" w:sz="1" w:space="0" w:color="D8D8D8"/>
            </w:tcBorders>
          </w:tcPr>
          <w:p>
            <w:pPr>
              <w:jc w:val="left"/>
            </w:pPr>
            <w:r>
              <w:rPr>
                <w:rFonts w:ascii="Times New Roman" w:hAnsi="Times New Roman"/>
                <w:sz w:val="20"/>
              </w:rPr>
              <w:t>93.0%</w:t>
            </w:r>
          </w:p>
        </w:tc>
        <w:tc>
          <w:tcPr>
            <w:tcW w:type="dxa" w:w="1445"/>
            <w:tcMar>
              <w:top w:w="80" w:type="dxa"/>
              <w:bottom w:w="80" w:type="dxa"/>
              <w:left w:w="120" w:type="dxa"/>
              <w:right w:w="120" w:type="dxa"/>
            </w:tcMar>
            <w:tcBorders>
              <w:top w:val="single" w:sz="2" w:space="0" w:color="B0B0B0"/>
              <w:left w:val="single" w:sz="1" w:space="0" w:color="D8D8D8"/>
              <w:bottom w:val="single" w:sz="2" w:space="0" w:color="B0B0B0"/>
              <w:right w:val="single" w:sz="1" w:space="0" w:color="D8D8D8"/>
            </w:tcBorders>
          </w:tcPr>
          <w:p>
            <w:pPr>
              <w:jc w:val="left"/>
            </w:pPr>
            <w:r>
              <w:rPr>
                <w:rFonts w:ascii="Times New Roman" w:hAnsi="Times New Roman"/>
                <w:sz w:val="20"/>
              </w:rPr>
              <w:t>0.956</w:t>
            </w:r>
          </w:p>
        </w:tc>
        <w:tc>
          <w:tcPr>
            <w:tcW w:type="dxa" w:w="1445"/>
            <w:tcMar>
              <w:top w:w="80" w:type="dxa"/>
              <w:bottom w:w="80" w:type="dxa"/>
              <w:left w:w="120" w:type="dxa"/>
              <w:right w:w="120" w:type="dxa"/>
            </w:tcMar>
            <w:tcBorders>
              <w:top w:val="single" w:sz="2" w:space="0" w:color="B0B0B0"/>
              <w:left w:val="single" w:sz="1" w:space="0" w:color="D8D8D8"/>
              <w:bottom w:val="single" w:sz="2" w:space="0" w:color="B0B0B0"/>
              <w:right w:val="single" w:sz="1" w:space="0" w:color="D8D8D8"/>
            </w:tcBorders>
          </w:tcPr>
          <w:p>
            <w:pPr>
              <w:jc w:val="left"/>
            </w:pPr>
            <w:r>
              <w:rPr>
                <w:rFonts w:ascii="Times New Roman" w:hAnsi="Times New Roman"/>
                <w:sz w:val="20"/>
              </w:rPr>
              <w:t>No</w:t>
            </w:r>
          </w:p>
        </w:tc>
      </w:tr>
      <w:tr>
        <w:tc>
          <w:tcPr>
            <w:tcW w:type="dxa" w:w="1445"/>
            <w:tcMar>
              <w:top w:w="80" w:type="dxa"/>
              <w:bottom w:w="80" w:type="dxa"/>
              <w:left w:w="120" w:type="dxa"/>
              <w:right w:w="120" w:type="dxa"/>
            </w:tcMar>
            <w:tcBorders>
              <w:top w:val="single" w:sz="2" w:space="0" w:color="B0B0B0"/>
              <w:left w:val="single" w:sz="1" w:space="0" w:color="D8D8D8"/>
              <w:bottom w:val="single" w:sz="2" w:space="0" w:color="B0B0B0"/>
              <w:right w:val="single" w:sz="1" w:space="0" w:color="D8D8D8"/>
            </w:tcBorders>
          </w:tcPr>
          <w:p>
            <w:pPr>
              <w:jc w:val="left"/>
            </w:pPr>
            <w:r>
              <w:rPr>
                <w:rFonts w:ascii="Times New Roman" w:hAnsi="Times New Roman"/>
                <w:sz w:val="20"/>
              </w:rPr>
              <w:t>\textbf{Visionary Diagnostics (Ours)}</w:t>
            </w:r>
          </w:p>
        </w:tc>
        <w:tc>
          <w:tcPr>
            <w:tcW w:type="dxa" w:w="1445"/>
            <w:tcMar>
              <w:top w:w="80" w:type="dxa"/>
              <w:bottom w:w="80" w:type="dxa"/>
              <w:left w:w="120" w:type="dxa"/>
              <w:right w:w="120" w:type="dxa"/>
            </w:tcMar>
            <w:tcBorders>
              <w:top w:val="single" w:sz="2" w:space="0" w:color="B0B0B0"/>
              <w:left w:val="single" w:sz="1" w:space="0" w:color="D8D8D8"/>
              <w:bottom w:val="single" w:sz="2" w:space="0" w:color="B0B0B0"/>
              <w:right w:val="single" w:sz="1" w:space="0" w:color="D8D8D8"/>
            </w:tcBorders>
          </w:tcPr>
          <w:p>
            <w:pPr>
              <w:jc w:val="left"/>
            </w:pPr>
            <w:r>
              <w:rPr>
                <w:rFonts w:ascii="Times New Roman" w:hAnsi="Times New Roman"/>
                <w:sz w:val="20"/>
              </w:rPr>
              <w:t>\textbf{99.92%}</w:t>
            </w:r>
          </w:p>
        </w:tc>
        <w:tc>
          <w:tcPr>
            <w:tcW w:type="dxa" w:w="1445"/>
            <w:tcMar>
              <w:top w:w="80" w:type="dxa"/>
              <w:bottom w:w="80" w:type="dxa"/>
              <w:left w:w="120" w:type="dxa"/>
              <w:right w:w="120" w:type="dxa"/>
            </w:tcMar>
            <w:tcBorders>
              <w:top w:val="single" w:sz="2" w:space="0" w:color="B0B0B0"/>
              <w:left w:val="single" w:sz="1" w:space="0" w:color="D8D8D8"/>
              <w:bottom w:val="single" w:sz="2" w:space="0" w:color="B0B0B0"/>
              <w:right w:val="single" w:sz="1" w:space="0" w:color="D8D8D8"/>
            </w:tcBorders>
          </w:tcPr>
          <w:p>
            <w:pPr>
              <w:jc w:val="left"/>
            </w:pPr>
            <w:r>
              <w:rPr>
                <w:rFonts w:ascii="Times New Roman" w:hAnsi="Times New Roman"/>
                <w:sz w:val="20"/>
              </w:rPr>
              <w:t>\textbf{99.76%}</w:t>
            </w:r>
          </w:p>
        </w:tc>
        <w:tc>
          <w:tcPr>
            <w:tcW w:type="dxa" w:w="1445"/>
            <w:tcMar>
              <w:top w:w="80" w:type="dxa"/>
              <w:bottom w:w="80" w:type="dxa"/>
              <w:left w:w="120" w:type="dxa"/>
              <w:right w:w="120" w:type="dxa"/>
            </w:tcMar>
            <w:tcBorders>
              <w:top w:val="single" w:sz="2" w:space="0" w:color="B0B0B0"/>
              <w:left w:val="single" w:sz="1" w:space="0" w:color="D8D8D8"/>
              <w:bottom w:val="single" w:sz="2" w:space="0" w:color="B0B0B0"/>
              <w:right w:val="single" w:sz="1" w:space="0" w:color="D8D8D8"/>
            </w:tcBorders>
          </w:tcPr>
          <w:p>
            <w:pPr>
              <w:jc w:val="left"/>
            </w:pPr>
            <w:r>
              <w:rPr>
                <w:rFonts w:ascii="Times New Roman" w:hAnsi="Times New Roman"/>
                <w:sz w:val="20"/>
              </w:rPr>
              <w:t>\textbf{100.00%}</w:t>
            </w:r>
          </w:p>
        </w:tc>
        <w:tc>
          <w:tcPr>
            <w:tcW w:type="dxa" w:w="1445"/>
            <w:tcMar>
              <w:top w:w="80" w:type="dxa"/>
              <w:bottom w:w="80" w:type="dxa"/>
              <w:left w:w="120" w:type="dxa"/>
              <w:right w:w="120" w:type="dxa"/>
            </w:tcMar>
            <w:tcBorders>
              <w:top w:val="single" w:sz="2" w:space="0" w:color="B0B0B0"/>
              <w:left w:val="single" w:sz="1" w:space="0" w:color="D8D8D8"/>
              <w:bottom w:val="single" w:sz="2" w:space="0" w:color="B0B0B0"/>
              <w:right w:val="single" w:sz="1" w:space="0" w:color="D8D8D8"/>
            </w:tcBorders>
          </w:tcPr>
          <w:p>
            <w:pPr>
              <w:jc w:val="left"/>
            </w:pPr>
            <w:r>
              <w:rPr>
                <w:rFonts w:ascii="Times New Roman" w:hAnsi="Times New Roman"/>
                <w:sz w:val="20"/>
              </w:rPr>
              <w:t>\textbf{1.0000}</w:t>
            </w:r>
          </w:p>
        </w:tc>
        <w:tc>
          <w:tcPr>
            <w:tcW w:type="dxa" w:w="1445"/>
            <w:tcMar>
              <w:top w:w="80" w:type="dxa"/>
              <w:bottom w:w="80" w:type="dxa"/>
              <w:left w:w="120" w:type="dxa"/>
              <w:right w:w="120" w:type="dxa"/>
            </w:tcMar>
            <w:tcBorders>
              <w:top w:val="single" w:sz="2" w:space="0" w:color="B0B0B0"/>
              <w:left w:val="single" w:sz="1" w:space="0" w:color="D8D8D8"/>
              <w:bottom w:val="single" w:sz="2" w:space="0" w:color="B0B0B0"/>
              <w:right w:val="single" w:sz="1" w:space="0" w:color="D8D8D8"/>
            </w:tcBorders>
          </w:tcPr>
          <w:p>
            <w:pPr>
              <w:jc w:val="left"/>
            </w:pPr>
            <w:r>
              <w:rPr>
                <w:rFonts w:ascii="Times New Roman" w:hAnsi="Times New Roman"/>
                <w:sz w:val="20"/>
              </w:rPr>
              <w:t>\textbf{Yes (15-Pass MCD)}</w:t>
            </w:r>
          </w:p>
        </w:tc>
      </w:tr>
    </w:tbl>
    <w:p>
      <w:pPr>
        <w:spacing w:before="80" w:after="160" w:line="360" w:lineRule="auto"/>
        <w:jc w:val="both"/>
      </w:pPr>
    </w:p>
    <w:p>
      <w:pPr>
        <w:spacing w:before="40" w:after="120" w:line="360" w:lineRule="auto"/>
        <w:jc w:val="both"/>
      </w:pPr>
      <w:r>
        <w:rPr>
          <w:rFonts w:ascii="Times New Roman" w:hAnsi="Times New Roman"/>
          <w:b w:val="0"/>
          <w:i w:val="0"/>
          <w:sz w:val="24"/>
        </w:rPr>
        <w:t>The MergedNet ensemble outperforms all standalone baselines by 5.12% to 10.72% in overall accuracy, proving that multi-scale representation fusion captures diagnostic signatures far more effectively than isolated convolutional networks.</w:t>
      </w:r>
    </w:p>
    <w:p>
      <w:pPr>
        <w:spacing w:before="280" w:after="120" w:line="360" w:lineRule="auto"/>
        <w:jc w:val="left"/>
      </w:pPr>
      <w:r>
        <w:rPr>
          <w:rFonts w:ascii="Times New Roman" w:hAnsi="Times New Roman"/>
          <w:b/>
          <w:i w:val="0"/>
          <w:color w:val="0F234B"/>
          <w:sz w:val="28"/>
        </w:rPr>
        <w:t>Systematic Six-Stage Ablation Study</w:t>
      </w:r>
    </w:p>
    <w:p>
      <w:pPr>
        <w:spacing w:before="40" w:after="120" w:line="360" w:lineRule="auto"/>
        <w:jc w:val="both"/>
      </w:pPr>
      <w:r>
        <w:rPr>
          <w:rFonts w:ascii="Times New Roman" w:hAnsi="Times New Roman"/>
          <w:b w:val="0"/>
          <w:i w:val="0"/>
          <w:sz w:val="24"/>
        </w:rPr>
        <w:t>To dissect the specific empirical contribution of each architectural innovation, a rigorous six-stage ablation study was conducted, systematically disabling modules from the full pipeline:</w:t>
      </w:r>
    </w:p>
    <w:p>
      <w:pPr>
        <w:spacing w:before="40" w:after="80" w:line="312" w:lineRule="auto"/>
        <w:ind w:left="576"/>
      </w:pPr>
      <w:r>
        <w:rPr>
          <w:rFonts w:ascii="Times New Roman" w:hAnsi="Times New Roman"/>
          <w:b/>
          <w:sz w:val="22"/>
        </w:rPr>
        <w:t xml:space="preserve">1. </w:t>
      </w:r>
      <w:r>
        <w:rPr>
          <w:rFonts w:ascii="Times New Roman" w:hAnsi="Times New Roman"/>
          <w:b/>
          <w:i w:val="0"/>
          <w:sz w:val="23"/>
        </w:rPr>
        <w:t>Stage 1: Single Backbone Baseline (ResNet-50)</w:t>
      </w:r>
      <w:r>
        <w:rPr>
          <w:rFonts w:ascii="Times New Roman" w:hAnsi="Times New Roman"/>
          <w:b w:val="0"/>
          <w:i w:val="0"/>
          <w:sz w:val="23"/>
        </w:rPr>
        <w:t>– Standard transfer learning with uncalibrated softmax.</w:t>
      </w:r>
    </w:p>
    <w:p>
      <w:pPr>
        <w:spacing w:before="40" w:after="80" w:line="312" w:lineRule="auto"/>
        <w:ind w:left="576"/>
      </w:pPr>
      <w:r>
        <w:rPr>
          <w:rFonts w:ascii="Times New Roman" w:hAnsi="Times New Roman"/>
          <w:b/>
          <w:sz w:val="22"/>
        </w:rPr>
        <w:t xml:space="preserve">2. </w:t>
      </w:r>
      <w:r>
        <w:rPr>
          <w:rFonts w:ascii="Times New Roman" w:hAnsi="Times New Roman"/>
          <w:b/>
          <w:i w:val="0"/>
          <w:sz w:val="23"/>
        </w:rPr>
        <w:t>Stage 2: MergedNet Concatenated Ensemble</w:t>
      </w:r>
      <w:r>
        <w:rPr>
          <w:rFonts w:ascii="Times New Roman" w:hAnsi="Times New Roman"/>
          <w:b w:val="0"/>
          <w:i w:val="0"/>
          <w:sz w:val="23"/>
        </w:rPr>
        <w:t>– Fusion of VGG-16, ResNet-50, EfficientNet-B0, MobileNetV2.</w:t>
      </w:r>
    </w:p>
    <w:p>
      <w:pPr>
        <w:spacing w:before="40" w:after="80" w:line="312" w:lineRule="auto"/>
        <w:ind w:left="576"/>
      </w:pPr>
      <w:r>
        <w:rPr>
          <w:rFonts w:ascii="Times New Roman" w:hAnsi="Times New Roman"/>
          <w:b/>
          <w:sz w:val="22"/>
        </w:rPr>
        <w:t xml:space="preserve">3. </w:t>
      </w:r>
      <w:r>
        <w:rPr>
          <w:rFonts w:ascii="Times New Roman" w:hAnsi="Times New Roman"/>
          <w:b/>
          <w:i w:val="0"/>
          <w:sz w:val="23"/>
        </w:rPr>
        <w:t>Stage 3: Ensemble + 8-Pass Test-Time Augmentation (TTA)</w:t>
      </w:r>
      <w:r>
        <w:rPr>
          <w:rFonts w:ascii="Times New Roman" w:hAnsi="Times New Roman"/>
          <w:b w:val="0"/>
          <w:i w:val="0"/>
          <w:sz w:val="23"/>
        </w:rPr>
        <w:t>– Addition of geometric and scale invariances.</w:t>
      </w:r>
    </w:p>
    <w:p>
      <w:pPr>
        <w:spacing w:before="40" w:after="80" w:line="312" w:lineRule="auto"/>
        <w:ind w:left="576"/>
      </w:pPr>
      <w:r>
        <w:rPr>
          <w:rFonts w:ascii="Times New Roman" w:hAnsi="Times New Roman"/>
          <w:b/>
          <w:sz w:val="22"/>
        </w:rPr>
        <w:t xml:space="preserve">4. </w:t>
      </w:r>
      <w:r>
        <w:rPr>
          <w:rFonts w:ascii="Times New Roman" w:hAnsi="Times New Roman"/>
          <w:b/>
          <w:i w:val="0"/>
          <w:sz w:val="23"/>
        </w:rPr>
        <w:t>Stage 4: Ensemble + TTA + Reinhard CIELAB Normalization</w:t>
      </w:r>
      <w:r>
        <w:rPr>
          <w:rFonts w:ascii="Times New Roman" w:hAnsi="Times New Roman"/>
          <w:b w:val="0"/>
          <w:i w:val="0"/>
          <w:sz w:val="23"/>
        </w:rPr>
        <w:t>– Addition of mucosal color standardization.</w:t>
      </w:r>
    </w:p>
    <w:p>
      <w:pPr>
        <w:spacing w:before="40" w:after="80" w:line="312" w:lineRule="auto"/>
        <w:ind w:left="576"/>
      </w:pPr>
      <w:r>
        <w:rPr>
          <w:rFonts w:ascii="Times New Roman" w:hAnsi="Times New Roman"/>
          <w:b/>
          <w:sz w:val="22"/>
        </w:rPr>
        <w:t xml:space="preserve">5. </w:t>
      </w:r>
      <w:r>
        <w:rPr>
          <w:rFonts w:ascii="Times New Roman" w:hAnsi="Times New Roman"/>
          <w:b/>
          <w:i w:val="0"/>
          <w:sz w:val="23"/>
        </w:rPr>
        <w:t>Stage 5: Full Visionary Engine (+ MC Dropout Uncertainty Gating)</w:t>
      </w:r>
      <w:r>
        <w:rPr>
          <w:rFonts w:ascii="Times New Roman" w:hAnsi="Times New Roman"/>
          <w:b w:val="0"/>
          <w:i w:val="0"/>
          <w:sz w:val="23"/>
        </w:rPr>
        <w:t>– Active variational Bayesian inference.</w:t>
      </w:r>
    </w:p>
    <w:p>
      <w:pPr>
        <w:spacing w:before="40" w:after="80" w:line="312" w:lineRule="auto"/>
        <w:ind w:left="576"/>
      </w:pPr>
      <w:r>
        <w:rPr>
          <w:rFonts w:ascii="Times New Roman" w:hAnsi="Times New Roman"/>
          <w:b/>
          <w:sz w:val="22"/>
        </w:rPr>
        <w:t xml:space="preserve">6. </w:t>
      </w:r>
      <w:r>
        <w:rPr>
          <w:rFonts w:ascii="Times New Roman" w:hAnsi="Times New Roman"/>
          <w:b/>
          <w:i w:val="0"/>
          <w:sz w:val="23"/>
        </w:rPr>
        <w:t>Stage 6: Multimodal Clinical Risk Prior Fusion</w:t>
      </w:r>
      <w:r>
        <w:rPr>
          <w:rFonts w:ascii="Times New Roman" w:hAnsi="Times New Roman"/>
          <w:b w:val="0"/>
          <w:i w:val="0"/>
          <w:sz w:val="23"/>
        </w:rPr>
        <w:t>– Final cross-attention fusion with patient behavioral covariates.</w:t>
      </w:r>
    </w:p>
    <w:p>
      <w:pPr>
        <w:spacing w:before="40" w:after="120" w:line="360" w:lineRule="auto"/>
        <w:jc w:val="both"/>
      </w:pPr>
      <w:r>
        <w:rPr>
          <w:rFonts w:ascii="Times New Roman" w:hAnsi="Times New Roman"/>
          <w:b w:val="0"/>
          <w:i w:val="0"/>
          <w:sz w:val="24"/>
        </w:rPr>
        <w:t>Figure fig:ablation_chart and Table tab:ablation_results document the step-by-step performance progression.</w:t>
      </w:r>
    </w:p>
    <w:p>
      <w:pPr>
        <w:spacing w:before="160" w:after="80"/>
        <w:jc w:val="center"/>
      </w:pPr>
      <w:r>
        <w:drawing>
          <wp:inline xmlns:a="http://schemas.openxmlformats.org/drawingml/2006/main" xmlns:pic="http://schemas.openxmlformats.org/drawingml/2006/picture">
            <wp:extent cx="5120640" cy="4029271"/>
            <wp:docPr id="13" name="Picture 13"/>
            <wp:cNvGraphicFramePr>
              <a:graphicFrameLocks noChangeAspect="1"/>
            </wp:cNvGraphicFramePr>
            <a:graphic>
              <a:graphicData uri="http://schemas.openxmlformats.org/drawingml/2006/picture">
                <pic:pic>
                  <pic:nvPicPr>
                    <pic:cNvPr id="0" name="ablation_chart.png"/>
                    <pic:cNvPicPr/>
                  </pic:nvPicPr>
                  <pic:blipFill>
                    <a:blip r:embed="rId23"/>
                    <a:stretch>
                      <a:fillRect/>
                    </a:stretch>
                  </pic:blipFill>
                  <pic:spPr>
                    <a:xfrm>
                      <a:off x="0" y="0"/>
                      <a:ext cx="5120640" cy="4029271"/>
                    </a:xfrm>
                    <a:prstGeom prst="rect"/>
                  </pic:spPr>
                </pic:pic>
              </a:graphicData>
            </a:graphic>
          </wp:inline>
        </w:drawing>
      </w:r>
    </w:p>
    <w:p>
      <w:pPr>
        <w:spacing w:before="40" w:after="200" w:line="360" w:lineRule="auto"/>
        <w:jc w:val="center"/>
      </w:pPr>
      <w:r>
        <w:rPr>
          <w:rFonts w:ascii="Times New Roman" w:hAnsi="Times New Roman"/>
          <w:b w:val="0"/>
          <w:i/>
          <w:color w:val="0A2D5A"/>
          <w:sz w:val="21"/>
        </w:rPr>
        <w:t>Figure: Systematic Six-Stage Ablation Study Tracking Performance Gains from Single Baseline to Full Visionary Engine</w:t>
      </w:r>
    </w:p>
    <w:p>
      <w:pPr>
        <w:spacing w:before="200" w:after="80" w:line="360" w:lineRule="auto"/>
        <w:jc w:val="center"/>
      </w:pPr>
      <w:r>
        <w:rPr>
          <w:rFonts w:ascii="Times New Roman" w:hAnsi="Times New Roman"/>
          <w:b/>
          <w:i w:val="0"/>
          <w:color w:val="0A2D5A"/>
          <w:sz w:val="22"/>
        </w:rPr>
        <w:t>Table: Ablation Study Quantitative Performance Progression Across Six Experimental Stages</w:t>
      </w:r>
    </w:p>
    <w:tbl>
      <w:tblPr>
        <w:tblW w:type="auto" w:w="0"/>
        <w:jc w:val="center"/>
        <w:tblLook w:firstColumn="1" w:firstRow="1" w:lastColumn="0" w:lastRow="0" w:noHBand="0" w:noVBand="1" w:val="04A0"/>
      </w:tblPr>
      <w:tblGrid>
        <w:gridCol w:w="1445"/>
        <w:gridCol w:w="1445"/>
        <w:gridCol w:w="1445"/>
        <w:gridCol w:w="1445"/>
        <w:gridCol w:w="1445"/>
        <w:gridCol w:w="1445"/>
      </w:tblGrid>
      <w:tr>
        <w:tc>
          <w:tcPr>
            <w:tcW w:type="dxa" w:w="1445"/>
            <w:tcMar>
              <w:top w:w="80" w:type="dxa"/>
              <w:bottom w:w="80" w:type="dxa"/>
              <w:left w:w="120" w:type="dxa"/>
              <w:right w:w="120" w:type="dxa"/>
            </w:tcMar>
            <w:tcBorders>
              <w:top w:val="single" w:sz="2" w:space="0" w:color="B0B0B0"/>
              <w:left w:val="single" w:sz="1" w:space="0" w:color="D8D8D8"/>
              <w:bottom w:val="single" w:sz="2" w:space="0" w:color="B0B0B0"/>
              <w:right w:val="single" w:sz="1" w:space="0" w:color="D8D8D8"/>
            </w:tcBorders>
            <w:shd w:fill="EBF0F5"/>
          </w:tcPr>
          <w:p>
            <w:pPr>
              <w:jc w:val="center"/>
            </w:pPr>
            <w:r>
              <w:rPr>
                <w:rFonts w:ascii="Times New Roman" w:hAnsi="Times New Roman"/>
                <w:b/>
                <w:sz w:val="21"/>
              </w:rPr>
              <w:t>\textbf{Experimental Configuration}</w:t>
            </w:r>
          </w:p>
        </w:tc>
        <w:tc>
          <w:tcPr>
            <w:tcW w:type="dxa" w:w="1445"/>
            <w:tcMar>
              <w:top w:w="80" w:type="dxa"/>
              <w:bottom w:w="80" w:type="dxa"/>
              <w:left w:w="120" w:type="dxa"/>
              <w:right w:w="120" w:type="dxa"/>
            </w:tcMar>
            <w:tcBorders>
              <w:top w:val="single" w:sz="2" w:space="0" w:color="B0B0B0"/>
              <w:left w:val="single" w:sz="1" w:space="0" w:color="D8D8D8"/>
              <w:bottom w:val="single" w:sz="2" w:space="0" w:color="B0B0B0"/>
              <w:right w:val="single" w:sz="1" w:space="0" w:color="D8D8D8"/>
            </w:tcBorders>
            <w:shd w:fill="EBF0F5"/>
          </w:tcPr>
          <w:p>
            <w:pPr>
              <w:jc w:val="center"/>
            </w:pPr>
            <w:r>
              <w:rPr>
                <w:rFonts w:ascii="Times New Roman" w:hAnsi="Times New Roman"/>
                <w:b/>
                <w:sz w:val="21"/>
              </w:rPr>
              <w:t>\textbf{Accuracy}</w:t>
            </w:r>
          </w:p>
        </w:tc>
        <w:tc>
          <w:tcPr>
            <w:tcW w:type="dxa" w:w="1445"/>
            <w:tcMar>
              <w:top w:w="80" w:type="dxa"/>
              <w:bottom w:w="80" w:type="dxa"/>
              <w:left w:w="120" w:type="dxa"/>
              <w:right w:w="120" w:type="dxa"/>
            </w:tcMar>
            <w:tcBorders>
              <w:top w:val="single" w:sz="2" w:space="0" w:color="B0B0B0"/>
              <w:left w:val="single" w:sz="1" w:space="0" w:color="D8D8D8"/>
              <w:bottom w:val="single" w:sz="2" w:space="0" w:color="B0B0B0"/>
              <w:right w:val="single" w:sz="1" w:space="0" w:color="D8D8D8"/>
            </w:tcBorders>
            <w:shd w:fill="EBF0F5"/>
          </w:tcPr>
          <w:p>
            <w:pPr>
              <w:jc w:val="center"/>
            </w:pPr>
            <w:r>
              <w:rPr>
                <w:rFonts w:ascii="Times New Roman" w:hAnsi="Times New Roman"/>
                <w:b/>
                <w:sz w:val="21"/>
              </w:rPr>
              <w:t>\textbf{Sensitivity}</w:t>
            </w:r>
          </w:p>
        </w:tc>
        <w:tc>
          <w:tcPr>
            <w:tcW w:type="dxa" w:w="1445"/>
            <w:tcMar>
              <w:top w:w="80" w:type="dxa"/>
              <w:bottom w:w="80" w:type="dxa"/>
              <w:left w:w="120" w:type="dxa"/>
              <w:right w:w="120" w:type="dxa"/>
            </w:tcMar>
            <w:tcBorders>
              <w:top w:val="single" w:sz="2" w:space="0" w:color="B0B0B0"/>
              <w:left w:val="single" w:sz="1" w:space="0" w:color="D8D8D8"/>
              <w:bottom w:val="single" w:sz="2" w:space="0" w:color="B0B0B0"/>
              <w:right w:val="single" w:sz="1" w:space="0" w:color="D8D8D8"/>
            </w:tcBorders>
            <w:shd w:fill="EBF0F5"/>
          </w:tcPr>
          <w:p>
            <w:pPr>
              <w:jc w:val="center"/>
            </w:pPr>
            <w:r>
              <w:rPr>
                <w:rFonts w:ascii="Times New Roman" w:hAnsi="Times New Roman"/>
                <w:b/>
                <w:sz w:val="21"/>
              </w:rPr>
              <w:t>\textbf{Specificity}</w:t>
            </w:r>
          </w:p>
        </w:tc>
        <w:tc>
          <w:tcPr>
            <w:tcW w:type="dxa" w:w="1445"/>
            <w:tcMar>
              <w:top w:w="80" w:type="dxa"/>
              <w:bottom w:w="80" w:type="dxa"/>
              <w:left w:w="120" w:type="dxa"/>
              <w:right w:w="120" w:type="dxa"/>
            </w:tcMar>
            <w:tcBorders>
              <w:top w:val="single" w:sz="2" w:space="0" w:color="B0B0B0"/>
              <w:left w:val="single" w:sz="1" w:space="0" w:color="D8D8D8"/>
              <w:bottom w:val="single" w:sz="2" w:space="0" w:color="B0B0B0"/>
              <w:right w:val="single" w:sz="1" w:space="0" w:color="D8D8D8"/>
            </w:tcBorders>
            <w:shd w:fill="EBF0F5"/>
          </w:tcPr>
          <w:p>
            <w:pPr>
              <w:jc w:val="center"/>
            </w:pPr>
            <w:r>
              <w:rPr>
                <w:rFonts w:ascii="Times New Roman" w:hAnsi="Times New Roman"/>
                <w:b/>
                <w:sz w:val="21"/>
              </w:rPr>
              <w:t>\textbf{AUROC}</w:t>
            </w:r>
          </w:p>
        </w:tc>
        <w:tc>
          <w:tcPr>
            <w:tcW w:type="dxa" w:w="1445"/>
            <w:tcMar>
              <w:top w:w="80" w:type="dxa"/>
              <w:bottom w:w="80" w:type="dxa"/>
              <w:left w:w="120" w:type="dxa"/>
              <w:right w:w="120" w:type="dxa"/>
            </w:tcMar>
            <w:tcBorders>
              <w:top w:val="single" w:sz="2" w:space="0" w:color="B0B0B0"/>
              <w:left w:val="single" w:sz="1" w:space="0" w:color="D8D8D8"/>
              <w:bottom w:val="single" w:sz="2" w:space="0" w:color="B0B0B0"/>
              <w:right w:val="single" w:sz="1" w:space="0" w:color="D8D8D8"/>
            </w:tcBorders>
            <w:shd w:fill="EBF0F5"/>
          </w:tcPr>
          <w:p>
            <w:pPr>
              <w:jc w:val="center"/>
            </w:pPr>
            <w:r>
              <w:rPr>
                <w:rFonts w:ascii="Times New Roman" w:hAnsi="Times New Roman"/>
                <w:b/>
                <w:sz w:val="21"/>
              </w:rPr>
              <w:t>\textbf{ECE (%)}</w:t>
            </w:r>
          </w:p>
        </w:tc>
      </w:tr>
      <w:tr>
        <w:tc>
          <w:tcPr>
            <w:tcW w:type="dxa" w:w="1445"/>
            <w:tcMar>
              <w:top w:w="80" w:type="dxa"/>
              <w:bottom w:w="80" w:type="dxa"/>
              <w:left w:w="120" w:type="dxa"/>
              <w:right w:w="120" w:type="dxa"/>
            </w:tcMar>
            <w:tcBorders>
              <w:top w:val="single" w:sz="2" w:space="0" w:color="B0B0B0"/>
              <w:left w:val="single" w:sz="1" w:space="0" w:color="D8D8D8"/>
              <w:bottom w:val="single" w:sz="2" w:space="0" w:color="B0B0B0"/>
              <w:right w:val="single" w:sz="1" w:space="0" w:color="D8D8D8"/>
            </w:tcBorders>
          </w:tcPr>
          <w:p>
            <w:pPr>
              <w:jc w:val="left"/>
            </w:pPr>
            <w:r>
              <w:rPr>
                <w:rFonts w:ascii="Times New Roman" w:hAnsi="Times New Roman"/>
                <w:sz w:val="20"/>
              </w:rPr>
              <w:t>Stage 1: ResNet-50 Baseline</w:t>
            </w:r>
          </w:p>
        </w:tc>
        <w:tc>
          <w:tcPr>
            <w:tcW w:type="dxa" w:w="1445"/>
            <w:tcMar>
              <w:top w:w="80" w:type="dxa"/>
              <w:bottom w:w="80" w:type="dxa"/>
              <w:left w:w="120" w:type="dxa"/>
              <w:right w:w="120" w:type="dxa"/>
            </w:tcMar>
            <w:tcBorders>
              <w:top w:val="single" w:sz="2" w:space="0" w:color="B0B0B0"/>
              <w:left w:val="single" w:sz="1" w:space="0" w:color="D8D8D8"/>
              <w:bottom w:val="single" w:sz="2" w:space="0" w:color="B0B0B0"/>
              <w:right w:val="single" w:sz="1" w:space="0" w:color="D8D8D8"/>
            </w:tcBorders>
          </w:tcPr>
          <w:p>
            <w:pPr>
              <w:jc w:val="left"/>
            </w:pPr>
            <w:r>
              <w:rPr>
                <w:rFonts w:ascii="Times New Roman" w:hAnsi="Times New Roman"/>
                <w:sz w:val="20"/>
              </w:rPr>
              <w:t>94.80%</w:t>
            </w:r>
          </w:p>
        </w:tc>
        <w:tc>
          <w:tcPr>
            <w:tcW w:type="dxa" w:w="1445"/>
            <w:tcMar>
              <w:top w:w="80" w:type="dxa"/>
              <w:bottom w:w="80" w:type="dxa"/>
              <w:left w:w="120" w:type="dxa"/>
              <w:right w:w="120" w:type="dxa"/>
            </w:tcMar>
            <w:tcBorders>
              <w:top w:val="single" w:sz="2" w:space="0" w:color="B0B0B0"/>
              <w:left w:val="single" w:sz="1" w:space="0" w:color="D8D8D8"/>
              <w:bottom w:val="single" w:sz="2" w:space="0" w:color="B0B0B0"/>
              <w:right w:val="single" w:sz="1" w:space="0" w:color="D8D8D8"/>
            </w:tcBorders>
          </w:tcPr>
          <w:p>
            <w:pPr>
              <w:jc w:val="left"/>
            </w:pPr>
            <w:r>
              <w:rPr>
                <w:rFonts w:ascii="Times New Roman" w:hAnsi="Times New Roman"/>
                <w:sz w:val="20"/>
              </w:rPr>
              <w:t>93.50%</w:t>
            </w:r>
          </w:p>
        </w:tc>
        <w:tc>
          <w:tcPr>
            <w:tcW w:type="dxa" w:w="1445"/>
            <w:tcMar>
              <w:top w:w="80" w:type="dxa"/>
              <w:bottom w:w="80" w:type="dxa"/>
              <w:left w:w="120" w:type="dxa"/>
              <w:right w:w="120" w:type="dxa"/>
            </w:tcMar>
            <w:tcBorders>
              <w:top w:val="single" w:sz="2" w:space="0" w:color="B0B0B0"/>
              <w:left w:val="single" w:sz="1" w:space="0" w:color="D8D8D8"/>
              <w:bottom w:val="single" w:sz="2" w:space="0" w:color="B0B0B0"/>
              <w:right w:val="single" w:sz="1" w:space="0" w:color="D8D8D8"/>
            </w:tcBorders>
          </w:tcPr>
          <w:p>
            <w:pPr>
              <w:jc w:val="left"/>
            </w:pPr>
            <w:r>
              <w:rPr>
                <w:rFonts w:ascii="Times New Roman" w:hAnsi="Times New Roman"/>
                <w:sz w:val="20"/>
              </w:rPr>
              <w:t>96.10%</w:t>
            </w:r>
          </w:p>
        </w:tc>
        <w:tc>
          <w:tcPr>
            <w:tcW w:type="dxa" w:w="1445"/>
            <w:tcMar>
              <w:top w:w="80" w:type="dxa"/>
              <w:bottom w:w="80" w:type="dxa"/>
              <w:left w:w="120" w:type="dxa"/>
              <w:right w:w="120" w:type="dxa"/>
            </w:tcMar>
            <w:tcBorders>
              <w:top w:val="single" w:sz="2" w:space="0" w:color="B0B0B0"/>
              <w:left w:val="single" w:sz="1" w:space="0" w:color="D8D8D8"/>
              <w:bottom w:val="single" w:sz="2" w:space="0" w:color="B0B0B0"/>
              <w:right w:val="single" w:sz="1" w:space="0" w:color="D8D8D8"/>
            </w:tcBorders>
          </w:tcPr>
          <w:p>
            <w:pPr>
              <w:jc w:val="left"/>
            </w:pPr>
            <w:r>
              <w:rPr>
                <w:rFonts w:ascii="Times New Roman" w:hAnsi="Times New Roman"/>
                <w:sz w:val="20"/>
              </w:rPr>
              <w:t>0.974</w:t>
            </w:r>
          </w:p>
        </w:tc>
        <w:tc>
          <w:tcPr>
            <w:tcW w:type="dxa" w:w="1445"/>
            <w:tcMar>
              <w:top w:w="80" w:type="dxa"/>
              <w:bottom w:w="80" w:type="dxa"/>
              <w:left w:w="120" w:type="dxa"/>
              <w:right w:w="120" w:type="dxa"/>
            </w:tcMar>
            <w:tcBorders>
              <w:top w:val="single" w:sz="2" w:space="0" w:color="B0B0B0"/>
              <w:left w:val="single" w:sz="1" w:space="0" w:color="D8D8D8"/>
              <w:bottom w:val="single" w:sz="2" w:space="0" w:color="B0B0B0"/>
              <w:right w:val="single" w:sz="1" w:space="0" w:color="D8D8D8"/>
            </w:tcBorders>
          </w:tcPr>
          <w:p>
            <w:pPr>
              <w:jc w:val="left"/>
            </w:pPr>
            <w:r>
              <w:rPr>
                <w:rFonts w:ascii="Times New Roman" w:hAnsi="Times New Roman"/>
                <w:sz w:val="20"/>
              </w:rPr>
              <w:t>14.82%</w:t>
            </w:r>
          </w:p>
        </w:tc>
      </w:tr>
      <w:tr>
        <w:tc>
          <w:tcPr>
            <w:tcW w:type="dxa" w:w="1445"/>
            <w:tcMar>
              <w:top w:w="80" w:type="dxa"/>
              <w:bottom w:w="80" w:type="dxa"/>
              <w:left w:w="120" w:type="dxa"/>
              <w:right w:w="120" w:type="dxa"/>
            </w:tcMar>
            <w:tcBorders>
              <w:top w:val="single" w:sz="2" w:space="0" w:color="B0B0B0"/>
              <w:left w:val="single" w:sz="1" w:space="0" w:color="D8D8D8"/>
              <w:bottom w:val="single" w:sz="2" w:space="0" w:color="B0B0B0"/>
              <w:right w:val="single" w:sz="1" w:space="0" w:color="D8D8D8"/>
            </w:tcBorders>
          </w:tcPr>
          <w:p>
            <w:pPr>
              <w:jc w:val="left"/>
            </w:pPr>
            <w:r>
              <w:rPr>
                <w:rFonts w:ascii="Times New Roman" w:hAnsi="Times New Roman"/>
                <w:sz w:val="20"/>
              </w:rPr>
              <w:t>Stage 2: MergedNet 4-Backbone Ensemble</w:t>
            </w:r>
          </w:p>
        </w:tc>
        <w:tc>
          <w:tcPr>
            <w:tcW w:type="dxa" w:w="1445"/>
            <w:tcMar>
              <w:top w:w="80" w:type="dxa"/>
              <w:bottom w:w="80" w:type="dxa"/>
              <w:left w:w="120" w:type="dxa"/>
              <w:right w:w="120" w:type="dxa"/>
            </w:tcMar>
            <w:tcBorders>
              <w:top w:val="single" w:sz="2" w:space="0" w:color="B0B0B0"/>
              <w:left w:val="single" w:sz="1" w:space="0" w:color="D8D8D8"/>
              <w:bottom w:val="single" w:sz="2" w:space="0" w:color="B0B0B0"/>
              <w:right w:val="single" w:sz="1" w:space="0" w:color="D8D8D8"/>
            </w:tcBorders>
          </w:tcPr>
          <w:p>
            <w:pPr>
              <w:jc w:val="left"/>
            </w:pPr>
            <w:r>
              <w:rPr>
                <w:rFonts w:ascii="Times New Roman" w:hAnsi="Times New Roman"/>
                <w:sz w:val="20"/>
              </w:rPr>
              <w:t>98.40%</w:t>
            </w:r>
          </w:p>
        </w:tc>
        <w:tc>
          <w:tcPr>
            <w:tcW w:type="dxa" w:w="1445"/>
            <w:tcMar>
              <w:top w:w="80" w:type="dxa"/>
              <w:bottom w:w="80" w:type="dxa"/>
              <w:left w:w="120" w:type="dxa"/>
              <w:right w:w="120" w:type="dxa"/>
            </w:tcMar>
            <w:tcBorders>
              <w:top w:val="single" w:sz="2" w:space="0" w:color="B0B0B0"/>
              <w:left w:val="single" w:sz="1" w:space="0" w:color="D8D8D8"/>
              <w:bottom w:val="single" w:sz="2" w:space="0" w:color="B0B0B0"/>
              <w:right w:val="single" w:sz="1" w:space="0" w:color="D8D8D8"/>
            </w:tcBorders>
          </w:tcPr>
          <w:p>
            <w:pPr>
              <w:jc w:val="left"/>
            </w:pPr>
            <w:r>
              <w:rPr>
                <w:rFonts w:ascii="Times New Roman" w:hAnsi="Times New Roman"/>
                <w:sz w:val="20"/>
              </w:rPr>
              <w:t>97.80%</w:t>
            </w:r>
          </w:p>
        </w:tc>
        <w:tc>
          <w:tcPr>
            <w:tcW w:type="dxa" w:w="1445"/>
            <w:tcMar>
              <w:top w:w="80" w:type="dxa"/>
              <w:bottom w:w="80" w:type="dxa"/>
              <w:left w:w="120" w:type="dxa"/>
              <w:right w:w="120" w:type="dxa"/>
            </w:tcMar>
            <w:tcBorders>
              <w:top w:val="single" w:sz="2" w:space="0" w:color="B0B0B0"/>
              <w:left w:val="single" w:sz="1" w:space="0" w:color="D8D8D8"/>
              <w:bottom w:val="single" w:sz="2" w:space="0" w:color="B0B0B0"/>
              <w:right w:val="single" w:sz="1" w:space="0" w:color="D8D8D8"/>
            </w:tcBorders>
          </w:tcPr>
          <w:p>
            <w:pPr>
              <w:jc w:val="left"/>
            </w:pPr>
            <w:r>
              <w:rPr>
                <w:rFonts w:ascii="Times New Roman" w:hAnsi="Times New Roman"/>
                <w:sz w:val="20"/>
              </w:rPr>
              <w:t>99.00%</w:t>
            </w:r>
          </w:p>
        </w:tc>
        <w:tc>
          <w:tcPr>
            <w:tcW w:type="dxa" w:w="1445"/>
            <w:tcMar>
              <w:top w:w="80" w:type="dxa"/>
              <w:bottom w:w="80" w:type="dxa"/>
              <w:left w:w="120" w:type="dxa"/>
              <w:right w:w="120" w:type="dxa"/>
            </w:tcMar>
            <w:tcBorders>
              <w:top w:val="single" w:sz="2" w:space="0" w:color="B0B0B0"/>
              <w:left w:val="single" w:sz="1" w:space="0" w:color="D8D8D8"/>
              <w:bottom w:val="single" w:sz="2" w:space="0" w:color="B0B0B0"/>
              <w:right w:val="single" w:sz="1" w:space="0" w:color="D8D8D8"/>
            </w:tcBorders>
          </w:tcPr>
          <w:p>
            <w:pPr>
              <w:jc w:val="left"/>
            </w:pPr>
            <w:r>
              <w:rPr>
                <w:rFonts w:ascii="Times New Roman" w:hAnsi="Times New Roman"/>
                <w:sz w:val="20"/>
              </w:rPr>
              <w:t>0.991</w:t>
            </w:r>
          </w:p>
        </w:tc>
        <w:tc>
          <w:tcPr>
            <w:tcW w:type="dxa" w:w="1445"/>
            <w:tcMar>
              <w:top w:w="80" w:type="dxa"/>
              <w:bottom w:w="80" w:type="dxa"/>
              <w:left w:w="120" w:type="dxa"/>
              <w:right w:w="120" w:type="dxa"/>
            </w:tcMar>
            <w:tcBorders>
              <w:top w:val="single" w:sz="2" w:space="0" w:color="B0B0B0"/>
              <w:left w:val="single" w:sz="1" w:space="0" w:color="D8D8D8"/>
              <w:bottom w:val="single" w:sz="2" w:space="0" w:color="B0B0B0"/>
              <w:right w:val="single" w:sz="1" w:space="0" w:color="D8D8D8"/>
            </w:tcBorders>
          </w:tcPr>
          <w:p>
            <w:pPr>
              <w:jc w:val="left"/>
            </w:pPr>
            <w:r>
              <w:rPr>
                <w:rFonts w:ascii="Times New Roman" w:hAnsi="Times New Roman"/>
                <w:sz w:val="20"/>
              </w:rPr>
              <w:t>9.45%</w:t>
            </w:r>
          </w:p>
        </w:tc>
      </w:tr>
      <w:tr>
        <w:tc>
          <w:tcPr>
            <w:tcW w:type="dxa" w:w="1445"/>
            <w:tcMar>
              <w:top w:w="80" w:type="dxa"/>
              <w:bottom w:w="80" w:type="dxa"/>
              <w:left w:w="120" w:type="dxa"/>
              <w:right w:w="120" w:type="dxa"/>
            </w:tcMar>
            <w:tcBorders>
              <w:top w:val="single" w:sz="2" w:space="0" w:color="B0B0B0"/>
              <w:left w:val="single" w:sz="1" w:space="0" w:color="D8D8D8"/>
              <w:bottom w:val="single" w:sz="2" w:space="0" w:color="B0B0B0"/>
              <w:right w:val="single" w:sz="1" w:space="0" w:color="D8D8D8"/>
            </w:tcBorders>
          </w:tcPr>
          <w:p>
            <w:pPr>
              <w:jc w:val="left"/>
            </w:pPr>
            <w:r>
              <w:rPr>
                <w:rFonts w:ascii="Times New Roman" w:hAnsi="Times New Roman"/>
                <w:sz w:val="20"/>
              </w:rPr>
              <w:t>Stage 3: Stage 2 + 8-Pass TTA Engine</w:t>
            </w:r>
          </w:p>
        </w:tc>
        <w:tc>
          <w:tcPr>
            <w:tcW w:type="dxa" w:w="1445"/>
            <w:tcMar>
              <w:top w:w="80" w:type="dxa"/>
              <w:bottom w:w="80" w:type="dxa"/>
              <w:left w:w="120" w:type="dxa"/>
              <w:right w:w="120" w:type="dxa"/>
            </w:tcMar>
            <w:tcBorders>
              <w:top w:val="single" w:sz="2" w:space="0" w:color="B0B0B0"/>
              <w:left w:val="single" w:sz="1" w:space="0" w:color="D8D8D8"/>
              <w:bottom w:val="single" w:sz="2" w:space="0" w:color="B0B0B0"/>
              <w:right w:val="single" w:sz="1" w:space="0" w:color="D8D8D8"/>
            </w:tcBorders>
          </w:tcPr>
          <w:p>
            <w:pPr>
              <w:jc w:val="left"/>
            </w:pPr>
            <w:r>
              <w:rPr>
                <w:rFonts w:ascii="Times New Roman" w:hAnsi="Times New Roman"/>
                <w:sz w:val="20"/>
              </w:rPr>
              <w:t>99.10%</w:t>
            </w:r>
          </w:p>
        </w:tc>
        <w:tc>
          <w:tcPr>
            <w:tcW w:type="dxa" w:w="1445"/>
            <w:tcMar>
              <w:top w:w="80" w:type="dxa"/>
              <w:bottom w:w="80" w:type="dxa"/>
              <w:left w:w="120" w:type="dxa"/>
              <w:right w:w="120" w:type="dxa"/>
            </w:tcMar>
            <w:tcBorders>
              <w:top w:val="single" w:sz="2" w:space="0" w:color="B0B0B0"/>
              <w:left w:val="single" w:sz="1" w:space="0" w:color="D8D8D8"/>
              <w:bottom w:val="single" w:sz="2" w:space="0" w:color="B0B0B0"/>
              <w:right w:val="single" w:sz="1" w:space="0" w:color="D8D8D8"/>
            </w:tcBorders>
          </w:tcPr>
          <w:p>
            <w:pPr>
              <w:jc w:val="left"/>
            </w:pPr>
            <w:r>
              <w:rPr>
                <w:rFonts w:ascii="Times New Roman" w:hAnsi="Times New Roman"/>
                <w:sz w:val="20"/>
              </w:rPr>
              <w:t>98.90%</w:t>
            </w:r>
          </w:p>
        </w:tc>
        <w:tc>
          <w:tcPr>
            <w:tcW w:type="dxa" w:w="1445"/>
            <w:tcMar>
              <w:top w:w="80" w:type="dxa"/>
              <w:bottom w:w="80" w:type="dxa"/>
              <w:left w:w="120" w:type="dxa"/>
              <w:right w:w="120" w:type="dxa"/>
            </w:tcMar>
            <w:tcBorders>
              <w:top w:val="single" w:sz="2" w:space="0" w:color="B0B0B0"/>
              <w:left w:val="single" w:sz="1" w:space="0" w:color="D8D8D8"/>
              <w:bottom w:val="single" w:sz="2" w:space="0" w:color="B0B0B0"/>
              <w:right w:val="single" w:sz="1" w:space="0" w:color="D8D8D8"/>
            </w:tcBorders>
          </w:tcPr>
          <w:p>
            <w:pPr>
              <w:jc w:val="left"/>
            </w:pPr>
            <w:r>
              <w:rPr>
                <w:rFonts w:ascii="Times New Roman" w:hAnsi="Times New Roman"/>
                <w:sz w:val="20"/>
              </w:rPr>
              <w:t>99.30%</w:t>
            </w:r>
          </w:p>
        </w:tc>
        <w:tc>
          <w:tcPr>
            <w:tcW w:type="dxa" w:w="1445"/>
            <w:tcMar>
              <w:top w:w="80" w:type="dxa"/>
              <w:bottom w:w="80" w:type="dxa"/>
              <w:left w:w="120" w:type="dxa"/>
              <w:right w:w="120" w:type="dxa"/>
            </w:tcMar>
            <w:tcBorders>
              <w:top w:val="single" w:sz="2" w:space="0" w:color="B0B0B0"/>
              <w:left w:val="single" w:sz="1" w:space="0" w:color="D8D8D8"/>
              <w:bottom w:val="single" w:sz="2" w:space="0" w:color="B0B0B0"/>
              <w:right w:val="single" w:sz="1" w:space="0" w:color="D8D8D8"/>
            </w:tcBorders>
          </w:tcPr>
          <w:p>
            <w:pPr>
              <w:jc w:val="left"/>
            </w:pPr>
            <w:r>
              <w:rPr>
                <w:rFonts w:ascii="Times New Roman" w:hAnsi="Times New Roman"/>
                <w:sz w:val="20"/>
              </w:rPr>
              <w:t>0.996</w:t>
            </w:r>
          </w:p>
        </w:tc>
        <w:tc>
          <w:tcPr>
            <w:tcW w:type="dxa" w:w="1445"/>
            <w:tcMar>
              <w:top w:w="80" w:type="dxa"/>
              <w:bottom w:w="80" w:type="dxa"/>
              <w:left w:w="120" w:type="dxa"/>
              <w:right w:w="120" w:type="dxa"/>
            </w:tcMar>
            <w:tcBorders>
              <w:top w:val="single" w:sz="2" w:space="0" w:color="B0B0B0"/>
              <w:left w:val="single" w:sz="1" w:space="0" w:color="D8D8D8"/>
              <w:bottom w:val="single" w:sz="2" w:space="0" w:color="B0B0B0"/>
              <w:right w:val="single" w:sz="1" w:space="0" w:color="D8D8D8"/>
            </w:tcBorders>
          </w:tcPr>
          <w:p>
            <w:pPr>
              <w:jc w:val="left"/>
            </w:pPr>
            <w:r>
              <w:rPr>
                <w:rFonts w:ascii="Times New Roman" w:hAnsi="Times New Roman"/>
                <w:sz w:val="20"/>
              </w:rPr>
              <w:t>6.20%</w:t>
            </w:r>
          </w:p>
        </w:tc>
      </w:tr>
      <w:tr>
        <w:tc>
          <w:tcPr>
            <w:tcW w:type="dxa" w:w="1445"/>
            <w:tcMar>
              <w:top w:w="80" w:type="dxa"/>
              <w:bottom w:w="80" w:type="dxa"/>
              <w:left w:w="120" w:type="dxa"/>
              <w:right w:w="120" w:type="dxa"/>
            </w:tcMar>
            <w:tcBorders>
              <w:top w:val="single" w:sz="2" w:space="0" w:color="B0B0B0"/>
              <w:left w:val="single" w:sz="1" w:space="0" w:color="D8D8D8"/>
              <w:bottom w:val="single" w:sz="2" w:space="0" w:color="B0B0B0"/>
              <w:right w:val="single" w:sz="1" w:space="0" w:color="D8D8D8"/>
            </w:tcBorders>
          </w:tcPr>
          <w:p>
            <w:pPr>
              <w:jc w:val="left"/>
            </w:pPr>
            <w:r>
              <w:rPr>
                <w:rFonts w:ascii="Times New Roman" w:hAnsi="Times New Roman"/>
                <w:sz w:val="20"/>
              </w:rPr>
              <w:t>Stage 4: Stage 3 + Reinhard CIELAB Norm</w:t>
            </w:r>
          </w:p>
        </w:tc>
        <w:tc>
          <w:tcPr>
            <w:tcW w:type="dxa" w:w="1445"/>
            <w:tcMar>
              <w:top w:w="80" w:type="dxa"/>
              <w:bottom w:w="80" w:type="dxa"/>
              <w:left w:w="120" w:type="dxa"/>
              <w:right w:w="120" w:type="dxa"/>
            </w:tcMar>
            <w:tcBorders>
              <w:top w:val="single" w:sz="2" w:space="0" w:color="B0B0B0"/>
              <w:left w:val="single" w:sz="1" w:space="0" w:color="D8D8D8"/>
              <w:bottom w:val="single" w:sz="2" w:space="0" w:color="B0B0B0"/>
              <w:right w:val="single" w:sz="1" w:space="0" w:color="D8D8D8"/>
            </w:tcBorders>
          </w:tcPr>
          <w:p>
            <w:pPr>
              <w:jc w:val="left"/>
            </w:pPr>
            <w:r>
              <w:rPr>
                <w:rFonts w:ascii="Times New Roman" w:hAnsi="Times New Roman"/>
                <w:sz w:val="20"/>
              </w:rPr>
              <w:t>99.55%</w:t>
            </w:r>
          </w:p>
        </w:tc>
        <w:tc>
          <w:tcPr>
            <w:tcW w:type="dxa" w:w="1445"/>
            <w:tcMar>
              <w:top w:w="80" w:type="dxa"/>
              <w:bottom w:w="80" w:type="dxa"/>
              <w:left w:w="120" w:type="dxa"/>
              <w:right w:w="120" w:type="dxa"/>
            </w:tcMar>
            <w:tcBorders>
              <w:top w:val="single" w:sz="2" w:space="0" w:color="B0B0B0"/>
              <w:left w:val="single" w:sz="1" w:space="0" w:color="D8D8D8"/>
              <w:bottom w:val="single" w:sz="2" w:space="0" w:color="B0B0B0"/>
              <w:right w:val="single" w:sz="1" w:space="0" w:color="D8D8D8"/>
            </w:tcBorders>
          </w:tcPr>
          <w:p>
            <w:pPr>
              <w:jc w:val="left"/>
            </w:pPr>
            <w:r>
              <w:rPr>
                <w:rFonts w:ascii="Times New Roman" w:hAnsi="Times New Roman"/>
                <w:sz w:val="20"/>
              </w:rPr>
              <w:t>99.40%</w:t>
            </w:r>
          </w:p>
        </w:tc>
        <w:tc>
          <w:tcPr>
            <w:tcW w:type="dxa" w:w="1445"/>
            <w:tcMar>
              <w:top w:w="80" w:type="dxa"/>
              <w:bottom w:w="80" w:type="dxa"/>
              <w:left w:w="120" w:type="dxa"/>
              <w:right w:w="120" w:type="dxa"/>
            </w:tcMar>
            <w:tcBorders>
              <w:top w:val="single" w:sz="2" w:space="0" w:color="B0B0B0"/>
              <w:left w:val="single" w:sz="1" w:space="0" w:color="D8D8D8"/>
              <w:bottom w:val="single" w:sz="2" w:space="0" w:color="B0B0B0"/>
              <w:right w:val="single" w:sz="1" w:space="0" w:color="D8D8D8"/>
            </w:tcBorders>
          </w:tcPr>
          <w:p>
            <w:pPr>
              <w:jc w:val="left"/>
            </w:pPr>
            <w:r>
              <w:rPr>
                <w:rFonts w:ascii="Times New Roman" w:hAnsi="Times New Roman"/>
                <w:sz w:val="20"/>
              </w:rPr>
              <w:t>99.70%</w:t>
            </w:r>
          </w:p>
        </w:tc>
        <w:tc>
          <w:tcPr>
            <w:tcW w:type="dxa" w:w="1445"/>
            <w:tcMar>
              <w:top w:w="80" w:type="dxa"/>
              <w:bottom w:w="80" w:type="dxa"/>
              <w:left w:w="120" w:type="dxa"/>
              <w:right w:w="120" w:type="dxa"/>
            </w:tcMar>
            <w:tcBorders>
              <w:top w:val="single" w:sz="2" w:space="0" w:color="B0B0B0"/>
              <w:left w:val="single" w:sz="1" w:space="0" w:color="D8D8D8"/>
              <w:bottom w:val="single" w:sz="2" w:space="0" w:color="B0B0B0"/>
              <w:right w:val="single" w:sz="1" w:space="0" w:color="D8D8D8"/>
            </w:tcBorders>
          </w:tcPr>
          <w:p>
            <w:pPr>
              <w:jc w:val="left"/>
            </w:pPr>
            <w:r>
              <w:rPr>
                <w:rFonts w:ascii="Times New Roman" w:hAnsi="Times New Roman"/>
                <w:sz w:val="20"/>
              </w:rPr>
              <w:t>0.998</w:t>
            </w:r>
          </w:p>
        </w:tc>
        <w:tc>
          <w:tcPr>
            <w:tcW w:type="dxa" w:w="1445"/>
            <w:tcMar>
              <w:top w:w="80" w:type="dxa"/>
              <w:bottom w:w="80" w:type="dxa"/>
              <w:left w:w="120" w:type="dxa"/>
              <w:right w:w="120" w:type="dxa"/>
            </w:tcMar>
            <w:tcBorders>
              <w:top w:val="single" w:sz="2" w:space="0" w:color="B0B0B0"/>
              <w:left w:val="single" w:sz="1" w:space="0" w:color="D8D8D8"/>
              <w:bottom w:val="single" w:sz="2" w:space="0" w:color="B0B0B0"/>
              <w:right w:val="single" w:sz="1" w:space="0" w:color="D8D8D8"/>
            </w:tcBorders>
          </w:tcPr>
          <w:p>
            <w:pPr>
              <w:jc w:val="left"/>
            </w:pPr>
            <w:r>
              <w:rPr>
                <w:rFonts w:ascii="Times New Roman" w:hAnsi="Times New Roman"/>
                <w:sz w:val="20"/>
              </w:rPr>
              <w:t>3.84%</w:t>
            </w:r>
          </w:p>
        </w:tc>
      </w:tr>
      <w:tr>
        <w:tc>
          <w:tcPr>
            <w:tcW w:type="dxa" w:w="1445"/>
            <w:tcMar>
              <w:top w:w="80" w:type="dxa"/>
              <w:bottom w:w="80" w:type="dxa"/>
              <w:left w:w="120" w:type="dxa"/>
              <w:right w:w="120" w:type="dxa"/>
            </w:tcMar>
            <w:tcBorders>
              <w:top w:val="single" w:sz="2" w:space="0" w:color="B0B0B0"/>
              <w:left w:val="single" w:sz="1" w:space="0" w:color="D8D8D8"/>
              <w:bottom w:val="single" w:sz="2" w:space="0" w:color="B0B0B0"/>
              <w:right w:val="single" w:sz="1" w:space="0" w:color="D8D8D8"/>
            </w:tcBorders>
          </w:tcPr>
          <w:p>
            <w:pPr>
              <w:jc w:val="left"/>
            </w:pPr>
            <w:r>
              <w:rPr>
                <w:rFonts w:ascii="Times New Roman" w:hAnsi="Times New Roman"/>
                <w:sz w:val="20"/>
              </w:rPr>
              <w:t>Stage 5: Stage 4 + 15-Pass MC Dropout</w:t>
            </w:r>
          </w:p>
        </w:tc>
        <w:tc>
          <w:tcPr>
            <w:tcW w:type="dxa" w:w="1445"/>
            <w:tcMar>
              <w:top w:w="80" w:type="dxa"/>
              <w:bottom w:w="80" w:type="dxa"/>
              <w:left w:w="120" w:type="dxa"/>
              <w:right w:w="120" w:type="dxa"/>
            </w:tcMar>
            <w:tcBorders>
              <w:top w:val="single" w:sz="2" w:space="0" w:color="B0B0B0"/>
              <w:left w:val="single" w:sz="1" w:space="0" w:color="D8D8D8"/>
              <w:bottom w:val="single" w:sz="2" w:space="0" w:color="B0B0B0"/>
              <w:right w:val="single" w:sz="1" w:space="0" w:color="D8D8D8"/>
            </w:tcBorders>
          </w:tcPr>
          <w:p>
            <w:pPr>
              <w:jc w:val="left"/>
            </w:pPr>
            <w:r>
              <w:rPr>
                <w:rFonts w:ascii="Times New Roman" w:hAnsi="Times New Roman"/>
                <w:sz w:val="20"/>
              </w:rPr>
              <w:t>99.85%</w:t>
            </w:r>
          </w:p>
        </w:tc>
        <w:tc>
          <w:tcPr>
            <w:tcW w:type="dxa" w:w="1445"/>
            <w:tcMar>
              <w:top w:w="80" w:type="dxa"/>
              <w:bottom w:w="80" w:type="dxa"/>
              <w:left w:w="120" w:type="dxa"/>
              <w:right w:w="120" w:type="dxa"/>
            </w:tcMar>
            <w:tcBorders>
              <w:top w:val="single" w:sz="2" w:space="0" w:color="B0B0B0"/>
              <w:left w:val="single" w:sz="1" w:space="0" w:color="D8D8D8"/>
              <w:bottom w:val="single" w:sz="2" w:space="0" w:color="B0B0B0"/>
              <w:right w:val="single" w:sz="1" w:space="0" w:color="D8D8D8"/>
            </w:tcBorders>
          </w:tcPr>
          <w:p>
            <w:pPr>
              <w:jc w:val="left"/>
            </w:pPr>
            <w:r>
              <w:rPr>
                <w:rFonts w:ascii="Times New Roman" w:hAnsi="Times New Roman"/>
                <w:sz w:val="20"/>
              </w:rPr>
              <w:t>99.70%</w:t>
            </w:r>
          </w:p>
        </w:tc>
        <w:tc>
          <w:tcPr>
            <w:tcW w:type="dxa" w:w="1445"/>
            <w:tcMar>
              <w:top w:w="80" w:type="dxa"/>
              <w:bottom w:w="80" w:type="dxa"/>
              <w:left w:w="120" w:type="dxa"/>
              <w:right w:w="120" w:type="dxa"/>
            </w:tcMar>
            <w:tcBorders>
              <w:top w:val="single" w:sz="2" w:space="0" w:color="B0B0B0"/>
              <w:left w:val="single" w:sz="1" w:space="0" w:color="D8D8D8"/>
              <w:bottom w:val="single" w:sz="2" w:space="0" w:color="B0B0B0"/>
              <w:right w:val="single" w:sz="1" w:space="0" w:color="D8D8D8"/>
            </w:tcBorders>
          </w:tcPr>
          <w:p>
            <w:pPr>
              <w:jc w:val="left"/>
            </w:pPr>
            <w:r>
              <w:rPr>
                <w:rFonts w:ascii="Times New Roman" w:hAnsi="Times New Roman"/>
                <w:sz w:val="20"/>
              </w:rPr>
              <w:t>100.00%</w:t>
            </w:r>
          </w:p>
        </w:tc>
        <w:tc>
          <w:tcPr>
            <w:tcW w:type="dxa" w:w="1445"/>
            <w:tcMar>
              <w:top w:w="80" w:type="dxa"/>
              <w:bottom w:w="80" w:type="dxa"/>
              <w:left w:w="120" w:type="dxa"/>
              <w:right w:w="120" w:type="dxa"/>
            </w:tcMar>
            <w:tcBorders>
              <w:top w:val="single" w:sz="2" w:space="0" w:color="B0B0B0"/>
              <w:left w:val="single" w:sz="1" w:space="0" w:color="D8D8D8"/>
              <w:bottom w:val="single" w:sz="2" w:space="0" w:color="B0B0B0"/>
              <w:right w:val="single" w:sz="1" w:space="0" w:color="D8D8D8"/>
            </w:tcBorders>
          </w:tcPr>
          <w:p>
            <w:pPr>
              <w:jc w:val="left"/>
            </w:pPr>
            <w:r>
              <w:rPr>
                <w:rFonts w:ascii="Times New Roman" w:hAnsi="Times New Roman"/>
                <w:sz w:val="20"/>
              </w:rPr>
              <w:t>1.000</w:t>
            </w:r>
          </w:p>
        </w:tc>
        <w:tc>
          <w:tcPr>
            <w:tcW w:type="dxa" w:w="1445"/>
            <w:tcMar>
              <w:top w:w="80" w:type="dxa"/>
              <w:bottom w:w="80" w:type="dxa"/>
              <w:left w:w="120" w:type="dxa"/>
              <w:right w:w="120" w:type="dxa"/>
            </w:tcMar>
            <w:tcBorders>
              <w:top w:val="single" w:sz="2" w:space="0" w:color="B0B0B0"/>
              <w:left w:val="single" w:sz="1" w:space="0" w:color="D8D8D8"/>
              <w:bottom w:val="single" w:sz="2" w:space="0" w:color="B0B0B0"/>
              <w:right w:val="single" w:sz="1" w:space="0" w:color="D8D8D8"/>
            </w:tcBorders>
          </w:tcPr>
          <w:p>
            <w:pPr>
              <w:jc w:val="left"/>
            </w:pPr>
            <w:r>
              <w:rPr>
                <w:rFonts w:ascii="Times New Roman" w:hAnsi="Times New Roman"/>
                <w:sz w:val="20"/>
              </w:rPr>
              <w:t>1.15%</w:t>
            </w:r>
          </w:p>
        </w:tc>
      </w:tr>
      <w:tr>
        <w:tc>
          <w:tcPr>
            <w:tcW w:type="dxa" w:w="1445"/>
            <w:tcMar>
              <w:top w:w="80" w:type="dxa"/>
              <w:bottom w:w="80" w:type="dxa"/>
              <w:left w:w="120" w:type="dxa"/>
              <w:right w:w="120" w:type="dxa"/>
            </w:tcMar>
            <w:tcBorders>
              <w:top w:val="single" w:sz="2" w:space="0" w:color="B0B0B0"/>
              <w:left w:val="single" w:sz="1" w:space="0" w:color="D8D8D8"/>
              <w:bottom w:val="single" w:sz="2" w:space="0" w:color="B0B0B0"/>
              <w:right w:val="single" w:sz="1" w:space="0" w:color="D8D8D8"/>
            </w:tcBorders>
          </w:tcPr>
          <w:p>
            <w:pPr>
              <w:jc w:val="left"/>
            </w:pPr>
            <w:r>
              <w:rPr>
                <w:rFonts w:ascii="Times New Roman" w:hAnsi="Times New Roman"/>
                <w:sz w:val="20"/>
              </w:rPr>
              <w:t>Stage 6: Full Multimodal Visionary Engine</w:t>
            </w:r>
          </w:p>
        </w:tc>
        <w:tc>
          <w:tcPr>
            <w:tcW w:type="dxa" w:w="1445"/>
            <w:tcMar>
              <w:top w:w="80" w:type="dxa"/>
              <w:bottom w:w="80" w:type="dxa"/>
              <w:left w:w="120" w:type="dxa"/>
              <w:right w:w="120" w:type="dxa"/>
            </w:tcMar>
            <w:tcBorders>
              <w:top w:val="single" w:sz="2" w:space="0" w:color="B0B0B0"/>
              <w:left w:val="single" w:sz="1" w:space="0" w:color="D8D8D8"/>
              <w:bottom w:val="single" w:sz="2" w:space="0" w:color="B0B0B0"/>
              <w:right w:val="single" w:sz="1" w:space="0" w:color="D8D8D8"/>
            </w:tcBorders>
          </w:tcPr>
          <w:p>
            <w:pPr>
              <w:jc w:val="left"/>
            </w:pPr>
            <w:r>
              <w:rPr>
                <w:rFonts w:ascii="Times New Roman" w:hAnsi="Times New Roman"/>
                <w:sz w:val="20"/>
              </w:rPr>
              <w:t>\textbf{99.92%}</w:t>
            </w:r>
          </w:p>
        </w:tc>
        <w:tc>
          <w:tcPr>
            <w:tcW w:type="dxa" w:w="1445"/>
            <w:tcMar>
              <w:top w:w="80" w:type="dxa"/>
              <w:bottom w:w="80" w:type="dxa"/>
              <w:left w:w="120" w:type="dxa"/>
              <w:right w:w="120" w:type="dxa"/>
            </w:tcMar>
            <w:tcBorders>
              <w:top w:val="single" w:sz="2" w:space="0" w:color="B0B0B0"/>
              <w:left w:val="single" w:sz="1" w:space="0" w:color="D8D8D8"/>
              <w:bottom w:val="single" w:sz="2" w:space="0" w:color="B0B0B0"/>
              <w:right w:val="single" w:sz="1" w:space="0" w:color="D8D8D8"/>
            </w:tcBorders>
          </w:tcPr>
          <w:p>
            <w:pPr>
              <w:jc w:val="left"/>
            </w:pPr>
            <w:r>
              <w:rPr>
                <w:rFonts w:ascii="Times New Roman" w:hAnsi="Times New Roman"/>
                <w:sz w:val="20"/>
              </w:rPr>
              <w:t>\textbf{99.76%}</w:t>
            </w:r>
          </w:p>
        </w:tc>
        <w:tc>
          <w:tcPr>
            <w:tcW w:type="dxa" w:w="1445"/>
            <w:tcMar>
              <w:top w:w="80" w:type="dxa"/>
              <w:bottom w:w="80" w:type="dxa"/>
              <w:left w:w="120" w:type="dxa"/>
              <w:right w:w="120" w:type="dxa"/>
            </w:tcMar>
            <w:tcBorders>
              <w:top w:val="single" w:sz="2" w:space="0" w:color="B0B0B0"/>
              <w:left w:val="single" w:sz="1" w:space="0" w:color="D8D8D8"/>
              <w:bottom w:val="single" w:sz="2" w:space="0" w:color="B0B0B0"/>
              <w:right w:val="single" w:sz="1" w:space="0" w:color="D8D8D8"/>
            </w:tcBorders>
          </w:tcPr>
          <w:p>
            <w:pPr>
              <w:jc w:val="left"/>
            </w:pPr>
            <w:r>
              <w:rPr>
                <w:rFonts w:ascii="Times New Roman" w:hAnsi="Times New Roman"/>
                <w:sz w:val="20"/>
              </w:rPr>
              <w:t>\textbf{100.00%}</w:t>
            </w:r>
          </w:p>
        </w:tc>
        <w:tc>
          <w:tcPr>
            <w:tcW w:type="dxa" w:w="1445"/>
            <w:tcMar>
              <w:top w:w="80" w:type="dxa"/>
              <w:bottom w:w="80" w:type="dxa"/>
              <w:left w:w="120" w:type="dxa"/>
              <w:right w:w="120" w:type="dxa"/>
            </w:tcMar>
            <w:tcBorders>
              <w:top w:val="single" w:sz="2" w:space="0" w:color="B0B0B0"/>
              <w:left w:val="single" w:sz="1" w:space="0" w:color="D8D8D8"/>
              <w:bottom w:val="single" w:sz="2" w:space="0" w:color="B0B0B0"/>
              <w:right w:val="single" w:sz="1" w:space="0" w:color="D8D8D8"/>
            </w:tcBorders>
          </w:tcPr>
          <w:p>
            <w:pPr>
              <w:jc w:val="left"/>
            </w:pPr>
            <w:r>
              <w:rPr>
                <w:rFonts w:ascii="Times New Roman" w:hAnsi="Times New Roman"/>
                <w:sz w:val="20"/>
              </w:rPr>
              <w:t>\textbf{1.000}</w:t>
            </w:r>
          </w:p>
        </w:tc>
        <w:tc>
          <w:tcPr>
            <w:tcW w:type="dxa" w:w="1445"/>
            <w:tcMar>
              <w:top w:w="80" w:type="dxa"/>
              <w:bottom w:w="80" w:type="dxa"/>
              <w:left w:w="120" w:type="dxa"/>
              <w:right w:w="120" w:type="dxa"/>
            </w:tcMar>
            <w:tcBorders>
              <w:top w:val="single" w:sz="2" w:space="0" w:color="B0B0B0"/>
              <w:left w:val="single" w:sz="1" w:space="0" w:color="D8D8D8"/>
              <w:bottom w:val="single" w:sz="2" w:space="0" w:color="B0B0B0"/>
              <w:right w:val="single" w:sz="1" w:space="0" w:color="D8D8D8"/>
            </w:tcBorders>
          </w:tcPr>
          <w:p>
            <w:pPr>
              <w:jc w:val="left"/>
            </w:pPr>
            <w:r>
              <w:rPr>
                <w:rFonts w:ascii="Times New Roman" w:hAnsi="Times New Roman"/>
                <w:sz w:val="20"/>
              </w:rPr>
              <w:t>\textbf{0.82%}</w:t>
            </w:r>
          </w:p>
        </w:tc>
      </w:tr>
    </w:tbl>
    <w:p>
      <w:pPr>
        <w:spacing w:before="80" w:after="160" w:line="360" w:lineRule="auto"/>
        <w:jc w:val="both"/>
      </w:pPr>
    </w:p>
    <w:p>
      <w:pPr>
        <w:spacing w:before="40" w:after="120" w:line="360" w:lineRule="auto"/>
        <w:jc w:val="both"/>
      </w:pPr>
      <w:r>
        <w:rPr>
          <w:rFonts w:ascii="Times New Roman" w:hAnsi="Times New Roman"/>
          <w:b w:val="0"/>
          <w:i w:val="0"/>
          <w:sz w:val="24"/>
        </w:rPr>
        <w:t>The ablation progression confirms that while the ensemble provides the core discriminative leap (+3.60%), Reinhard color normalization stabilizes camera variance (+0.45%), and MC Dropout uncertainty gating guarantees perfect 100.00% specificity while crushing calibration error from 14.82% down to 0.82%.</w:t>
      </w:r>
    </w:p>
    <w:p>
      <w:pPr>
        <w:spacing w:before="280" w:after="120" w:line="360" w:lineRule="auto"/>
        <w:jc w:val="left"/>
      </w:pPr>
      <w:r>
        <w:rPr>
          <w:rFonts w:ascii="Times New Roman" w:hAnsi="Times New Roman"/>
          <w:b/>
          <w:i w:val="0"/>
          <w:color w:val="0F234B"/>
          <w:sz w:val="28"/>
        </w:rPr>
        <w:t>Epistemic Uncertainty Distribution and Calibration Reliability</w:t>
      </w:r>
    </w:p>
    <w:p>
      <w:pPr>
        <w:spacing w:before="40" w:after="120" w:line="360" w:lineRule="auto"/>
        <w:jc w:val="both"/>
      </w:pPr>
      <w:r>
        <w:rPr>
          <w:rFonts w:ascii="Times New Roman" w:hAnsi="Times New Roman"/>
          <w:b w:val="0"/>
          <w:i w:val="0"/>
          <w:sz w:val="24"/>
        </w:rPr>
        <w:t>Figure fig:uncertainty_distribution plots the empirical distribution of epistemic predictive variances (σ^2_{\text{epistemic}}) across benign versus malignant cases.</w:t>
      </w:r>
    </w:p>
    <w:p>
      <w:pPr>
        <w:spacing w:before="160" w:after="80"/>
        <w:jc w:val="center"/>
      </w:pPr>
      <w:r>
        <w:drawing>
          <wp:inline xmlns:a="http://schemas.openxmlformats.org/drawingml/2006/main" xmlns:pic="http://schemas.openxmlformats.org/drawingml/2006/picture">
            <wp:extent cx="5120640" cy="3568931"/>
            <wp:docPr id="14" name="Picture 14"/>
            <wp:cNvGraphicFramePr>
              <a:graphicFrameLocks noChangeAspect="1"/>
            </wp:cNvGraphicFramePr>
            <a:graphic>
              <a:graphicData uri="http://schemas.openxmlformats.org/drawingml/2006/picture">
                <pic:pic>
                  <pic:nvPicPr>
                    <pic:cNvPr id="0" name="uncertainty_dist.png"/>
                    <pic:cNvPicPr/>
                  </pic:nvPicPr>
                  <pic:blipFill>
                    <a:blip r:embed="rId24"/>
                    <a:stretch>
                      <a:fillRect/>
                    </a:stretch>
                  </pic:blipFill>
                  <pic:spPr>
                    <a:xfrm>
                      <a:off x="0" y="0"/>
                      <a:ext cx="5120640" cy="3568931"/>
                    </a:xfrm>
                    <a:prstGeom prst="rect"/>
                  </pic:spPr>
                </pic:pic>
              </a:graphicData>
            </a:graphic>
          </wp:inline>
        </w:drawing>
      </w:r>
    </w:p>
    <w:p>
      <w:pPr>
        <w:spacing w:before="40" w:after="200" w:line="360" w:lineRule="auto"/>
        <w:jc w:val="center"/>
      </w:pPr>
      <w:r>
        <w:rPr>
          <w:rFonts w:ascii="Times New Roman" w:hAnsi="Times New Roman"/>
          <w:b w:val="0"/>
          <w:i/>
          <w:color w:val="0A2D5A"/>
          <w:sz w:val="21"/>
        </w:rPr>
        <w:t>Figure: Empirical Distribution of Epistemic Predictive Variances for Benign Mucosa vs. Malignant Lesions</w:t>
      </w:r>
    </w:p>
    <w:p>
      <w:pPr>
        <w:spacing w:before="40" w:after="120" w:line="360" w:lineRule="auto"/>
        <w:jc w:val="both"/>
      </w:pPr>
      <w:r>
        <w:rPr>
          <w:rFonts w:ascii="Times New Roman" w:hAnsi="Times New Roman"/>
          <w:b w:val="0"/>
          <w:i w:val="0"/>
          <w:sz w:val="24"/>
        </w:rPr>
        <w:t>Figure fig:calibration_reliability presents the Expected Calibration Error (ECE) reliability diagram, contrasting the severely overconfident uncalibrated baseline against the well-calibrated Bayesian MC Dropout output.</w:t>
      </w:r>
    </w:p>
    <w:p>
      <w:pPr>
        <w:spacing w:before="160" w:after="80"/>
        <w:jc w:val="center"/>
      </w:pPr>
      <w:r>
        <w:drawing>
          <wp:inline xmlns:a="http://schemas.openxmlformats.org/drawingml/2006/main" xmlns:pic="http://schemas.openxmlformats.org/drawingml/2006/picture">
            <wp:extent cx="5120640" cy="2143524"/>
            <wp:docPr id="15" name="Picture 15"/>
            <wp:cNvGraphicFramePr>
              <a:graphicFrameLocks noChangeAspect="1"/>
            </wp:cNvGraphicFramePr>
            <a:graphic>
              <a:graphicData uri="http://schemas.openxmlformats.org/drawingml/2006/picture">
                <pic:pic>
                  <pic:nvPicPr>
                    <pic:cNvPr id="0" name="calibration_reliability_curve.png"/>
                    <pic:cNvPicPr/>
                  </pic:nvPicPr>
                  <pic:blipFill>
                    <a:blip r:embed="rId25"/>
                    <a:stretch>
                      <a:fillRect/>
                    </a:stretch>
                  </pic:blipFill>
                  <pic:spPr>
                    <a:xfrm>
                      <a:off x="0" y="0"/>
                      <a:ext cx="5120640" cy="2143524"/>
                    </a:xfrm>
                    <a:prstGeom prst="rect"/>
                  </pic:spPr>
                </pic:pic>
              </a:graphicData>
            </a:graphic>
          </wp:inline>
        </w:drawing>
      </w:r>
    </w:p>
    <w:p>
      <w:pPr>
        <w:spacing w:before="40" w:after="200" w:line="360" w:lineRule="auto"/>
        <w:jc w:val="center"/>
      </w:pPr>
      <w:r>
        <w:rPr>
          <w:rFonts w:ascii="Times New Roman" w:hAnsi="Times New Roman"/>
          <w:b w:val="0"/>
          <w:i/>
          <w:color w:val="0A2D5A"/>
          <w:sz w:val="21"/>
        </w:rPr>
        <w:t>Figure: (A) Reliability Diagram Comparing Calibration Across Models and (B) Test Cohort Confidence Score Distribution</w:t>
      </w:r>
    </w:p>
    <w:p>
      <w:pPr>
        <w:spacing w:before="40" w:after="120" w:line="360" w:lineRule="auto"/>
        <w:jc w:val="both"/>
      </w:pPr>
      <w:r>
        <w:rPr>
          <w:rFonts w:ascii="Times New Roman" w:hAnsi="Times New Roman"/>
          <w:b w:val="0"/>
          <w:i w:val="0"/>
          <w:sz w:val="24"/>
        </w:rPr>
        <w:t>Visionary Diagnostics achieves an ultra-low ECE of</w:t>
      </w:r>
      <w:r>
        <w:rPr>
          <w:rFonts w:ascii="Times New Roman" w:hAnsi="Times New Roman"/>
          <w:b/>
          <w:i w:val="0"/>
          <w:sz w:val="24"/>
        </w:rPr>
        <w:t>0.82%</w:t>
      </w:r>
      <w:r>
        <w:rPr>
          <w:rFonts w:ascii="Times New Roman" w:hAnsi="Times New Roman"/>
          <w:b w:val="0"/>
          <w:i w:val="0"/>
          <w:sz w:val="24"/>
        </w:rPr>
        <w:t>and a Brier score of</w:t>
      </w:r>
      <w:r>
        <w:rPr>
          <w:rFonts w:ascii="Times New Roman" w:hAnsi="Times New Roman"/>
          <w:b/>
          <w:i w:val="0"/>
          <w:sz w:val="24"/>
        </w:rPr>
        <w:t>0.0042</w:t>
      </w:r>
      <w:r>
        <w:rPr>
          <w:rFonts w:ascii="Times New Roman" w:hAnsi="Times New Roman"/>
          <w:b w:val="0"/>
          <w:i w:val="0"/>
          <w:sz w:val="24"/>
        </w:rPr>
        <w:t>, meeting the highest standards for clinical decision support reliability.</w:t>
      </w:r>
    </w:p>
    <w:p>
      <w:pPr>
        <w:spacing w:before="280" w:after="120" w:line="360" w:lineRule="auto"/>
        <w:jc w:val="left"/>
      </w:pPr>
      <w:r>
        <w:rPr>
          <w:rFonts w:ascii="Times New Roman" w:hAnsi="Times New Roman"/>
          <w:b/>
          <w:i w:val="0"/>
          <w:color w:val="0F234B"/>
          <w:sz w:val="28"/>
        </w:rPr>
        <w:t>Computational Latency and Hardware Profiling</w:t>
      </w:r>
    </w:p>
    <w:p>
      <w:pPr>
        <w:spacing w:before="40" w:after="120" w:line="360" w:lineRule="auto"/>
        <w:jc w:val="both"/>
      </w:pPr>
      <w:r>
        <w:rPr>
          <w:rFonts w:ascii="Times New Roman" w:hAnsi="Times New Roman"/>
          <w:b w:val="0"/>
          <w:i w:val="0"/>
          <w:sz w:val="24"/>
        </w:rPr>
        <w:t>Figure fig:latency_breakdown details the latency contribution of each computational pipeline phase.</w:t>
      </w:r>
    </w:p>
    <w:p>
      <w:pPr>
        <w:spacing w:before="160" w:after="80"/>
        <w:jc w:val="center"/>
      </w:pPr>
      <w:r>
        <w:drawing>
          <wp:inline xmlns:a="http://schemas.openxmlformats.org/drawingml/2006/main" xmlns:pic="http://schemas.openxmlformats.org/drawingml/2006/picture">
            <wp:extent cx="5120640" cy="3098246"/>
            <wp:docPr id="16" name="Picture 16"/>
            <wp:cNvGraphicFramePr>
              <a:graphicFrameLocks noChangeAspect="1"/>
            </wp:cNvGraphicFramePr>
            <a:graphic>
              <a:graphicData uri="http://schemas.openxmlformats.org/drawingml/2006/picture">
                <pic:pic>
                  <pic:nvPicPr>
                    <pic:cNvPr id="0" name="latency_breakdown.png"/>
                    <pic:cNvPicPr/>
                  </pic:nvPicPr>
                  <pic:blipFill>
                    <a:blip r:embed="rId26"/>
                    <a:stretch>
                      <a:fillRect/>
                    </a:stretch>
                  </pic:blipFill>
                  <pic:spPr>
                    <a:xfrm>
                      <a:off x="0" y="0"/>
                      <a:ext cx="5120640" cy="3098246"/>
                    </a:xfrm>
                    <a:prstGeom prst="rect"/>
                  </pic:spPr>
                </pic:pic>
              </a:graphicData>
            </a:graphic>
          </wp:inline>
        </w:drawing>
      </w:r>
    </w:p>
    <w:p>
      <w:pPr>
        <w:spacing w:before="40" w:after="200" w:line="360" w:lineRule="auto"/>
        <w:jc w:val="center"/>
      </w:pPr>
      <w:r>
        <w:rPr>
          <w:rFonts w:ascii="Times New Roman" w:hAnsi="Times New Roman"/>
          <w:b w:val="0"/>
          <w:i/>
          <w:color w:val="0A2D5A"/>
          <w:sz w:val="21"/>
        </w:rPr>
        <w:t>Figure: End-to-End Pipeline Latency Breakdown Across Computational Pre-processing, Inference, and XAI Stages</w:t>
      </w:r>
    </w:p>
    <w:p>
      <w:pPr>
        <w:spacing w:before="40" w:after="120" w:line="360" w:lineRule="auto"/>
        <w:jc w:val="both"/>
      </w:pPr>
      <w:r>
        <w:rPr>
          <w:rFonts w:ascii="Times New Roman" w:hAnsi="Times New Roman"/>
          <w:b w:val="0"/>
          <w:i w:val="0"/>
          <w:sz w:val="24"/>
        </w:rPr>
        <w:t>Table tab:hardware_profiling compares execution metrics between unquantized FP32 PyTorch and the optimized ONNX INT8 quantized runtime across different hardware execution targets.</w:t>
      </w:r>
    </w:p>
    <w:p>
      <w:pPr>
        <w:spacing w:before="200" w:after="80" w:line="360" w:lineRule="auto"/>
        <w:jc w:val="center"/>
      </w:pPr>
      <w:r>
        <w:rPr>
          <w:rFonts w:ascii="Times New Roman" w:hAnsi="Times New Roman"/>
          <w:b/>
          <w:i w:val="0"/>
          <w:color w:val="0A2D5A"/>
          <w:sz w:val="22"/>
        </w:rPr>
        <w:t>Table: Hardware Execution Profiling and Latency Comparison (FP32 vs. INT8 Quantized)</w:t>
      </w:r>
    </w:p>
    <w:tbl>
      <w:tblPr>
        <w:tblW w:type="auto" w:w="0"/>
        <w:jc w:val="center"/>
        <w:tblLook w:firstColumn="1" w:firstRow="1" w:lastColumn="0" w:lastRow="0" w:noHBand="0" w:noVBand="1" w:val="04A0"/>
      </w:tblPr>
      <w:tblGrid>
        <w:gridCol w:w="1445"/>
        <w:gridCol w:w="1445"/>
        <w:gridCol w:w="1445"/>
        <w:gridCol w:w="1445"/>
        <w:gridCol w:w="1445"/>
        <w:gridCol w:w="1445"/>
      </w:tblGrid>
      <w:tr>
        <w:tc>
          <w:tcPr>
            <w:tcW w:type="dxa" w:w="1445"/>
            <w:tcMar>
              <w:top w:w="80" w:type="dxa"/>
              <w:bottom w:w="80" w:type="dxa"/>
              <w:left w:w="120" w:type="dxa"/>
              <w:right w:w="120" w:type="dxa"/>
            </w:tcMar>
            <w:tcBorders>
              <w:top w:val="single" w:sz="2" w:space="0" w:color="B0B0B0"/>
              <w:left w:val="single" w:sz="1" w:space="0" w:color="D8D8D8"/>
              <w:bottom w:val="single" w:sz="2" w:space="0" w:color="B0B0B0"/>
              <w:right w:val="single" w:sz="1" w:space="0" w:color="D8D8D8"/>
            </w:tcBorders>
            <w:shd w:fill="EBF0F5"/>
          </w:tcPr>
          <w:p>
            <w:pPr>
              <w:jc w:val="center"/>
            </w:pPr>
            <w:r>
              <w:rPr>
                <w:rFonts w:ascii="Times New Roman" w:hAnsi="Times New Roman"/>
                <w:b/>
                <w:sz w:val="21"/>
              </w:rPr>
              <w:t>\textbf{Hardware \</w:t>
            </w:r>
          </w:p>
        </w:tc>
        <w:tc>
          <w:tcPr>
            <w:tcW w:type="dxa" w:w="1445"/>
            <w:tcMar>
              <w:top w:w="80" w:type="dxa"/>
              <w:bottom w:w="80" w:type="dxa"/>
              <w:left w:w="120" w:type="dxa"/>
              <w:right w:w="120" w:type="dxa"/>
            </w:tcMar>
            <w:tcBorders>
              <w:top w:val="single" w:sz="2" w:space="0" w:color="B0B0B0"/>
              <w:left w:val="single" w:sz="1" w:space="0" w:color="D8D8D8"/>
              <w:bottom w:val="single" w:sz="2" w:space="0" w:color="B0B0B0"/>
              <w:right w:val="single" w:sz="1" w:space="0" w:color="D8D8D8"/>
            </w:tcBorders>
            <w:shd w:fill="EBF0F5"/>
          </w:tcPr>
          <w:p>
            <w:pPr>
              <w:jc w:val="center"/>
            </w:pPr>
            <w:r>
              <w:rPr>
                <w:rFonts w:ascii="Times New Roman" w:hAnsi="Times New Roman"/>
                <w:b/>
                <w:sz w:val="21"/>
              </w:rPr>
              <w:t>Runtime Target}</w:t>
            </w:r>
          </w:p>
        </w:tc>
        <w:tc>
          <w:tcPr>
            <w:tcW w:type="dxa" w:w="1445"/>
            <w:tcMar>
              <w:top w:w="80" w:type="dxa"/>
              <w:bottom w:w="80" w:type="dxa"/>
              <w:left w:w="120" w:type="dxa"/>
              <w:right w:w="120" w:type="dxa"/>
            </w:tcMar>
            <w:tcBorders>
              <w:top w:val="single" w:sz="2" w:space="0" w:color="B0B0B0"/>
              <w:left w:val="single" w:sz="1" w:space="0" w:color="D8D8D8"/>
              <w:bottom w:val="single" w:sz="2" w:space="0" w:color="B0B0B0"/>
              <w:right w:val="single" w:sz="1" w:space="0" w:color="D8D8D8"/>
            </w:tcBorders>
            <w:shd w:fill="EBF0F5"/>
          </w:tcPr>
          <w:p>
            <w:pPr>
              <w:jc w:val="center"/>
            </w:pPr>
            <w:r>
              <w:rPr>
                <w:rFonts w:ascii="Times New Roman" w:hAnsi="Times New Roman"/>
                <w:b/>
                <w:sz w:val="21"/>
              </w:rPr>
              <w:t>\textbf{Precision}</w:t>
            </w:r>
          </w:p>
        </w:tc>
        <w:tc>
          <w:tcPr>
            <w:tcW w:type="dxa" w:w="1445"/>
            <w:tcMar>
              <w:top w:w="80" w:type="dxa"/>
              <w:bottom w:w="80" w:type="dxa"/>
              <w:left w:w="120" w:type="dxa"/>
              <w:right w:w="120" w:type="dxa"/>
            </w:tcMar>
            <w:tcBorders>
              <w:top w:val="single" w:sz="2" w:space="0" w:color="B0B0B0"/>
              <w:left w:val="single" w:sz="1" w:space="0" w:color="D8D8D8"/>
              <w:bottom w:val="single" w:sz="2" w:space="0" w:color="B0B0B0"/>
              <w:right w:val="single" w:sz="1" w:space="0" w:color="D8D8D8"/>
            </w:tcBorders>
            <w:shd w:fill="EBF0F5"/>
          </w:tcPr>
          <w:p>
            <w:pPr>
              <w:jc w:val="center"/>
            </w:pPr>
            <w:r>
              <w:rPr>
                <w:rFonts w:ascii="Times New Roman" w:hAnsi="Times New Roman"/>
                <w:b/>
                <w:sz w:val="21"/>
              </w:rPr>
              <w:t>\textbf{Inference Latency}</w:t>
            </w:r>
          </w:p>
        </w:tc>
        <w:tc>
          <w:tcPr>
            <w:tcW w:type="dxa" w:w="1445"/>
            <w:tcMar>
              <w:top w:w="80" w:type="dxa"/>
              <w:bottom w:w="80" w:type="dxa"/>
              <w:left w:w="120" w:type="dxa"/>
              <w:right w:w="120" w:type="dxa"/>
            </w:tcMar>
            <w:tcBorders>
              <w:top w:val="single" w:sz="2" w:space="0" w:color="B0B0B0"/>
              <w:left w:val="single" w:sz="1" w:space="0" w:color="D8D8D8"/>
              <w:bottom w:val="single" w:sz="2" w:space="0" w:color="B0B0B0"/>
              <w:right w:val="single" w:sz="1" w:space="0" w:color="D8D8D8"/>
            </w:tcBorders>
            <w:shd w:fill="EBF0F5"/>
          </w:tcPr>
          <w:p>
            <w:pPr>
              <w:jc w:val="center"/>
            </w:pPr>
            <w:r>
              <w:rPr>
                <w:rFonts w:ascii="Times New Roman" w:hAnsi="Times New Roman"/>
                <w:b/>
                <w:sz w:val="21"/>
              </w:rPr>
              <w:t>\textbf{RAM Footprint}</w:t>
            </w:r>
          </w:p>
        </w:tc>
        <w:tc>
          <w:tcPr>
            <w:tcW w:type="dxa" w:w="1445"/>
            <w:tcMar>
              <w:top w:w="80" w:type="dxa"/>
              <w:bottom w:w="80" w:type="dxa"/>
              <w:left w:w="120" w:type="dxa"/>
              <w:right w:w="120" w:type="dxa"/>
            </w:tcMar>
            <w:tcBorders>
              <w:top w:val="single" w:sz="2" w:space="0" w:color="B0B0B0"/>
              <w:left w:val="single" w:sz="1" w:space="0" w:color="D8D8D8"/>
              <w:bottom w:val="single" w:sz="2" w:space="0" w:color="B0B0B0"/>
              <w:right w:val="single" w:sz="1" w:space="0" w:color="D8D8D8"/>
            </w:tcBorders>
            <w:shd w:fill="EBF0F5"/>
          </w:tcPr>
          <w:p>
            <w:pPr>
              <w:jc w:val="center"/>
            </w:pPr>
            <w:r>
              <w:rPr>
                <w:rFonts w:ascii="Times New Roman" w:hAnsi="Times New Roman"/>
                <w:b/>
                <w:sz w:val="21"/>
              </w:rPr>
              <w:t>\textbf{Model Disk Size}</w:t>
            </w:r>
          </w:p>
        </w:tc>
      </w:tr>
      <w:tr>
        <w:tc>
          <w:tcPr>
            <w:tcW w:type="dxa" w:w="1445"/>
            <w:tcMar>
              <w:top w:w="80" w:type="dxa"/>
              <w:bottom w:w="80" w:type="dxa"/>
              <w:left w:w="120" w:type="dxa"/>
              <w:right w:w="120" w:type="dxa"/>
            </w:tcMar>
            <w:tcBorders>
              <w:top w:val="single" w:sz="2" w:space="0" w:color="B0B0B0"/>
              <w:left w:val="single" w:sz="1" w:space="0" w:color="D8D8D8"/>
              <w:bottom w:val="single" w:sz="2" w:space="0" w:color="B0B0B0"/>
              <w:right w:val="single" w:sz="1" w:space="0" w:color="D8D8D8"/>
            </w:tcBorders>
          </w:tcPr>
          <w:p>
            <w:pPr>
              <w:jc w:val="left"/>
            </w:pPr>
            <w:r>
              <w:rPr>
                <w:rFonts w:ascii="Times New Roman" w:hAnsi="Times New Roman"/>
                <w:sz w:val="20"/>
              </w:rPr>
              <w:t>NVIDIA RTX 4070 (PyTorch CUDA)</w:t>
            </w:r>
          </w:p>
        </w:tc>
        <w:tc>
          <w:tcPr>
            <w:tcW w:type="dxa" w:w="1445"/>
            <w:tcMar>
              <w:top w:w="80" w:type="dxa"/>
              <w:bottom w:w="80" w:type="dxa"/>
              <w:left w:w="120" w:type="dxa"/>
              <w:right w:w="120" w:type="dxa"/>
            </w:tcMar>
            <w:tcBorders>
              <w:top w:val="single" w:sz="2" w:space="0" w:color="B0B0B0"/>
              <w:left w:val="single" w:sz="1" w:space="0" w:color="D8D8D8"/>
              <w:bottom w:val="single" w:sz="2" w:space="0" w:color="B0B0B0"/>
              <w:right w:val="single" w:sz="1" w:space="0" w:color="D8D8D8"/>
            </w:tcBorders>
          </w:tcPr>
          <w:p>
            <w:pPr>
              <w:jc w:val="left"/>
            </w:pPr>
            <w:r>
              <w:rPr>
                <w:rFonts w:ascii="Times New Roman" w:hAnsi="Times New Roman"/>
                <w:sz w:val="20"/>
              </w:rPr>
              <w:t>FP32</w:t>
            </w:r>
          </w:p>
        </w:tc>
        <w:tc>
          <w:tcPr>
            <w:tcW w:type="dxa" w:w="1445"/>
            <w:tcMar>
              <w:top w:w="80" w:type="dxa"/>
              <w:bottom w:w="80" w:type="dxa"/>
              <w:left w:w="120" w:type="dxa"/>
              <w:right w:w="120" w:type="dxa"/>
            </w:tcMar>
            <w:tcBorders>
              <w:top w:val="single" w:sz="2" w:space="0" w:color="B0B0B0"/>
              <w:left w:val="single" w:sz="1" w:space="0" w:color="D8D8D8"/>
              <w:bottom w:val="single" w:sz="2" w:space="0" w:color="B0B0B0"/>
              <w:right w:val="single" w:sz="1" w:space="0" w:color="D8D8D8"/>
            </w:tcBorders>
          </w:tcPr>
          <w:p>
            <w:pPr>
              <w:jc w:val="left"/>
            </w:pPr>
            <w:r>
              <w:rPr>
                <w:rFonts w:ascii="Times New Roman" w:hAnsi="Times New Roman"/>
                <w:sz w:val="20"/>
              </w:rPr>
              <w:t>24.2 ms</w:t>
            </w:r>
          </w:p>
        </w:tc>
        <w:tc>
          <w:tcPr>
            <w:tcW w:type="dxa" w:w="1445"/>
            <w:tcMar>
              <w:top w:w="80" w:type="dxa"/>
              <w:bottom w:w="80" w:type="dxa"/>
              <w:left w:w="120" w:type="dxa"/>
              <w:right w:w="120" w:type="dxa"/>
            </w:tcMar>
            <w:tcBorders>
              <w:top w:val="single" w:sz="2" w:space="0" w:color="B0B0B0"/>
              <w:left w:val="single" w:sz="1" w:space="0" w:color="D8D8D8"/>
              <w:bottom w:val="single" w:sz="2" w:space="0" w:color="B0B0B0"/>
              <w:right w:val="single" w:sz="1" w:space="0" w:color="D8D8D8"/>
            </w:tcBorders>
          </w:tcPr>
          <w:p>
            <w:pPr>
              <w:jc w:val="left"/>
            </w:pPr>
            <w:r>
              <w:rPr>
                <w:rFonts w:ascii="Times New Roman" w:hAnsi="Times New Roman"/>
                <w:sz w:val="20"/>
              </w:rPr>
              <w:t>1,420 MB</w:t>
            </w:r>
          </w:p>
        </w:tc>
        <w:tc>
          <w:tcPr>
            <w:tcW w:type="dxa" w:w="1445"/>
            <w:tcMar>
              <w:top w:w="80" w:type="dxa"/>
              <w:bottom w:w="80" w:type="dxa"/>
              <w:left w:w="120" w:type="dxa"/>
              <w:right w:w="120" w:type="dxa"/>
            </w:tcMar>
            <w:tcBorders>
              <w:top w:val="single" w:sz="2" w:space="0" w:color="B0B0B0"/>
              <w:left w:val="single" w:sz="1" w:space="0" w:color="D8D8D8"/>
              <w:bottom w:val="single" w:sz="2" w:space="0" w:color="B0B0B0"/>
              <w:right w:val="single" w:sz="1" w:space="0" w:color="D8D8D8"/>
            </w:tcBorders>
          </w:tcPr>
          <w:p>
            <w:pPr>
              <w:jc w:val="left"/>
            </w:pPr>
            <w:r>
              <w:rPr>
                <w:rFonts w:ascii="Times New Roman" w:hAnsi="Times New Roman"/>
                <w:sz w:val="20"/>
              </w:rPr>
              <w:t>94.7 MB</w:t>
            </w:r>
          </w:p>
        </w:tc>
        <w:tc>
          <w:tcPr>
            <w:tcW w:type="dxa" w:w="1445"/>
            <w:tcMar>
              <w:top w:w="80" w:type="dxa"/>
              <w:bottom w:w="80" w:type="dxa"/>
              <w:left w:w="120" w:type="dxa"/>
              <w:right w:w="120" w:type="dxa"/>
            </w:tcMar>
            <w:tcBorders>
              <w:top w:val="single" w:sz="2" w:space="0" w:color="B0B0B0"/>
              <w:left w:val="single" w:sz="1" w:space="0" w:color="D8D8D8"/>
              <w:bottom w:val="single" w:sz="2" w:space="0" w:color="B0B0B0"/>
              <w:right w:val="single" w:sz="1" w:space="0" w:color="D8D8D8"/>
            </w:tcBorders>
          </w:tcPr>
          <w:p>
            <w:pPr>
              <w:jc w:val="left"/>
            </w:pPr>
            <w:r>
              <w:rPr>
                <w:rFonts w:ascii="Times New Roman" w:hAnsi="Times New Roman"/>
                <w:sz w:val="20"/>
              </w:rPr>
            </w:r>
          </w:p>
        </w:tc>
      </w:tr>
      <w:tr>
        <w:tc>
          <w:tcPr>
            <w:tcW w:type="dxa" w:w="1445"/>
            <w:tcMar>
              <w:top w:w="80" w:type="dxa"/>
              <w:bottom w:w="80" w:type="dxa"/>
              <w:left w:w="120" w:type="dxa"/>
              <w:right w:w="120" w:type="dxa"/>
            </w:tcMar>
            <w:tcBorders>
              <w:top w:val="single" w:sz="2" w:space="0" w:color="B0B0B0"/>
              <w:left w:val="single" w:sz="1" w:space="0" w:color="D8D8D8"/>
              <w:bottom w:val="single" w:sz="2" w:space="0" w:color="B0B0B0"/>
              <w:right w:val="single" w:sz="1" w:space="0" w:color="D8D8D8"/>
            </w:tcBorders>
          </w:tcPr>
          <w:p>
            <w:pPr>
              <w:jc w:val="left"/>
            </w:pPr>
            <w:r>
              <w:rPr>
                <w:rFonts w:ascii="Times New Roman" w:hAnsi="Times New Roman"/>
                <w:sz w:val="20"/>
              </w:rPr>
              <w:t>Intel Core i7-13700H (PyTorch CPU)</w:t>
            </w:r>
          </w:p>
        </w:tc>
        <w:tc>
          <w:tcPr>
            <w:tcW w:type="dxa" w:w="1445"/>
            <w:tcMar>
              <w:top w:w="80" w:type="dxa"/>
              <w:bottom w:w="80" w:type="dxa"/>
              <w:left w:w="120" w:type="dxa"/>
              <w:right w:w="120" w:type="dxa"/>
            </w:tcMar>
            <w:tcBorders>
              <w:top w:val="single" w:sz="2" w:space="0" w:color="B0B0B0"/>
              <w:left w:val="single" w:sz="1" w:space="0" w:color="D8D8D8"/>
              <w:bottom w:val="single" w:sz="2" w:space="0" w:color="B0B0B0"/>
              <w:right w:val="single" w:sz="1" w:space="0" w:color="D8D8D8"/>
            </w:tcBorders>
          </w:tcPr>
          <w:p>
            <w:pPr>
              <w:jc w:val="left"/>
            </w:pPr>
            <w:r>
              <w:rPr>
                <w:rFonts w:ascii="Times New Roman" w:hAnsi="Times New Roman"/>
                <w:sz w:val="20"/>
              </w:rPr>
              <w:t>FP32</w:t>
            </w:r>
          </w:p>
        </w:tc>
        <w:tc>
          <w:tcPr>
            <w:tcW w:type="dxa" w:w="1445"/>
            <w:tcMar>
              <w:top w:w="80" w:type="dxa"/>
              <w:bottom w:w="80" w:type="dxa"/>
              <w:left w:w="120" w:type="dxa"/>
              <w:right w:w="120" w:type="dxa"/>
            </w:tcMar>
            <w:tcBorders>
              <w:top w:val="single" w:sz="2" w:space="0" w:color="B0B0B0"/>
              <w:left w:val="single" w:sz="1" w:space="0" w:color="D8D8D8"/>
              <w:bottom w:val="single" w:sz="2" w:space="0" w:color="B0B0B0"/>
              <w:right w:val="single" w:sz="1" w:space="0" w:color="D8D8D8"/>
            </w:tcBorders>
          </w:tcPr>
          <w:p>
            <w:pPr>
              <w:jc w:val="left"/>
            </w:pPr>
            <w:r>
              <w:rPr>
                <w:rFonts w:ascii="Times New Roman" w:hAnsi="Times New Roman"/>
                <w:sz w:val="20"/>
              </w:rPr>
              <w:t>218.4 ms</w:t>
            </w:r>
          </w:p>
        </w:tc>
        <w:tc>
          <w:tcPr>
            <w:tcW w:type="dxa" w:w="1445"/>
            <w:tcMar>
              <w:top w:w="80" w:type="dxa"/>
              <w:bottom w:w="80" w:type="dxa"/>
              <w:left w:w="120" w:type="dxa"/>
              <w:right w:w="120" w:type="dxa"/>
            </w:tcMar>
            <w:tcBorders>
              <w:top w:val="single" w:sz="2" w:space="0" w:color="B0B0B0"/>
              <w:left w:val="single" w:sz="1" w:space="0" w:color="D8D8D8"/>
              <w:bottom w:val="single" w:sz="2" w:space="0" w:color="B0B0B0"/>
              <w:right w:val="single" w:sz="1" w:space="0" w:color="D8D8D8"/>
            </w:tcBorders>
          </w:tcPr>
          <w:p>
            <w:pPr>
              <w:jc w:val="left"/>
            </w:pPr>
            <w:r>
              <w:rPr>
                <w:rFonts w:ascii="Times New Roman" w:hAnsi="Times New Roman"/>
                <w:sz w:val="20"/>
              </w:rPr>
              <w:t>840 MB</w:t>
            </w:r>
          </w:p>
        </w:tc>
        <w:tc>
          <w:tcPr>
            <w:tcW w:type="dxa" w:w="1445"/>
            <w:tcMar>
              <w:top w:w="80" w:type="dxa"/>
              <w:bottom w:w="80" w:type="dxa"/>
              <w:left w:w="120" w:type="dxa"/>
              <w:right w:w="120" w:type="dxa"/>
            </w:tcMar>
            <w:tcBorders>
              <w:top w:val="single" w:sz="2" w:space="0" w:color="B0B0B0"/>
              <w:left w:val="single" w:sz="1" w:space="0" w:color="D8D8D8"/>
              <w:bottom w:val="single" w:sz="2" w:space="0" w:color="B0B0B0"/>
              <w:right w:val="single" w:sz="1" w:space="0" w:color="D8D8D8"/>
            </w:tcBorders>
          </w:tcPr>
          <w:p>
            <w:pPr>
              <w:jc w:val="left"/>
            </w:pPr>
            <w:r>
              <w:rPr>
                <w:rFonts w:ascii="Times New Roman" w:hAnsi="Times New Roman"/>
                <w:sz w:val="20"/>
              </w:rPr>
              <w:t>94.7 MB</w:t>
            </w:r>
          </w:p>
        </w:tc>
        <w:tc>
          <w:tcPr>
            <w:tcW w:type="dxa" w:w="1445"/>
            <w:tcMar>
              <w:top w:w="80" w:type="dxa"/>
              <w:bottom w:w="80" w:type="dxa"/>
              <w:left w:w="120" w:type="dxa"/>
              <w:right w:w="120" w:type="dxa"/>
            </w:tcMar>
            <w:tcBorders>
              <w:top w:val="single" w:sz="2" w:space="0" w:color="B0B0B0"/>
              <w:left w:val="single" w:sz="1" w:space="0" w:color="D8D8D8"/>
              <w:bottom w:val="single" w:sz="2" w:space="0" w:color="B0B0B0"/>
              <w:right w:val="single" w:sz="1" w:space="0" w:color="D8D8D8"/>
            </w:tcBorders>
          </w:tcPr>
          <w:p>
            <w:pPr>
              <w:jc w:val="left"/>
            </w:pPr>
            <w:r>
              <w:rPr>
                <w:rFonts w:ascii="Times New Roman" w:hAnsi="Times New Roman"/>
                <w:sz w:val="20"/>
              </w:rPr>
            </w:r>
          </w:p>
        </w:tc>
      </w:tr>
      <w:tr>
        <w:tc>
          <w:tcPr>
            <w:tcW w:type="dxa" w:w="1445"/>
            <w:tcMar>
              <w:top w:w="80" w:type="dxa"/>
              <w:bottom w:w="80" w:type="dxa"/>
              <w:left w:w="120" w:type="dxa"/>
              <w:right w:w="120" w:type="dxa"/>
            </w:tcMar>
            <w:tcBorders>
              <w:top w:val="single" w:sz="2" w:space="0" w:color="B0B0B0"/>
              <w:left w:val="single" w:sz="1" w:space="0" w:color="D8D8D8"/>
              <w:bottom w:val="single" w:sz="2" w:space="0" w:color="B0B0B0"/>
              <w:right w:val="single" w:sz="1" w:space="0" w:color="D8D8D8"/>
            </w:tcBorders>
          </w:tcPr>
          <w:p>
            <w:pPr>
              <w:jc w:val="left"/>
            </w:pPr>
            <w:r>
              <w:rPr>
                <w:rFonts w:ascii="Times New Roman" w:hAnsi="Times New Roman"/>
                <w:sz w:val="20"/>
              </w:rPr>
              <w:t>Cloud vCPU (PyTorch Baseline)</w:t>
            </w:r>
          </w:p>
        </w:tc>
        <w:tc>
          <w:tcPr>
            <w:tcW w:type="dxa" w:w="1445"/>
            <w:tcMar>
              <w:top w:w="80" w:type="dxa"/>
              <w:bottom w:w="80" w:type="dxa"/>
              <w:left w:w="120" w:type="dxa"/>
              <w:right w:w="120" w:type="dxa"/>
            </w:tcMar>
            <w:tcBorders>
              <w:top w:val="single" w:sz="2" w:space="0" w:color="B0B0B0"/>
              <w:left w:val="single" w:sz="1" w:space="0" w:color="D8D8D8"/>
              <w:bottom w:val="single" w:sz="2" w:space="0" w:color="B0B0B0"/>
              <w:right w:val="single" w:sz="1" w:space="0" w:color="D8D8D8"/>
            </w:tcBorders>
          </w:tcPr>
          <w:p>
            <w:pPr>
              <w:jc w:val="left"/>
            </w:pPr>
            <w:r>
              <w:rPr>
                <w:rFonts w:ascii="Times New Roman" w:hAnsi="Times New Roman"/>
                <w:sz w:val="20"/>
              </w:rPr>
              <w:t>FP32</w:t>
            </w:r>
          </w:p>
        </w:tc>
        <w:tc>
          <w:tcPr>
            <w:tcW w:type="dxa" w:w="1445"/>
            <w:tcMar>
              <w:top w:w="80" w:type="dxa"/>
              <w:bottom w:w="80" w:type="dxa"/>
              <w:left w:w="120" w:type="dxa"/>
              <w:right w:w="120" w:type="dxa"/>
            </w:tcMar>
            <w:tcBorders>
              <w:top w:val="single" w:sz="2" w:space="0" w:color="B0B0B0"/>
              <w:left w:val="single" w:sz="1" w:space="0" w:color="D8D8D8"/>
              <w:bottom w:val="single" w:sz="2" w:space="0" w:color="B0B0B0"/>
              <w:right w:val="single" w:sz="1" w:space="0" w:color="D8D8D8"/>
            </w:tcBorders>
          </w:tcPr>
          <w:p>
            <w:pPr>
              <w:jc w:val="left"/>
            </w:pPr>
            <w:r>
              <w:rPr>
                <w:rFonts w:ascii="Times New Roman" w:hAnsi="Times New Roman"/>
                <w:sz w:val="20"/>
              </w:rPr>
              <w:t>284.6 ms</w:t>
            </w:r>
          </w:p>
        </w:tc>
        <w:tc>
          <w:tcPr>
            <w:tcW w:type="dxa" w:w="1445"/>
            <w:tcMar>
              <w:top w:w="80" w:type="dxa"/>
              <w:bottom w:w="80" w:type="dxa"/>
              <w:left w:w="120" w:type="dxa"/>
              <w:right w:w="120" w:type="dxa"/>
            </w:tcMar>
            <w:tcBorders>
              <w:top w:val="single" w:sz="2" w:space="0" w:color="B0B0B0"/>
              <w:left w:val="single" w:sz="1" w:space="0" w:color="D8D8D8"/>
              <w:bottom w:val="single" w:sz="2" w:space="0" w:color="B0B0B0"/>
              <w:right w:val="single" w:sz="1" w:space="0" w:color="D8D8D8"/>
            </w:tcBorders>
          </w:tcPr>
          <w:p>
            <w:pPr>
              <w:jc w:val="left"/>
            </w:pPr>
            <w:r>
              <w:rPr>
                <w:rFonts w:ascii="Times New Roman" w:hAnsi="Times New Roman"/>
                <w:sz w:val="20"/>
              </w:rPr>
              <w:t>920 MB</w:t>
            </w:r>
          </w:p>
        </w:tc>
        <w:tc>
          <w:tcPr>
            <w:tcW w:type="dxa" w:w="1445"/>
            <w:tcMar>
              <w:top w:w="80" w:type="dxa"/>
              <w:bottom w:w="80" w:type="dxa"/>
              <w:left w:w="120" w:type="dxa"/>
              <w:right w:w="120" w:type="dxa"/>
            </w:tcMar>
            <w:tcBorders>
              <w:top w:val="single" w:sz="2" w:space="0" w:color="B0B0B0"/>
              <w:left w:val="single" w:sz="1" w:space="0" w:color="D8D8D8"/>
              <w:bottom w:val="single" w:sz="2" w:space="0" w:color="B0B0B0"/>
              <w:right w:val="single" w:sz="1" w:space="0" w:color="D8D8D8"/>
            </w:tcBorders>
          </w:tcPr>
          <w:p>
            <w:pPr>
              <w:jc w:val="left"/>
            </w:pPr>
            <w:r>
              <w:rPr>
                <w:rFonts w:ascii="Times New Roman" w:hAnsi="Times New Roman"/>
                <w:sz w:val="20"/>
              </w:rPr>
              <w:t>94.7 MB</w:t>
            </w:r>
          </w:p>
        </w:tc>
        <w:tc>
          <w:tcPr>
            <w:tcW w:type="dxa" w:w="1445"/>
            <w:tcMar>
              <w:top w:w="80" w:type="dxa"/>
              <w:bottom w:w="80" w:type="dxa"/>
              <w:left w:w="120" w:type="dxa"/>
              <w:right w:w="120" w:type="dxa"/>
            </w:tcMar>
            <w:tcBorders>
              <w:top w:val="single" w:sz="2" w:space="0" w:color="B0B0B0"/>
              <w:left w:val="single" w:sz="1" w:space="0" w:color="D8D8D8"/>
              <w:bottom w:val="single" w:sz="2" w:space="0" w:color="B0B0B0"/>
              <w:right w:val="single" w:sz="1" w:space="0" w:color="D8D8D8"/>
            </w:tcBorders>
          </w:tcPr>
          <w:p>
            <w:pPr>
              <w:jc w:val="left"/>
            </w:pPr>
            <w:r>
              <w:rPr>
                <w:rFonts w:ascii="Times New Roman" w:hAnsi="Times New Roman"/>
                <w:sz w:val="20"/>
              </w:rPr>
            </w:r>
          </w:p>
        </w:tc>
      </w:tr>
      <w:tr>
        <w:tc>
          <w:tcPr>
            <w:tcW w:type="dxa" w:w="1445"/>
            <w:tcMar>
              <w:top w:w="80" w:type="dxa"/>
              <w:bottom w:w="80" w:type="dxa"/>
              <w:left w:w="120" w:type="dxa"/>
              <w:right w:w="120" w:type="dxa"/>
            </w:tcMar>
            <w:tcBorders>
              <w:top w:val="single" w:sz="2" w:space="0" w:color="B0B0B0"/>
              <w:left w:val="single" w:sz="1" w:space="0" w:color="D8D8D8"/>
              <w:bottom w:val="single" w:sz="2" w:space="0" w:color="B0B0B0"/>
              <w:right w:val="single" w:sz="1" w:space="0" w:color="D8D8D8"/>
            </w:tcBorders>
          </w:tcPr>
          <w:p>
            <w:pPr>
              <w:jc w:val="left"/>
            </w:pPr>
            <w:r>
              <w:rPr>
                <w:rFonts w:ascii="Times New Roman" w:hAnsi="Times New Roman"/>
                <w:sz w:val="20"/>
              </w:rPr>
              <w:t>Cloud vCPU (ONNX Runtime INT8)</w:t>
            </w:r>
          </w:p>
        </w:tc>
        <w:tc>
          <w:tcPr>
            <w:tcW w:type="dxa" w:w="1445"/>
            <w:tcMar>
              <w:top w:w="80" w:type="dxa"/>
              <w:bottom w:w="80" w:type="dxa"/>
              <w:left w:w="120" w:type="dxa"/>
              <w:right w:w="120" w:type="dxa"/>
            </w:tcMar>
            <w:tcBorders>
              <w:top w:val="single" w:sz="2" w:space="0" w:color="B0B0B0"/>
              <w:left w:val="single" w:sz="1" w:space="0" w:color="D8D8D8"/>
              <w:bottom w:val="single" w:sz="2" w:space="0" w:color="B0B0B0"/>
              <w:right w:val="single" w:sz="1" w:space="0" w:color="D8D8D8"/>
            </w:tcBorders>
          </w:tcPr>
          <w:p>
            <w:pPr>
              <w:jc w:val="left"/>
            </w:pPr>
            <w:r>
              <w:rPr>
                <w:rFonts w:ascii="Times New Roman" w:hAnsi="Times New Roman"/>
                <w:sz w:val="20"/>
              </w:rPr>
              <w:t>\textbf{INT8}</w:t>
            </w:r>
          </w:p>
        </w:tc>
        <w:tc>
          <w:tcPr>
            <w:tcW w:type="dxa" w:w="1445"/>
            <w:tcMar>
              <w:top w:w="80" w:type="dxa"/>
              <w:bottom w:w="80" w:type="dxa"/>
              <w:left w:w="120" w:type="dxa"/>
              <w:right w:w="120" w:type="dxa"/>
            </w:tcMar>
            <w:tcBorders>
              <w:top w:val="single" w:sz="2" w:space="0" w:color="B0B0B0"/>
              <w:left w:val="single" w:sz="1" w:space="0" w:color="D8D8D8"/>
              <w:bottom w:val="single" w:sz="2" w:space="0" w:color="B0B0B0"/>
              <w:right w:val="single" w:sz="1" w:space="0" w:color="D8D8D8"/>
            </w:tcBorders>
          </w:tcPr>
          <w:p>
            <w:pPr>
              <w:jc w:val="left"/>
            </w:pPr>
            <w:r>
              <w:rPr>
                <w:rFonts w:ascii="Times New Roman" w:hAnsi="Times New Roman"/>
                <w:sz w:val="20"/>
              </w:rPr>
              <w:t>\textbf{112.5 ms}</w:t>
            </w:r>
          </w:p>
        </w:tc>
        <w:tc>
          <w:tcPr>
            <w:tcW w:type="dxa" w:w="1445"/>
            <w:tcMar>
              <w:top w:w="80" w:type="dxa"/>
              <w:bottom w:w="80" w:type="dxa"/>
              <w:left w:w="120" w:type="dxa"/>
              <w:right w:w="120" w:type="dxa"/>
            </w:tcMar>
            <w:tcBorders>
              <w:top w:val="single" w:sz="2" w:space="0" w:color="B0B0B0"/>
              <w:left w:val="single" w:sz="1" w:space="0" w:color="D8D8D8"/>
              <w:bottom w:val="single" w:sz="2" w:space="0" w:color="B0B0B0"/>
              <w:right w:val="single" w:sz="1" w:space="0" w:color="D8D8D8"/>
            </w:tcBorders>
          </w:tcPr>
          <w:p>
            <w:pPr>
              <w:jc w:val="left"/>
            </w:pPr>
            <w:r>
              <w:rPr>
                <w:rFonts w:ascii="Times New Roman" w:hAnsi="Times New Roman"/>
                <w:sz w:val="20"/>
              </w:rPr>
              <w:t>\textbf{325 MB}</w:t>
            </w:r>
          </w:p>
        </w:tc>
        <w:tc>
          <w:tcPr>
            <w:tcW w:type="dxa" w:w="1445"/>
            <w:tcMar>
              <w:top w:w="80" w:type="dxa"/>
              <w:bottom w:w="80" w:type="dxa"/>
              <w:left w:w="120" w:type="dxa"/>
              <w:right w:w="120" w:type="dxa"/>
            </w:tcMar>
            <w:tcBorders>
              <w:top w:val="single" w:sz="2" w:space="0" w:color="B0B0B0"/>
              <w:left w:val="single" w:sz="1" w:space="0" w:color="D8D8D8"/>
              <w:bottom w:val="single" w:sz="2" w:space="0" w:color="B0B0B0"/>
              <w:right w:val="single" w:sz="1" w:space="0" w:color="D8D8D8"/>
            </w:tcBorders>
          </w:tcPr>
          <w:p>
            <w:pPr>
              <w:jc w:val="left"/>
            </w:pPr>
            <w:r>
              <w:rPr>
                <w:rFonts w:ascii="Times New Roman" w:hAnsi="Times New Roman"/>
                <w:sz w:val="20"/>
              </w:rPr>
              <w:t>\textbf{45.4 MB}</w:t>
            </w:r>
          </w:p>
        </w:tc>
        <w:tc>
          <w:tcPr>
            <w:tcW w:type="dxa" w:w="1445"/>
            <w:tcMar>
              <w:top w:w="80" w:type="dxa"/>
              <w:bottom w:w="80" w:type="dxa"/>
              <w:left w:w="120" w:type="dxa"/>
              <w:right w:w="120" w:type="dxa"/>
            </w:tcMar>
            <w:tcBorders>
              <w:top w:val="single" w:sz="2" w:space="0" w:color="B0B0B0"/>
              <w:left w:val="single" w:sz="1" w:space="0" w:color="D8D8D8"/>
              <w:bottom w:val="single" w:sz="2" w:space="0" w:color="B0B0B0"/>
              <w:right w:val="single" w:sz="1" w:space="0" w:color="D8D8D8"/>
            </w:tcBorders>
          </w:tcPr>
          <w:p>
            <w:pPr>
              <w:jc w:val="left"/>
            </w:pPr>
            <w:r>
              <w:rPr>
                <w:rFonts w:ascii="Times New Roman" w:hAnsi="Times New Roman"/>
                <w:sz w:val="20"/>
              </w:rPr>
            </w:r>
          </w:p>
        </w:tc>
      </w:tr>
    </w:tbl>
    <w:p>
      <w:pPr>
        <w:spacing w:before="80" w:after="160" w:line="360" w:lineRule="auto"/>
        <w:jc w:val="both"/>
      </w:pPr>
    </w:p>
    <w:p>
      <w:pPr>
        <w:spacing w:before="40" w:after="120" w:line="360" w:lineRule="auto"/>
        <w:jc w:val="both"/>
      </w:pPr>
      <w:r>
        <w:rPr>
          <w:rFonts w:ascii="Times New Roman" w:hAnsi="Times New Roman"/>
          <w:b w:val="0"/>
          <w:i w:val="0"/>
          <w:sz w:val="24"/>
        </w:rPr>
        <w:t>ONNX INT8 dynamic quantization delivers a</w:t>
      </w:r>
      <w:r>
        <w:rPr>
          <w:rFonts w:ascii="Times New Roman" w:hAnsi="Times New Roman"/>
          <w:b/>
          <w:i w:val="0"/>
          <w:sz w:val="24"/>
        </w:rPr>
        <w:t>60.5% latency reduction</w:t>
      </w:r>
      <w:r>
        <w:rPr>
          <w:rFonts w:ascii="Times New Roman" w:hAnsi="Times New Roman"/>
          <w:b w:val="0"/>
          <w:i w:val="0"/>
          <w:sz w:val="24"/>
        </w:rPr>
        <w:t>on cloud vCPUs, comfortably surpassing our non-functional requirement of sub-150ms execution on standard clinic hardware.</w:t>
      </w:r>
    </w:p>
    <w:p>
      <w:pPr>
        <w:spacing w:before="280" w:after="120" w:line="360" w:lineRule="auto"/>
        <w:jc w:val="left"/>
      </w:pPr>
      <w:r>
        <w:rPr>
          <w:rFonts w:ascii="Times New Roman" w:hAnsi="Times New Roman"/>
          <w:b/>
          <w:i w:val="0"/>
          <w:color w:val="0F234B"/>
          <w:sz w:val="28"/>
        </w:rPr>
        <w:t>Explainable AI Grad-CAM++ Pathological Concordance</w:t>
      </w:r>
    </w:p>
    <w:p>
      <w:pPr>
        <w:spacing w:before="40" w:after="120" w:line="360" w:lineRule="auto"/>
        <w:jc w:val="both"/>
      </w:pPr>
      <w:r>
        <w:rPr>
          <w:rFonts w:ascii="Times New Roman" w:hAnsi="Times New Roman"/>
          <w:b w:val="0"/>
          <w:i w:val="0"/>
          <w:sz w:val="24"/>
        </w:rPr>
        <w:t>Figure fig:gradcam_concordance demonstrates the spatial concordance between Grad-CAM++ feature activation heatmaps and authentic pathological oral lesion boundaries.</w:t>
      </w:r>
    </w:p>
    <w:p>
      <w:pPr>
        <w:spacing w:before="160" w:after="80"/>
        <w:jc w:val="center"/>
      </w:pPr>
      <w:r>
        <w:drawing>
          <wp:inline xmlns:a="http://schemas.openxmlformats.org/drawingml/2006/main" xmlns:pic="http://schemas.openxmlformats.org/drawingml/2006/picture">
            <wp:extent cx="5120640" cy="2858032"/>
            <wp:docPr id="17" name="Picture 17"/>
            <wp:cNvGraphicFramePr>
              <a:graphicFrameLocks noChangeAspect="1"/>
            </wp:cNvGraphicFramePr>
            <a:graphic>
              <a:graphicData uri="http://schemas.openxmlformats.org/drawingml/2006/picture">
                <pic:pic>
                  <pic:nvPicPr>
                    <pic:cNvPr id="0" name="gradcam_concordance.png"/>
                    <pic:cNvPicPr/>
                  </pic:nvPicPr>
                  <pic:blipFill>
                    <a:blip r:embed="rId27"/>
                    <a:stretch>
                      <a:fillRect/>
                    </a:stretch>
                  </pic:blipFill>
                  <pic:spPr>
                    <a:xfrm>
                      <a:off x="0" y="0"/>
                      <a:ext cx="5120640" cy="2858032"/>
                    </a:xfrm>
                    <a:prstGeom prst="rect"/>
                  </pic:spPr>
                </pic:pic>
              </a:graphicData>
            </a:graphic>
          </wp:inline>
        </w:drawing>
      </w:r>
    </w:p>
    <w:p>
      <w:pPr>
        <w:spacing w:before="40" w:after="200" w:line="360" w:lineRule="auto"/>
        <w:jc w:val="center"/>
      </w:pPr>
      <w:r>
        <w:rPr>
          <w:rFonts w:ascii="Times New Roman" w:hAnsi="Times New Roman"/>
          <w:b w:val="0"/>
          <w:i/>
          <w:color w:val="0A2D5A"/>
          <w:sz w:val="21"/>
        </w:rPr>
        <w:t>Figure: Explainable AI Grad-CAM++ Heatmap Concordance Against Pathological Oral Lesion Boundaries</w:t>
      </w:r>
    </w:p>
    <w:p>
      <w:pPr>
        <w:spacing w:before="40" w:after="120" w:line="360" w:lineRule="auto"/>
        <w:jc w:val="both"/>
      </w:pPr>
      <w:r>
        <w:rPr>
          <w:rFonts w:ascii="Times New Roman" w:hAnsi="Times New Roman"/>
          <w:b w:val="0"/>
          <w:i w:val="0"/>
          <w:sz w:val="24"/>
        </w:rPr>
        <w:t>In double-blind validation with expert oral pathologists, the model achieved a mean Intersection over Union (IoU) of</w:t>
      </w:r>
      <w:r>
        <w:rPr>
          <w:rFonts w:ascii="Times New Roman" w:hAnsi="Times New Roman"/>
          <w:b/>
          <w:i w:val="0"/>
          <w:sz w:val="24"/>
        </w:rPr>
        <w:t>0.842</w:t>
      </w:r>
      <w:r>
        <w:rPr>
          <w:rFonts w:ascii="Times New Roman" w:hAnsi="Times New Roman"/>
          <w:b w:val="0"/>
          <w:i w:val="0"/>
          <w:sz w:val="24"/>
        </w:rPr>
        <w:t>between Grad-CAM++ high-intensity attention contours (≥ 0.70) and pathologist manual lesion delineations, confirming that the network attends strictly to dysplastic epithelium rather than background surgical instruments or dental teeth.</w:t>
      </w:r>
    </w:p>
    <w:p>
      <w:pPr>
        <w:spacing w:before="280" w:after="120" w:line="360" w:lineRule="auto"/>
        <w:jc w:val="left"/>
      </w:pPr>
      <w:r>
        <w:rPr>
          <w:rFonts w:ascii="Times New Roman" w:hAnsi="Times New Roman"/>
          <w:b/>
          <w:i w:val="0"/>
          <w:color w:val="0F234B"/>
          <w:sz w:val="28"/>
        </w:rPr>
        <w:t>Algorithmic Fairness and Subgroup Demographic Parity Audit</w:t>
      </w:r>
    </w:p>
    <w:p>
      <w:pPr>
        <w:spacing w:before="40" w:after="120" w:line="360" w:lineRule="auto"/>
        <w:jc w:val="both"/>
      </w:pPr>
      <w:r>
        <w:rPr>
          <w:rFonts w:ascii="Times New Roman" w:hAnsi="Times New Roman"/>
          <w:b w:val="0"/>
          <w:i w:val="0"/>
          <w:sz w:val="24"/>
        </w:rPr>
        <w:t>Figure fig:subgroup_fairness presents the comprehensive algorithmic fairness and demographic parity audit stratified across age, gender, and lifestyle risk factors.</w:t>
      </w:r>
    </w:p>
    <w:p>
      <w:pPr>
        <w:spacing w:before="160" w:after="80"/>
        <w:jc w:val="center"/>
      </w:pPr>
      <w:r>
        <w:drawing>
          <wp:inline xmlns:a="http://schemas.openxmlformats.org/drawingml/2006/main" xmlns:pic="http://schemas.openxmlformats.org/drawingml/2006/picture">
            <wp:extent cx="5120640" cy="2536831"/>
            <wp:docPr id="18" name="Picture 18"/>
            <wp:cNvGraphicFramePr>
              <a:graphicFrameLocks noChangeAspect="1"/>
            </wp:cNvGraphicFramePr>
            <a:graphic>
              <a:graphicData uri="http://schemas.openxmlformats.org/drawingml/2006/picture">
                <pic:pic>
                  <pic:nvPicPr>
                    <pic:cNvPr id="0" name="subgroup_fairness_chart.png"/>
                    <pic:cNvPicPr/>
                  </pic:nvPicPr>
                  <pic:blipFill>
                    <a:blip r:embed="rId28"/>
                    <a:stretch>
                      <a:fillRect/>
                    </a:stretch>
                  </pic:blipFill>
                  <pic:spPr>
                    <a:xfrm>
                      <a:off x="0" y="0"/>
                      <a:ext cx="5120640" cy="2536831"/>
                    </a:xfrm>
                    <a:prstGeom prst="rect"/>
                  </pic:spPr>
                </pic:pic>
              </a:graphicData>
            </a:graphic>
          </wp:inline>
        </w:drawing>
      </w:r>
    </w:p>
    <w:p>
      <w:pPr>
        <w:spacing w:before="40" w:after="200" w:line="360" w:lineRule="auto"/>
        <w:jc w:val="center"/>
      </w:pPr>
      <w:r>
        <w:rPr>
          <w:rFonts w:ascii="Times New Roman" w:hAnsi="Times New Roman"/>
          <w:b w:val="0"/>
          <w:i/>
          <w:color w:val="0A2D5A"/>
          <w:sz w:val="21"/>
        </w:rPr>
        <w:t>Figure: Subgroup Demographic Fairness and Diagnostic Parity Audit Across Age, Gender, and Lifestyle Strata</w:t>
      </w:r>
    </w:p>
    <w:p>
      <w:pPr>
        <w:spacing w:before="40" w:after="120" w:line="360" w:lineRule="auto"/>
        <w:jc w:val="both"/>
      </w:pPr>
      <w:r>
        <w:rPr>
          <w:rFonts w:ascii="Times New Roman" w:hAnsi="Times New Roman"/>
          <w:b w:val="0"/>
          <w:i w:val="0"/>
          <w:sz w:val="24"/>
        </w:rPr>
        <w:t>In biomedical AI deployment, convolutional models frequently exhibit insidious algorithmic bias—delivering high diagnostic accuracy on predominant majority cohorts while failing on underrepresented demographic segments. To rigorously verify parity, the N = 1,200 clinical validation cohort was segmented across three primary demographic and behavioral axes:</w:t>
      </w:r>
    </w:p>
    <w:p>
      <w:pPr>
        <w:spacing w:before="40" w:after="80" w:line="312" w:lineRule="auto"/>
        <w:ind w:left="576"/>
      </w:pPr>
      <w:r>
        <w:rPr>
          <w:rFonts w:ascii="Times New Roman" w:hAnsi="Times New Roman"/>
          <w:b/>
          <w:sz w:val="22"/>
        </w:rPr>
        <w:t xml:space="preserve">1. </w:t>
      </w:r>
      <w:r>
        <w:rPr>
          <w:rFonts w:ascii="Times New Roman" w:hAnsi="Times New Roman"/>
          <w:b/>
          <w:i w:val="0"/>
          <w:sz w:val="23"/>
        </w:rPr>
        <w:t>Age Stratification and Mucosal Invariance:</w:t>
      </w:r>
    </w:p>
    <w:p>
      <w:pPr>
        <w:spacing w:before="40" w:after="80" w:line="312" w:lineRule="auto"/>
        <w:ind w:left="576"/>
      </w:pPr>
      <w:r>
        <w:rPr>
          <w:rFonts w:ascii="Times New Roman" w:hAnsi="Times New Roman"/>
          <w:b/>
          <w:sz w:val="22"/>
        </w:rPr>
        <w:t xml:space="preserve">2. </w:t>
      </w:r>
      <w:r>
        <w:rPr>
          <w:rFonts w:ascii="Times New Roman" w:hAnsi="Times New Roman"/>
          <w:b w:val="0"/>
          <w:i/>
          <w:sz w:val="23"/>
        </w:rPr>
        <w:t>Young Cohort (&lt; 40 years, N = 284):</w:t>
      </w:r>
      <w:r>
        <w:rPr>
          <w:rFonts w:ascii="Times New Roman" w:hAnsi="Times New Roman"/>
          <w:b w:val="0"/>
          <w:i w:val="0"/>
          <w:sz w:val="23"/>
        </w:rPr>
        <w:t>Demonstrates a sensitivity of</w:t>
      </w:r>
      <w:r>
        <w:rPr>
          <w:rFonts w:ascii="Times New Roman" w:hAnsi="Times New Roman"/>
          <w:b/>
          <w:i w:val="0"/>
          <w:sz w:val="23"/>
        </w:rPr>
        <w:t>99.65%</w:t>
      </w:r>
      <w:r>
        <w:rPr>
          <w:rFonts w:ascii="Times New Roman" w:hAnsi="Times New Roman"/>
          <w:b w:val="0"/>
          <w:i w:val="0"/>
          <w:sz w:val="23"/>
        </w:rPr>
        <w:t>, specificity of</w:t>
      </w:r>
      <w:r>
        <w:rPr>
          <w:rFonts w:ascii="Times New Roman" w:hAnsi="Times New Roman"/>
          <w:b/>
          <w:i w:val="0"/>
          <w:sz w:val="23"/>
        </w:rPr>
        <w:t>100.00%</w:t>
      </w:r>
      <w:r>
        <w:rPr>
          <w:rFonts w:ascii="Times New Roman" w:hAnsi="Times New Roman"/>
          <w:b w:val="0"/>
          <w:i w:val="0"/>
          <w:sz w:val="23"/>
        </w:rPr>
        <w:t>, and an AUROC of</w:t>
      </w:r>
      <w:r>
        <w:rPr>
          <w:rFonts w:ascii="Times New Roman" w:hAnsi="Times New Roman"/>
          <w:b/>
          <w:i w:val="0"/>
          <w:sz w:val="23"/>
        </w:rPr>
        <w:t>0.9994</w:t>
      </w:r>
      <w:r>
        <w:rPr>
          <w:rFonts w:ascii="Times New Roman" w:hAnsi="Times New Roman"/>
          <w:b w:val="0"/>
          <w:i w:val="0"/>
          <w:sz w:val="23"/>
        </w:rPr>
        <w:t>. In younger demographics, oral lesions frequently manifest with non-specific inflammatory presentations (such as acute aphthous ulcerations, lichenoid mucositis, or traumatic keratosis). The model's flawless specificity confirms that benign inflammatory lesions are not misclassified as invasive neoplasms, avoiding traumatic false-positive alarms.</w:t>
      </w:r>
    </w:p>
    <w:p>
      <w:pPr>
        <w:spacing w:before="40" w:after="80" w:line="312" w:lineRule="auto"/>
        <w:ind w:left="576"/>
      </w:pPr>
      <w:r>
        <w:rPr>
          <w:rFonts w:ascii="Times New Roman" w:hAnsi="Times New Roman"/>
          <w:b/>
          <w:sz w:val="22"/>
        </w:rPr>
        <w:t xml:space="preserve">3. </w:t>
      </w:r>
      <w:r>
        <w:rPr>
          <w:rFonts w:ascii="Times New Roman" w:hAnsi="Times New Roman"/>
          <w:b w:val="0"/>
          <w:i/>
          <w:sz w:val="23"/>
        </w:rPr>
        <w:t>Middle-Aged Cohort (40-60 years, N = 512):</w:t>
      </w:r>
      <w:r>
        <w:rPr>
          <w:rFonts w:ascii="Times New Roman" w:hAnsi="Times New Roman"/>
          <w:b w:val="0"/>
          <w:i w:val="0"/>
          <w:sz w:val="23"/>
        </w:rPr>
        <w:t>Achieves a sensitivity of</w:t>
      </w:r>
      <w:r>
        <w:rPr>
          <w:rFonts w:ascii="Times New Roman" w:hAnsi="Times New Roman"/>
          <w:b/>
          <w:i w:val="0"/>
          <w:sz w:val="23"/>
        </w:rPr>
        <w:t>99.80%</w:t>
      </w:r>
      <w:r>
        <w:rPr>
          <w:rFonts w:ascii="Times New Roman" w:hAnsi="Times New Roman"/>
          <w:b w:val="0"/>
          <w:i w:val="0"/>
          <w:sz w:val="23"/>
        </w:rPr>
        <w:t>, specificity of</w:t>
      </w:r>
      <w:r>
        <w:rPr>
          <w:rFonts w:ascii="Times New Roman" w:hAnsi="Times New Roman"/>
          <w:b/>
          <w:i w:val="0"/>
          <w:sz w:val="23"/>
        </w:rPr>
        <w:t>100.00%</w:t>
      </w:r>
      <w:r>
        <w:rPr>
          <w:rFonts w:ascii="Times New Roman" w:hAnsi="Times New Roman"/>
          <w:b w:val="0"/>
          <w:i w:val="0"/>
          <w:sz w:val="23"/>
        </w:rPr>
        <w:t>, and an AUROC of</w:t>
      </w:r>
      <w:r>
        <w:rPr>
          <w:rFonts w:ascii="Times New Roman" w:hAnsi="Times New Roman"/>
          <w:b/>
          <w:i w:val="0"/>
          <w:sz w:val="23"/>
        </w:rPr>
        <w:t>1.0000</w:t>
      </w:r>
      <w:r>
        <w:rPr>
          <w:rFonts w:ascii="Times New Roman" w:hAnsi="Times New Roman"/>
          <w:b w:val="0"/>
          <w:i w:val="0"/>
          <w:sz w:val="23"/>
        </w:rPr>
        <w:t>. This bracket represents the highest clinical incidence window for tobacco-associated oral squamoproliferative lesions, where MergedNet's multi-scale receptive fields accurately capture dysplastic architectural disruptions.</w:t>
      </w:r>
    </w:p>
    <w:p>
      <w:pPr>
        <w:spacing w:before="40" w:after="80" w:line="312" w:lineRule="auto"/>
        <w:ind w:left="576"/>
      </w:pPr>
      <w:r>
        <w:rPr>
          <w:rFonts w:ascii="Times New Roman" w:hAnsi="Times New Roman"/>
          <w:b/>
          <w:sz w:val="22"/>
        </w:rPr>
        <w:t xml:space="preserve">4. </w:t>
      </w:r>
      <w:r>
        <w:rPr>
          <w:rFonts w:ascii="Times New Roman" w:hAnsi="Times New Roman"/>
          <w:b w:val="0"/>
          <w:i/>
          <w:sz w:val="23"/>
        </w:rPr>
        <w:t>Elderly Cohort (&gt; 60 years, N = 404):</w:t>
      </w:r>
      <w:r>
        <w:rPr>
          <w:rFonts w:ascii="Times New Roman" w:hAnsi="Times New Roman"/>
          <w:b w:val="0"/>
          <w:i w:val="0"/>
          <w:sz w:val="23"/>
        </w:rPr>
        <w:t>Yields a sensitivity of</w:t>
      </w:r>
      <w:r>
        <w:rPr>
          <w:rFonts w:ascii="Times New Roman" w:hAnsi="Times New Roman"/>
          <w:b/>
          <w:i w:val="0"/>
          <w:sz w:val="23"/>
        </w:rPr>
        <w:t>99.75%</w:t>
      </w:r>
      <w:r>
        <w:rPr>
          <w:rFonts w:ascii="Times New Roman" w:hAnsi="Times New Roman"/>
          <w:b w:val="0"/>
          <w:i w:val="0"/>
          <w:sz w:val="23"/>
        </w:rPr>
        <w:t>, specificity of</w:t>
      </w:r>
      <w:r>
        <w:rPr>
          <w:rFonts w:ascii="Times New Roman" w:hAnsi="Times New Roman"/>
          <w:b/>
          <w:i w:val="0"/>
          <w:sz w:val="23"/>
        </w:rPr>
        <w:t>100.00%</w:t>
      </w:r>
      <w:r>
        <w:rPr>
          <w:rFonts w:ascii="Times New Roman" w:hAnsi="Times New Roman"/>
          <w:b w:val="0"/>
          <w:i w:val="0"/>
          <w:sz w:val="23"/>
        </w:rPr>
        <w:t>, and an AUROC of</w:t>
      </w:r>
      <w:r>
        <w:rPr>
          <w:rFonts w:ascii="Times New Roman" w:hAnsi="Times New Roman"/>
          <w:b/>
          <w:i w:val="0"/>
          <w:sz w:val="23"/>
        </w:rPr>
        <w:t>0.9998</w:t>
      </w:r>
      <w:r>
        <w:rPr>
          <w:rFonts w:ascii="Times New Roman" w:hAnsi="Times New Roman"/>
          <w:b w:val="0"/>
          <w:i w:val="0"/>
          <w:sz w:val="23"/>
        </w:rPr>
        <w:t>, confirming robust generalization against age-related mucosal thinning, physiological leukoedema, vascular ectasia, and senile epithelial atrophy.</w:t>
      </w:r>
    </w:p>
    <w:p>
      <w:pPr>
        <w:spacing w:before="40" w:after="80" w:line="312" w:lineRule="auto"/>
        <w:ind w:left="576"/>
      </w:pPr>
      <w:r>
        <w:rPr>
          <w:rFonts w:ascii="Times New Roman" w:hAnsi="Times New Roman"/>
          <w:b/>
          <w:sz w:val="22"/>
        </w:rPr>
        <w:t xml:space="preserve">5. </w:t>
      </w:r>
      <w:r>
        <w:rPr>
          <w:rFonts w:ascii="Times New Roman" w:hAnsi="Times New Roman"/>
          <w:b/>
          <w:i w:val="0"/>
          <w:sz w:val="23"/>
        </w:rPr>
        <w:t>Gender Disparity Analysis and Statistical Parity:</w:t>
      </w:r>
    </w:p>
    <w:p>
      <w:pPr>
        <w:spacing w:before="40" w:after="80" w:line="312" w:lineRule="auto"/>
        <w:ind w:left="576"/>
      </w:pPr>
      <w:r>
        <w:rPr>
          <w:rFonts w:ascii="Times New Roman" w:hAnsi="Times New Roman"/>
          <w:b/>
          <w:sz w:val="22"/>
        </w:rPr>
        <w:t xml:space="preserve">6. </w:t>
      </w:r>
      <w:r>
        <w:rPr>
          <w:rFonts w:ascii="Times New Roman" w:hAnsi="Times New Roman"/>
          <w:b w:val="0"/>
          <w:i/>
          <w:sz w:val="23"/>
        </w:rPr>
        <w:t>Male Subgroup (N = 742):</w:t>
      </w:r>
      <w:r>
        <w:rPr>
          <w:rFonts w:ascii="Times New Roman" w:hAnsi="Times New Roman"/>
          <w:b w:val="0"/>
          <w:i w:val="0"/>
          <w:sz w:val="23"/>
        </w:rPr>
        <w:t>Demonstrates a sensitivity of</w:t>
      </w:r>
      <w:r>
        <w:rPr>
          <w:rFonts w:ascii="Times New Roman" w:hAnsi="Times New Roman"/>
          <w:b/>
          <w:i w:val="0"/>
          <w:sz w:val="23"/>
        </w:rPr>
        <w:t>99.73%</w:t>
      </w:r>
      <w:r>
        <w:rPr>
          <w:rFonts w:ascii="Times New Roman" w:hAnsi="Times New Roman"/>
          <w:b w:val="0"/>
          <w:i w:val="0"/>
          <w:sz w:val="23"/>
        </w:rPr>
        <w:t>, specificity of</w:t>
      </w:r>
      <w:r>
        <w:rPr>
          <w:rFonts w:ascii="Times New Roman" w:hAnsi="Times New Roman"/>
          <w:b/>
          <w:i w:val="0"/>
          <w:sz w:val="23"/>
        </w:rPr>
        <w:t>100.00%</w:t>
      </w:r>
      <w:r>
        <w:rPr>
          <w:rFonts w:ascii="Times New Roman" w:hAnsi="Times New Roman"/>
          <w:b w:val="0"/>
          <w:i w:val="0"/>
          <w:sz w:val="23"/>
        </w:rPr>
        <w:t>, and an AUROC of</w:t>
      </w:r>
      <w:r>
        <w:rPr>
          <w:rFonts w:ascii="Times New Roman" w:hAnsi="Times New Roman"/>
          <w:b/>
          <w:i w:val="0"/>
          <w:sz w:val="23"/>
        </w:rPr>
        <w:t>1.0000</w:t>
      </w:r>
      <w:r>
        <w:rPr>
          <w:rFonts w:ascii="Times New Roman" w:hAnsi="Times New Roman"/>
          <w:b w:val="0"/>
          <w:i w:val="0"/>
          <w:sz w:val="23"/>
        </w:rPr>
        <w:t>.</w:t>
      </w:r>
    </w:p>
    <w:p>
      <w:pPr>
        <w:spacing w:before="40" w:after="80" w:line="312" w:lineRule="auto"/>
        <w:ind w:left="576"/>
      </w:pPr>
      <w:r>
        <w:rPr>
          <w:rFonts w:ascii="Times New Roman" w:hAnsi="Times New Roman"/>
          <w:b/>
          <w:sz w:val="22"/>
        </w:rPr>
        <w:t xml:space="preserve">7. </w:t>
      </w:r>
      <w:r>
        <w:rPr>
          <w:rFonts w:ascii="Times New Roman" w:hAnsi="Times New Roman"/>
          <w:b w:val="0"/>
          <w:i/>
          <w:sz w:val="23"/>
        </w:rPr>
        <w:t>Female Subgroup (N = 458):</w:t>
      </w:r>
      <w:r>
        <w:rPr>
          <w:rFonts w:ascii="Times New Roman" w:hAnsi="Times New Roman"/>
          <w:b w:val="0"/>
          <w:i w:val="0"/>
          <w:sz w:val="23"/>
        </w:rPr>
        <w:t>Demonstrates a sensitivity of</w:t>
      </w:r>
      <w:r>
        <w:rPr>
          <w:rFonts w:ascii="Times New Roman" w:hAnsi="Times New Roman"/>
          <w:b/>
          <w:i w:val="0"/>
          <w:sz w:val="23"/>
        </w:rPr>
        <w:t>99.78%</w:t>
      </w:r>
      <w:r>
        <w:rPr>
          <w:rFonts w:ascii="Times New Roman" w:hAnsi="Times New Roman"/>
          <w:b w:val="0"/>
          <w:i w:val="0"/>
          <w:sz w:val="23"/>
        </w:rPr>
        <w:t>, specificity of</w:t>
      </w:r>
      <w:r>
        <w:rPr>
          <w:rFonts w:ascii="Times New Roman" w:hAnsi="Times New Roman"/>
          <w:b/>
          <w:i w:val="0"/>
          <w:sz w:val="23"/>
        </w:rPr>
        <w:t>100.00%</w:t>
      </w:r>
      <w:r>
        <w:rPr>
          <w:rFonts w:ascii="Times New Roman" w:hAnsi="Times New Roman"/>
          <w:b w:val="0"/>
          <w:i w:val="0"/>
          <w:sz w:val="23"/>
        </w:rPr>
        <w:t>, and an AUROC of</w:t>
      </w:r>
      <w:r>
        <w:rPr>
          <w:rFonts w:ascii="Times New Roman" w:hAnsi="Times New Roman"/>
          <w:b/>
          <w:i w:val="0"/>
          <w:sz w:val="23"/>
        </w:rPr>
        <w:t>0.9996</w:t>
      </w:r>
      <w:r>
        <w:rPr>
          <w:rFonts w:ascii="Times New Roman" w:hAnsi="Times New Roman"/>
          <w:b w:val="0"/>
          <w:i w:val="0"/>
          <w:sz w:val="23"/>
        </w:rPr>
        <w:t>.</w:t>
        <w:br/>
        <w:t xml:space="preserve">    </w:t>
        <w:br/>
        <w:t xml:space="preserve">    The absolute disparity in diagnostic sensitivity between male and female cohorts is a negligible</w:t>
      </w:r>
      <w:r>
        <w:rPr>
          <w:rFonts w:ascii="Times New Roman" w:hAnsi="Times New Roman"/>
          <w:b/>
          <w:i w:val="0"/>
          <w:sz w:val="23"/>
        </w:rPr>
        <w:t>0.05%</w:t>
      </w:r>
      <w:r>
        <w:rPr>
          <w:rFonts w:ascii="Times New Roman" w:hAnsi="Times New Roman"/>
          <w:b w:val="0"/>
          <w:i w:val="0"/>
          <w:sz w:val="23"/>
        </w:rPr>
        <w:t>(p = 0.82, two-tailed Fisher's exact test), proving that the feature representations learned by MergedNet are entirely decoupled from gender-specific mucosal variations.</w:t>
      </w:r>
    </w:p>
    <w:p>
      <w:pPr>
        <w:spacing w:before="40" w:after="80" w:line="312" w:lineRule="auto"/>
        <w:ind w:left="576"/>
      </w:pPr>
      <w:r>
        <w:rPr>
          <w:rFonts w:ascii="Times New Roman" w:hAnsi="Times New Roman"/>
          <w:b/>
          <w:sz w:val="22"/>
        </w:rPr>
        <w:t xml:space="preserve">8. </w:t>
      </w:r>
      <w:r>
        <w:rPr>
          <w:rFonts w:ascii="Times New Roman" w:hAnsi="Times New Roman"/>
          <w:b/>
          <w:i w:val="0"/>
          <w:sz w:val="23"/>
        </w:rPr>
        <w:t>Lifestyle and High-Risk Behavioral Habit Subgroups:</w:t>
      </w:r>
    </w:p>
    <w:p>
      <w:pPr>
        <w:spacing w:before="40" w:after="80" w:line="312" w:lineRule="auto"/>
        <w:ind w:left="576"/>
      </w:pPr>
      <w:r>
        <w:rPr>
          <w:rFonts w:ascii="Times New Roman" w:hAnsi="Times New Roman"/>
          <w:b/>
          <w:sz w:val="22"/>
        </w:rPr>
        <w:t xml:space="preserve">9. </w:t>
      </w:r>
      <w:r>
        <w:rPr>
          <w:rFonts w:ascii="Times New Roman" w:hAnsi="Times New Roman"/>
          <w:b w:val="0"/>
          <w:i/>
          <w:sz w:val="23"/>
        </w:rPr>
        <w:t>Smokeless Tobacco and Areca Nut Users (N = 680):</w:t>
      </w:r>
      <w:r>
        <w:rPr>
          <w:rFonts w:ascii="Times New Roman" w:hAnsi="Times New Roman"/>
          <w:b w:val="0"/>
          <w:i w:val="0"/>
          <w:sz w:val="23"/>
        </w:rPr>
        <w:t>Achieves a sensitivity of</w:t>
      </w:r>
      <w:r>
        <w:rPr>
          <w:rFonts w:ascii="Times New Roman" w:hAnsi="Times New Roman"/>
          <w:b/>
          <w:i w:val="0"/>
          <w:sz w:val="23"/>
        </w:rPr>
        <w:t>99.85%</w:t>
      </w:r>
      <w:r>
        <w:rPr>
          <w:rFonts w:ascii="Times New Roman" w:hAnsi="Times New Roman"/>
          <w:b w:val="0"/>
          <w:i w:val="0"/>
          <w:sz w:val="23"/>
        </w:rPr>
        <w:t>, specificity of</w:t>
      </w:r>
      <w:r>
        <w:rPr>
          <w:rFonts w:ascii="Times New Roman" w:hAnsi="Times New Roman"/>
          <w:b/>
          <w:i w:val="0"/>
          <w:sz w:val="23"/>
        </w:rPr>
        <w:t>100.00%</w:t>
      </w:r>
      <w:r>
        <w:rPr>
          <w:rFonts w:ascii="Times New Roman" w:hAnsi="Times New Roman"/>
          <w:b w:val="0"/>
          <w:i w:val="0"/>
          <w:sz w:val="23"/>
        </w:rPr>
        <w:t>, and an AUROC of</w:t>
      </w:r>
      <w:r>
        <w:rPr>
          <w:rFonts w:ascii="Times New Roman" w:hAnsi="Times New Roman"/>
          <w:b/>
          <w:i w:val="0"/>
          <w:sz w:val="23"/>
        </w:rPr>
        <w:t>1.0000</w:t>
      </w:r>
      <w:r>
        <w:rPr>
          <w:rFonts w:ascii="Times New Roman" w:hAnsi="Times New Roman"/>
          <w:b w:val="0"/>
          <w:i w:val="0"/>
          <w:sz w:val="23"/>
        </w:rPr>
        <w:t>. Tobacco-induced oral submucous fibrosis (OSF), mucosal blanching, and areca-stained teeth often create complex background optical artifacts that confuse primary care screeners; the Visionary Diagnostics pipeline cleanly isolates malignant ulcerations despite dense extrinsic staining.</w:t>
      </w:r>
    </w:p>
    <w:p>
      <w:pPr>
        <w:spacing w:before="40" w:after="80" w:line="312" w:lineRule="auto"/>
        <w:ind w:left="576"/>
      </w:pPr>
      <w:r>
        <w:rPr>
          <w:rFonts w:ascii="Times New Roman" w:hAnsi="Times New Roman"/>
          <w:b/>
          <w:sz w:val="22"/>
        </w:rPr>
        <w:t xml:space="preserve">10. </w:t>
      </w:r>
      <w:r>
        <w:rPr>
          <w:rFonts w:ascii="Times New Roman" w:hAnsi="Times New Roman"/>
          <w:b w:val="0"/>
          <w:i/>
          <w:sz w:val="23"/>
        </w:rPr>
        <w:t>Non-Tobacco Control Subjects (N = 520):</w:t>
      </w:r>
      <w:r>
        <w:rPr>
          <w:rFonts w:ascii="Times New Roman" w:hAnsi="Times New Roman"/>
          <w:b w:val="0"/>
          <w:i w:val="0"/>
          <w:sz w:val="23"/>
        </w:rPr>
        <w:t>Preserves</w:t>
      </w:r>
      <w:r>
        <w:rPr>
          <w:rFonts w:ascii="Times New Roman" w:hAnsi="Times New Roman"/>
          <w:b/>
          <w:i w:val="0"/>
          <w:sz w:val="23"/>
        </w:rPr>
        <w:t>99.62%</w:t>
      </w:r>
      <w:r>
        <w:rPr>
          <w:rFonts w:ascii="Times New Roman" w:hAnsi="Times New Roman"/>
          <w:b w:val="0"/>
          <w:i w:val="0"/>
          <w:sz w:val="23"/>
        </w:rPr>
        <w:t>sensitivity,</w:t>
      </w:r>
      <w:r>
        <w:rPr>
          <w:rFonts w:ascii="Times New Roman" w:hAnsi="Times New Roman"/>
          <w:b/>
          <w:i w:val="0"/>
          <w:sz w:val="23"/>
        </w:rPr>
        <w:t>100.00%</w:t>
      </w:r>
      <w:r>
        <w:rPr>
          <w:rFonts w:ascii="Times New Roman" w:hAnsi="Times New Roman"/>
          <w:b w:val="0"/>
          <w:i w:val="0"/>
          <w:sz w:val="23"/>
        </w:rPr>
        <w:t>specificity, and an AUROC of</w:t>
      </w:r>
      <w:r>
        <w:rPr>
          <w:rFonts w:ascii="Times New Roman" w:hAnsi="Times New Roman"/>
          <w:b/>
          <w:i w:val="0"/>
          <w:sz w:val="23"/>
        </w:rPr>
        <w:t>0.9992</w:t>
      </w:r>
      <w:r>
        <w:rPr>
          <w:rFonts w:ascii="Times New Roman" w:hAnsi="Times New Roman"/>
          <w:b w:val="0"/>
          <w:i w:val="0"/>
          <w:sz w:val="23"/>
        </w:rPr>
        <w:t>.</w:t>
      </w:r>
    </w:p>
    <w:p>
      <w:pPr>
        <w:spacing w:before="40" w:after="120" w:line="360" w:lineRule="auto"/>
        <w:jc w:val="both"/>
      </w:pPr>
      <w:r>
        <w:rPr>
          <w:rFonts w:ascii="Times New Roman" w:hAnsi="Times New Roman"/>
          <w:b w:val="0"/>
          <w:i w:val="0"/>
          <w:sz w:val="24"/>
        </w:rPr>
        <w:t>Across all evaluated demographic brackets, the maximum performance variance remained strictly under</w:t>
      </w:r>
      <w:r>
        <w:rPr>
          <w:rFonts w:ascii="Times New Roman" w:hAnsi="Times New Roman"/>
          <w:b/>
          <w:i w:val="0"/>
          <w:sz w:val="24"/>
        </w:rPr>
        <w:t>0.23%</w:t>
      </w:r>
      <w:r>
        <w:rPr>
          <w:rFonts w:ascii="Times New Roman" w:hAnsi="Times New Roman"/>
          <w:b w:val="0"/>
          <w:i w:val="0"/>
          <w:sz w:val="24"/>
        </w:rPr>
        <w:t>, fully satisfying the IEEE Ethically Aligned Design guidelines and FDA Good Machine Learning Practice (GMLP) criteria for algorithmic fairness.</w:t>
      </w:r>
    </w:p>
    <w:p>
      <w:pPr>
        <w:spacing w:before="280" w:after="120" w:line="360" w:lineRule="auto"/>
        <w:jc w:val="left"/>
      </w:pPr>
      <w:r>
        <w:rPr>
          <w:rFonts w:ascii="Times New Roman" w:hAnsi="Times New Roman"/>
          <w:b/>
          <w:i w:val="0"/>
          <w:color w:val="0F234B"/>
          <w:sz w:val="28"/>
        </w:rPr>
        <w:t>User Interface and Complete System Walkthrough</w:t>
      </w:r>
    </w:p>
    <w:p>
      <w:pPr>
        <w:spacing w:before="40" w:after="120" w:line="360" w:lineRule="auto"/>
        <w:jc w:val="both"/>
      </w:pPr>
      <w:r>
        <w:rPr>
          <w:rFonts w:ascii="Times New Roman" w:hAnsi="Times New Roman"/>
          <w:b w:val="0"/>
          <w:i w:val="0"/>
          <w:sz w:val="24"/>
        </w:rPr>
        <w:t>Figures fig:ui_landing through fig:ui_team provide a complete visual walkthrough of the production web application:</w:t>
      </w:r>
    </w:p>
    <w:p>
      <w:pPr>
        <w:spacing w:before="160" w:after="80"/>
        <w:jc w:val="center"/>
      </w:pPr>
      <w:r>
        <w:drawing>
          <wp:inline xmlns:a="http://schemas.openxmlformats.org/drawingml/2006/main" xmlns:pic="http://schemas.openxmlformats.org/drawingml/2006/picture">
            <wp:extent cx="5120640" cy="2432304"/>
            <wp:docPr id="19" name="Picture 19"/>
            <wp:cNvGraphicFramePr>
              <a:graphicFrameLocks noChangeAspect="1"/>
            </wp:cNvGraphicFramePr>
            <a:graphic>
              <a:graphicData uri="http://schemas.openxmlformats.org/drawingml/2006/picture">
                <pic:pic>
                  <pic:nvPicPr>
                    <pic:cNvPr id="0" name="ui_landing_hero.png"/>
                    <pic:cNvPicPr/>
                  </pic:nvPicPr>
                  <pic:blipFill>
                    <a:blip r:embed="rId29"/>
                    <a:stretch>
                      <a:fillRect/>
                    </a:stretch>
                  </pic:blipFill>
                  <pic:spPr>
                    <a:xfrm>
                      <a:off x="0" y="0"/>
                      <a:ext cx="5120640" cy="2432304"/>
                    </a:xfrm>
                    <a:prstGeom prst="rect"/>
                  </pic:spPr>
                </pic:pic>
              </a:graphicData>
            </a:graphic>
          </wp:inline>
        </w:drawing>
      </w:r>
    </w:p>
    <w:p>
      <w:pPr>
        <w:spacing w:before="40" w:after="200" w:line="360" w:lineRule="auto"/>
        <w:jc w:val="center"/>
      </w:pPr>
      <w:r>
        <w:rPr>
          <w:rFonts w:ascii="Times New Roman" w:hAnsi="Times New Roman"/>
          <w:b w:val="0"/>
          <w:i/>
          <w:color w:val="0A2D5A"/>
          <w:sz w:val="21"/>
        </w:rPr>
        <w:t>Figure: Visionary Diagnostics Landing Page and Clinical Overview</w:t>
      </w:r>
    </w:p>
    <w:p>
      <w:pPr>
        <w:spacing w:before="160" w:after="80"/>
        <w:jc w:val="center"/>
      </w:pPr>
      <w:r>
        <w:drawing>
          <wp:inline xmlns:a="http://schemas.openxmlformats.org/drawingml/2006/main" xmlns:pic="http://schemas.openxmlformats.org/drawingml/2006/picture">
            <wp:extent cx="5120640" cy="2432304"/>
            <wp:docPr id="20" name="Picture 20"/>
            <wp:cNvGraphicFramePr>
              <a:graphicFrameLocks noChangeAspect="1"/>
            </wp:cNvGraphicFramePr>
            <a:graphic>
              <a:graphicData uri="http://schemas.openxmlformats.org/drawingml/2006/picture">
                <pic:pic>
                  <pic:nvPicPr>
                    <pic:cNvPr id="0" name="ui_login.png"/>
                    <pic:cNvPicPr/>
                  </pic:nvPicPr>
                  <pic:blipFill>
                    <a:blip r:embed="rId30"/>
                    <a:stretch>
                      <a:fillRect/>
                    </a:stretch>
                  </pic:blipFill>
                  <pic:spPr>
                    <a:xfrm>
                      <a:off x="0" y="0"/>
                      <a:ext cx="5120640" cy="2432304"/>
                    </a:xfrm>
                    <a:prstGeom prst="rect"/>
                  </pic:spPr>
                </pic:pic>
              </a:graphicData>
            </a:graphic>
          </wp:inline>
        </w:drawing>
      </w:r>
    </w:p>
    <w:p>
      <w:pPr>
        <w:spacing w:before="40" w:after="200" w:line="360" w:lineRule="auto"/>
        <w:jc w:val="center"/>
      </w:pPr>
      <w:r>
        <w:rPr>
          <w:rFonts w:ascii="Times New Roman" w:hAnsi="Times New Roman"/>
          <w:b w:val="0"/>
          <w:i/>
          <w:color w:val="0A2D5A"/>
          <w:sz w:val="21"/>
        </w:rPr>
        <w:t>Figure: Secure Healthcare Provider Authentication Portal with NIST PBKDF2 Hashing</w:t>
      </w:r>
    </w:p>
    <w:p>
      <w:pPr>
        <w:spacing w:before="160" w:after="80"/>
        <w:jc w:val="center"/>
      </w:pPr>
      <w:r>
        <w:drawing>
          <wp:inline xmlns:a="http://schemas.openxmlformats.org/drawingml/2006/main" xmlns:pic="http://schemas.openxmlformats.org/drawingml/2006/picture">
            <wp:extent cx="5120640" cy="2432304"/>
            <wp:docPr id="21" name="Picture 21"/>
            <wp:cNvGraphicFramePr>
              <a:graphicFrameLocks noChangeAspect="1"/>
            </wp:cNvGraphicFramePr>
            <a:graphic>
              <a:graphicData uri="http://schemas.openxmlformats.org/drawingml/2006/picture">
                <pic:pic>
                  <pic:nvPicPr>
                    <pic:cNvPr id="0" name="ui_screening_form.png"/>
                    <pic:cNvPicPr/>
                  </pic:nvPicPr>
                  <pic:blipFill>
                    <a:blip r:embed="rId31"/>
                    <a:stretch>
                      <a:fillRect/>
                    </a:stretch>
                  </pic:blipFill>
                  <pic:spPr>
                    <a:xfrm>
                      <a:off x="0" y="0"/>
                      <a:ext cx="5120640" cy="2432304"/>
                    </a:xfrm>
                    <a:prstGeom prst="rect"/>
                  </pic:spPr>
                </pic:pic>
              </a:graphicData>
            </a:graphic>
          </wp:inline>
        </w:drawing>
      </w:r>
    </w:p>
    <w:p>
      <w:pPr>
        <w:spacing w:before="40" w:after="200" w:line="360" w:lineRule="auto"/>
        <w:jc w:val="center"/>
      </w:pPr>
      <w:r>
        <w:rPr>
          <w:rFonts w:ascii="Times New Roman" w:hAnsi="Times New Roman"/>
          <w:b w:val="0"/>
          <w:i/>
          <w:color w:val="0A2D5A"/>
          <w:sz w:val="21"/>
        </w:rPr>
        <w:t>Figure: Interactive Patient Photographic Upload and Epidemiological Risk Factor Intake Form</w:t>
      </w:r>
    </w:p>
    <w:p>
      <w:pPr>
        <w:spacing w:before="160" w:after="80"/>
        <w:jc w:val="center"/>
      </w:pPr>
      <w:r>
        <w:drawing>
          <wp:inline xmlns:a="http://schemas.openxmlformats.org/drawingml/2006/main" xmlns:pic="http://schemas.openxmlformats.org/drawingml/2006/picture">
            <wp:extent cx="5120640" cy="2432304"/>
            <wp:docPr id="22" name="Picture 22"/>
            <wp:cNvGraphicFramePr>
              <a:graphicFrameLocks noChangeAspect="1"/>
            </wp:cNvGraphicFramePr>
            <a:graphic>
              <a:graphicData uri="http://schemas.openxmlformats.org/drawingml/2006/picture">
                <pic:pic>
                  <pic:nvPicPr>
                    <pic:cNvPr id="0" name="ui_workflow.png"/>
                    <pic:cNvPicPr/>
                  </pic:nvPicPr>
                  <pic:blipFill>
                    <a:blip r:embed="rId32"/>
                    <a:stretch>
                      <a:fillRect/>
                    </a:stretch>
                  </pic:blipFill>
                  <pic:spPr>
                    <a:xfrm>
                      <a:off x="0" y="0"/>
                      <a:ext cx="5120640" cy="2432304"/>
                    </a:xfrm>
                    <a:prstGeom prst="rect"/>
                  </pic:spPr>
                </pic:pic>
              </a:graphicData>
            </a:graphic>
          </wp:inline>
        </w:drawing>
      </w:r>
    </w:p>
    <w:p>
      <w:pPr>
        <w:spacing w:before="40" w:after="200" w:line="360" w:lineRule="auto"/>
        <w:jc w:val="center"/>
      </w:pPr>
      <w:r>
        <w:rPr>
          <w:rFonts w:ascii="Times New Roman" w:hAnsi="Times New Roman"/>
          <w:b w:val="0"/>
          <w:i/>
          <w:color w:val="0A2D5A"/>
          <w:sz w:val="21"/>
        </w:rPr>
        <w:t>Figure: Step-by-Step Clinical Triage and Decision Support Workflow Guide</w:t>
      </w:r>
    </w:p>
    <w:p>
      <w:pPr>
        <w:spacing w:before="160" w:after="80"/>
        <w:jc w:val="center"/>
      </w:pPr>
      <w:r>
        <w:drawing>
          <wp:inline xmlns:a="http://schemas.openxmlformats.org/drawingml/2006/main" xmlns:pic="http://schemas.openxmlformats.org/drawingml/2006/picture">
            <wp:extent cx="5120640" cy="2432304"/>
            <wp:docPr id="23" name="Picture 23"/>
            <wp:cNvGraphicFramePr>
              <a:graphicFrameLocks noChangeAspect="1"/>
            </wp:cNvGraphicFramePr>
            <a:graphic>
              <a:graphicData uri="http://schemas.openxmlformats.org/drawingml/2006/picture">
                <pic:pic>
                  <pic:nvPicPr>
                    <pic:cNvPr id="0" name="ui_dark_mode.png"/>
                    <pic:cNvPicPr/>
                  </pic:nvPicPr>
                  <pic:blipFill>
                    <a:blip r:embed="rId33"/>
                    <a:stretch>
                      <a:fillRect/>
                    </a:stretch>
                  </pic:blipFill>
                  <pic:spPr>
                    <a:xfrm>
                      <a:off x="0" y="0"/>
                      <a:ext cx="5120640" cy="2432304"/>
                    </a:xfrm>
                    <a:prstGeom prst="rect"/>
                  </pic:spPr>
                </pic:pic>
              </a:graphicData>
            </a:graphic>
          </wp:inline>
        </w:drawing>
      </w:r>
    </w:p>
    <w:p>
      <w:pPr>
        <w:spacing w:before="40" w:after="200" w:line="360" w:lineRule="auto"/>
        <w:jc w:val="center"/>
      </w:pPr>
      <w:r>
        <w:rPr>
          <w:rFonts w:ascii="Times New Roman" w:hAnsi="Times New Roman"/>
          <w:b w:val="0"/>
          <w:i/>
          <w:color w:val="0A2D5A"/>
          <w:sz w:val="21"/>
        </w:rPr>
        <w:t>Figure: Surgical Dark Mode Diagnostic Dashboard Displaying Calibrated Probability and Risk Badging</w:t>
      </w:r>
    </w:p>
    <w:p>
      <w:pPr>
        <w:spacing w:before="160" w:after="80"/>
        <w:jc w:val="center"/>
      </w:pPr>
      <w:r>
        <w:drawing>
          <wp:inline xmlns:a="http://schemas.openxmlformats.org/drawingml/2006/main" xmlns:pic="http://schemas.openxmlformats.org/drawingml/2006/picture">
            <wp:extent cx="5120640" cy="2432304"/>
            <wp:docPr id="24" name="Picture 24"/>
            <wp:cNvGraphicFramePr>
              <a:graphicFrameLocks noChangeAspect="1"/>
            </wp:cNvGraphicFramePr>
            <a:graphic>
              <a:graphicData uri="http://schemas.openxmlformats.org/drawingml/2006/picture">
                <pic:pic>
                  <pic:nvPicPr>
                    <pic:cNvPr id="0" name="ui_features.png"/>
                    <pic:cNvPicPr/>
                  </pic:nvPicPr>
                  <pic:blipFill>
                    <a:blip r:embed="rId34"/>
                    <a:stretch>
                      <a:fillRect/>
                    </a:stretch>
                  </pic:blipFill>
                  <pic:spPr>
                    <a:xfrm>
                      <a:off x="0" y="0"/>
                      <a:ext cx="5120640" cy="2432304"/>
                    </a:xfrm>
                    <a:prstGeom prst="rect"/>
                  </pic:spPr>
                </pic:pic>
              </a:graphicData>
            </a:graphic>
          </wp:inline>
        </w:drawing>
      </w:r>
    </w:p>
    <w:p>
      <w:pPr>
        <w:spacing w:before="40" w:after="200" w:line="360" w:lineRule="auto"/>
        <w:jc w:val="center"/>
      </w:pPr>
      <w:r>
        <w:rPr>
          <w:rFonts w:ascii="Times New Roman" w:hAnsi="Times New Roman"/>
          <w:b w:val="0"/>
          <w:i/>
          <w:color w:val="0A2D5A"/>
          <w:sz w:val="21"/>
        </w:rPr>
        <w:t>Figure: Platform Feature Matrix Highlighting Tele-Oncology and Instant PDF Reporting Capabilities</w:t>
      </w:r>
    </w:p>
    <w:p>
      <w:pPr>
        <w:spacing w:before="160" w:after="80"/>
        <w:jc w:val="center"/>
      </w:pPr>
      <w:r>
        <w:drawing>
          <wp:inline xmlns:a="http://schemas.openxmlformats.org/drawingml/2006/main" xmlns:pic="http://schemas.openxmlformats.org/drawingml/2006/picture">
            <wp:extent cx="5120640" cy="2432304"/>
            <wp:docPr id="25" name="Picture 25"/>
            <wp:cNvGraphicFramePr>
              <a:graphicFrameLocks noChangeAspect="1"/>
            </wp:cNvGraphicFramePr>
            <a:graphic>
              <a:graphicData uri="http://schemas.openxmlformats.org/drawingml/2006/picture">
                <pic:pic>
                  <pic:nvPicPr>
                    <pic:cNvPr id="0" name="ui_about_team.png"/>
                    <pic:cNvPicPr/>
                  </pic:nvPicPr>
                  <pic:blipFill>
                    <a:blip r:embed="rId35"/>
                    <a:stretch>
                      <a:fillRect/>
                    </a:stretch>
                  </pic:blipFill>
                  <pic:spPr>
                    <a:xfrm>
                      <a:off x="0" y="0"/>
                      <a:ext cx="5120640" cy="2432304"/>
                    </a:xfrm>
                    <a:prstGeom prst="rect"/>
                  </pic:spPr>
                </pic:pic>
              </a:graphicData>
            </a:graphic>
          </wp:inline>
        </w:drawing>
      </w:r>
    </w:p>
    <w:p>
      <w:pPr>
        <w:spacing w:before="40" w:after="200" w:line="360" w:lineRule="auto"/>
        <w:jc w:val="center"/>
      </w:pPr>
      <w:r>
        <w:rPr>
          <w:rFonts w:ascii="Times New Roman" w:hAnsi="Times New Roman"/>
          <w:b w:val="0"/>
          <w:i/>
          <w:color w:val="0A2D5A"/>
          <w:sz w:val="21"/>
        </w:rPr>
        <w:t>Figure: Academic Investigator Profile and Institutional Project Credits</w:t>
      </w:r>
    </w:p>
    <w:p>
      <w:r>
        <w:br w:type="page"/>
      </w:r>
    </w:p>
    <w:p>
      <w:pPr>
        <w:spacing w:before="360" w:after="360" w:line="360" w:lineRule="auto"/>
        <w:jc w:val="center"/>
      </w:pPr>
      <w:r>
        <w:rPr>
          <w:rFonts w:ascii="Times New Roman" w:hAnsi="Times New Roman"/>
          <w:b/>
          <w:i w:val="0"/>
          <w:color w:val="0A2D5A"/>
          <w:sz w:val="32"/>
        </w:rPr>
        <w:t>CHAPTER 9</w:t>
        <w:br/>
        <w:t>CONCLUSION, APPLICATION AND FUTURE WORK</w:t>
      </w:r>
    </w:p>
    <w:p>
      <w:pPr>
        <w:spacing w:before="280" w:after="120" w:line="360" w:lineRule="auto"/>
        <w:jc w:val="left"/>
      </w:pPr>
      <w:r>
        <w:rPr>
          <w:rFonts w:ascii="Times New Roman" w:hAnsi="Times New Roman"/>
          <w:b/>
          <w:i w:val="0"/>
          <w:color w:val="0F234B"/>
          <w:sz w:val="28"/>
        </w:rPr>
        <w:t>Public Health and Practical Clinical Applications</w:t>
      </w:r>
    </w:p>
    <w:p>
      <w:pPr>
        <w:spacing w:before="40" w:after="120" w:line="360" w:lineRule="auto"/>
        <w:jc w:val="both"/>
      </w:pPr>
      <w:r>
        <w:rPr>
          <w:rFonts w:ascii="Times New Roman" w:hAnsi="Times New Roman"/>
          <w:b w:val="0"/>
          <w:i w:val="0"/>
          <w:sz w:val="24"/>
        </w:rPr>
        <w:t>The engineered</w:t>
      </w:r>
      <w:r>
        <w:rPr>
          <w:rFonts w:ascii="Times New Roman" w:hAnsi="Times New Roman"/>
          <w:b/>
          <w:i w:val="0"/>
          <w:sz w:val="24"/>
        </w:rPr>
        <w:t>Visionary Diagnostics</w:t>
      </w:r>
      <w:r>
        <w:rPr>
          <w:rFonts w:ascii="Times New Roman" w:hAnsi="Times New Roman"/>
          <w:b w:val="0"/>
          <w:i w:val="0"/>
          <w:sz w:val="24"/>
        </w:rPr>
        <w:t>platform addresses acute operational challenges across multiple tiers of healthcare infrastructure:</w:t>
      </w:r>
    </w:p>
    <w:p>
      <w:pPr>
        <w:spacing w:before="40" w:after="80" w:line="312" w:lineRule="auto"/>
        <w:ind w:left="576"/>
      </w:pPr>
      <w:r>
        <w:rPr>
          <w:rFonts w:ascii="Times New Roman" w:hAnsi="Times New Roman"/>
          <w:b/>
          <w:sz w:val="22"/>
        </w:rPr>
        <w:t xml:space="preserve">1. </w:t>
      </w:r>
      <w:r>
        <w:rPr>
          <w:rFonts w:ascii="Times New Roman" w:hAnsi="Times New Roman"/>
          <w:b/>
          <w:i w:val="0"/>
          <w:sz w:val="23"/>
        </w:rPr>
        <w:t>Deployment at Rural Primary Health Centers (PHCs):</w:t>
      </w:r>
      <w:r>
        <w:rPr>
          <w:rFonts w:ascii="Times New Roman" w:hAnsi="Times New Roman"/>
          <w:b w:val="0"/>
          <w:i w:val="0"/>
          <w:sz w:val="23"/>
        </w:rPr>
        <w:t>In rural taluks across Karnataka and greater India, specialized oral pathologists are virtually non-existent. Deploying Visionary Diagnostics on commodity tablet computers enables General Duty Medical Officers and rural dentists to perform preliminary mucosal screening, instantly triaging suspicious lesions and preventing diagnostic delays.</w:t>
      </w:r>
    </w:p>
    <w:p>
      <w:pPr>
        <w:spacing w:before="40" w:after="80" w:line="312" w:lineRule="auto"/>
        <w:ind w:left="576"/>
      </w:pPr>
      <w:r>
        <w:rPr>
          <w:rFonts w:ascii="Times New Roman" w:hAnsi="Times New Roman"/>
          <w:b/>
          <w:sz w:val="22"/>
        </w:rPr>
        <w:t xml:space="preserve">2. </w:t>
      </w:r>
      <w:r>
        <w:rPr>
          <w:rFonts w:ascii="Times New Roman" w:hAnsi="Times New Roman"/>
          <w:b/>
          <w:i w:val="0"/>
          <w:sz w:val="23"/>
        </w:rPr>
        <w:t>Mass Community Oral Screening Camps:</w:t>
      </w:r>
      <w:r>
        <w:rPr>
          <w:rFonts w:ascii="Times New Roman" w:hAnsi="Times New Roman"/>
          <w:b w:val="0"/>
          <w:i w:val="0"/>
          <w:sz w:val="23"/>
        </w:rPr>
        <w:t>Non-governmental organizations (NGOs) and dental outreach teams conducting high-throughput screening camps in tobacco-belt agricultural zones can utilize the platform to screen thousands of participants daily, automatically identifying high-risk individuals for prioritized tertiary referral.</w:t>
      </w:r>
    </w:p>
    <w:p>
      <w:pPr>
        <w:spacing w:before="40" w:after="80" w:line="312" w:lineRule="auto"/>
        <w:ind w:left="576"/>
      </w:pPr>
      <w:r>
        <w:rPr>
          <w:rFonts w:ascii="Times New Roman" w:hAnsi="Times New Roman"/>
          <w:b/>
          <w:sz w:val="22"/>
        </w:rPr>
        <w:t xml:space="preserve">3. </w:t>
      </w:r>
      <w:r>
        <w:rPr>
          <w:rFonts w:ascii="Times New Roman" w:hAnsi="Times New Roman"/>
          <w:b/>
          <w:i w:val="0"/>
          <w:sz w:val="23"/>
        </w:rPr>
        <w:t>Telemedicine Pre-Triage Integration:</w:t>
      </w:r>
      <w:r>
        <w:rPr>
          <w:rFonts w:ascii="Times New Roman" w:hAnsi="Times New Roman"/>
          <w:b w:val="0"/>
          <w:i w:val="0"/>
          <w:sz w:val="23"/>
        </w:rPr>
        <w:t>Integration with state tele-health platforms (e.g., eSanjeevani) enables remote patients to securely submit intraoral clinical photographs, receiving automated image quality validation and calibrated risk tiering before scheduling distant physical hospital visits.</w:t>
      </w:r>
    </w:p>
    <w:p>
      <w:pPr>
        <w:spacing w:before="40" w:after="80" w:line="312" w:lineRule="auto"/>
        <w:ind w:left="576"/>
      </w:pPr>
      <w:r>
        <w:rPr>
          <w:rFonts w:ascii="Times New Roman" w:hAnsi="Times New Roman"/>
          <w:b/>
          <w:sz w:val="22"/>
        </w:rPr>
        <w:t xml:space="preserve">4. </w:t>
      </w:r>
      <w:r>
        <w:rPr>
          <w:rFonts w:ascii="Times New Roman" w:hAnsi="Times New Roman"/>
          <w:b/>
          <w:i w:val="0"/>
          <w:sz w:val="23"/>
        </w:rPr>
        <w:t>Pedagogical Decision Support in Dental Colleges:</w:t>
      </w:r>
      <w:r>
        <w:rPr>
          <w:rFonts w:ascii="Times New Roman" w:hAnsi="Times New Roman"/>
          <w:b w:val="0"/>
          <w:i w:val="0"/>
          <w:sz w:val="23"/>
        </w:rPr>
        <w:t>The system functions as an educational simulation platform in dental academies, assisting undergraduate dental students in recognizing subtle mucosal atypias and understanding the epidemiological weighting of lifestyle risk factors.</w:t>
      </w:r>
    </w:p>
    <w:p>
      <w:pPr>
        <w:spacing w:before="280" w:after="120" w:line="360" w:lineRule="auto"/>
        <w:jc w:val="left"/>
      </w:pPr>
      <w:r>
        <w:rPr>
          <w:rFonts w:ascii="Times New Roman" w:hAnsi="Times New Roman"/>
          <w:b/>
          <w:i w:val="0"/>
          <w:color w:val="0F234B"/>
          <w:sz w:val="28"/>
        </w:rPr>
        <w:t>Systematic Verification of Project Objectives</w:t>
      </w:r>
    </w:p>
    <w:p>
      <w:pPr>
        <w:spacing w:before="40" w:after="120" w:line="360" w:lineRule="auto"/>
        <w:jc w:val="both"/>
      </w:pPr>
      <w:r>
        <w:rPr>
          <w:rFonts w:ascii="Times New Roman" w:hAnsi="Times New Roman"/>
          <w:b w:val="0"/>
          <w:i w:val="0"/>
          <w:sz w:val="24"/>
        </w:rPr>
        <w:t>Table tab:objectives_audit provides a rigorous verification audit confirming the fulfillment of all eight project engineering and clinical objectives established in Chapter 1.</w:t>
      </w:r>
    </w:p>
    <w:p>
      <w:pPr>
        <w:spacing w:before="200" w:after="80" w:line="360" w:lineRule="auto"/>
        <w:jc w:val="center"/>
      </w:pPr>
      <w:r>
        <w:rPr>
          <w:rFonts w:ascii="Times New Roman" w:hAnsi="Times New Roman"/>
          <w:b/>
          <w:i w:val="0"/>
          <w:color w:val="0A2D5A"/>
          <w:sz w:val="22"/>
        </w:rPr>
        <w:t>Table: Systematic Verification Audit of Project Engineering Objectives (O1 to O8)</w:t>
      </w:r>
    </w:p>
    <w:tbl>
      <w:tblPr>
        <w:tblW w:type="auto" w:w="0"/>
        <w:jc w:val="center"/>
        <w:tblLook w:firstColumn="1" w:firstRow="1" w:lastColumn="0" w:lastRow="0" w:noHBand="0" w:noVBand="1" w:val="04A0"/>
      </w:tblPr>
      <w:tblGrid>
        <w:gridCol w:w="1734"/>
        <w:gridCol w:w="1734"/>
        <w:gridCol w:w="1734"/>
        <w:gridCol w:w="1734"/>
        <w:gridCol w:w="1734"/>
      </w:tblGrid>
      <w:tr>
        <w:tc>
          <w:tcPr>
            <w:tcW w:type="dxa" w:w="1734"/>
            <w:tcMar>
              <w:top w:w="80" w:type="dxa"/>
              <w:bottom w:w="80" w:type="dxa"/>
              <w:left w:w="120" w:type="dxa"/>
              <w:right w:w="120" w:type="dxa"/>
            </w:tcMar>
            <w:tcBorders>
              <w:top w:val="single" w:sz="2" w:space="0" w:color="B0B0B0"/>
              <w:left w:val="single" w:sz="1" w:space="0" w:color="D8D8D8"/>
              <w:bottom w:val="single" w:sz="2" w:space="0" w:color="B0B0B0"/>
              <w:right w:val="single" w:sz="1" w:space="0" w:color="D8D8D8"/>
            </w:tcBorders>
            <w:shd w:fill="EBF0F5"/>
          </w:tcPr>
          <w:p>
            <w:pPr>
              <w:jc w:val="center"/>
            </w:pPr>
            <w:r>
              <w:rPr>
                <w:rFonts w:ascii="Times New Roman" w:hAnsi="Times New Roman"/>
                <w:b/>
                <w:sz w:val="21"/>
              </w:rPr>
              <w:t>X c}</w:t>
              <w:br/>
              <w:br/>
              <w:t>\textbf{Obj ID}</w:t>
            </w:r>
          </w:p>
        </w:tc>
        <w:tc>
          <w:tcPr>
            <w:tcW w:type="dxa" w:w="1734"/>
            <w:tcMar>
              <w:top w:w="80" w:type="dxa"/>
              <w:bottom w:w="80" w:type="dxa"/>
              <w:left w:w="120" w:type="dxa"/>
              <w:right w:w="120" w:type="dxa"/>
            </w:tcMar>
            <w:tcBorders>
              <w:top w:val="single" w:sz="2" w:space="0" w:color="B0B0B0"/>
              <w:left w:val="single" w:sz="1" w:space="0" w:color="D8D8D8"/>
              <w:bottom w:val="single" w:sz="2" w:space="0" w:color="B0B0B0"/>
              <w:right w:val="single" w:sz="1" w:space="0" w:color="D8D8D8"/>
            </w:tcBorders>
            <w:shd w:fill="EBF0F5"/>
          </w:tcPr>
          <w:p>
            <w:pPr>
              <w:jc w:val="center"/>
            </w:pPr>
            <w:r>
              <w:rPr>
                <w:rFonts w:ascii="Times New Roman" w:hAnsi="Times New Roman"/>
                <w:b/>
                <w:sz w:val="21"/>
              </w:rPr>
              <w:t>\textbf{Objective Specification}</w:t>
            </w:r>
          </w:p>
        </w:tc>
        <w:tc>
          <w:tcPr>
            <w:tcW w:type="dxa" w:w="1734"/>
            <w:tcMar>
              <w:top w:w="80" w:type="dxa"/>
              <w:bottom w:w="80" w:type="dxa"/>
              <w:left w:w="120" w:type="dxa"/>
              <w:right w:w="120" w:type="dxa"/>
            </w:tcMar>
            <w:tcBorders>
              <w:top w:val="single" w:sz="2" w:space="0" w:color="B0B0B0"/>
              <w:left w:val="single" w:sz="1" w:space="0" w:color="D8D8D8"/>
              <w:bottom w:val="single" w:sz="2" w:space="0" w:color="B0B0B0"/>
              <w:right w:val="single" w:sz="1" w:space="0" w:color="D8D8D8"/>
            </w:tcBorders>
            <w:shd w:fill="EBF0F5"/>
          </w:tcPr>
          <w:p>
            <w:pPr>
              <w:jc w:val="center"/>
            </w:pPr>
            <w:r>
              <w:rPr>
                <w:rFonts w:ascii="Times New Roman" w:hAnsi="Times New Roman"/>
                <w:b/>
                <w:sz w:val="21"/>
              </w:rPr>
              <w:t>\textbf{Empirical Verification Evidence}</w:t>
            </w:r>
          </w:p>
        </w:tc>
        <w:tc>
          <w:tcPr>
            <w:tcW w:type="dxa" w:w="1734"/>
            <w:tcMar>
              <w:top w:w="80" w:type="dxa"/>
              <w:bottom w:w="80" w:type="dxa"/>
              <w:left w:w="120" w:type="dxa"/>
              <w:right w:w="120" w:type="dxa"/>
            </w:tcMar>
            <w:tcBorders>
              <w:top w:val="single" w:sz="2" w:space="0" w:color="B0B0B0"/>
              <w:left w:val="single" w:sz="1" w:space="0" w:color="D8D8D8"/>
              <w:bottom w:val="single" w:sz="2" w:space="0" w:color="B0B0B0"/>
              <w:right w:val="single" w:sz="1" w:space="0" w:color="D8D8D8"/>
            </w:tcBorders>
            <w:shd w:fill="EBF0F5"/>
          </w:tcPr>
          <w:p>
            <w:pPr>
              <w:jc w:val="center"/>
            </w:pPr>
            <w:r>
              <w:rPr>
                <w:rFonts w:ascii="Times New Roman" w:hAnsi="Times New Roman"/>
                <w:b/>
                <w:sz w:val="21"/>
              </w:rPr>
              <w:t>\textbf{Status}</w:t>
            </w:r>
          </w:p>
        </w:tc>
        <w:tc>
          <w:tcPr>
            <w:tcW w:type="dxa" w:w="1734"/>
            <w:tcMar>
              <w:top w:w="80" w:type="dxa"/>
              <w:bottom w:w="80" w:type="dxa"/>
              <w:left w:w="120" w:type="dxa"/>
              <w:right w:w="120" w:type="dxa"/>
            </w:tcMar>
            <w:tcBorders>
              <w:top w:val="single" w:sz="2" w:space="0" w:color="B0B0B0"/>
              <w:left w:val="single" w:sz="1" w:space="0" w:color="D8D8D8"/>
              <w:bottom w:val="single" w:sz="2" w:space="0" w:color="B0B0B0"/>
              <w:right w:val="single" w:sz="1" w:space="0" w:color="D8D8D8"/>
            </w:tcBorders>
            <w:shd w:fill="EBF0F5"/>
          </w:tcPr>
          <w:p>
            <w:pPr>
              <w:jc w:val="center"/>
            </w:pPr>
            <w:r>
              <w:rPr>
                <w:rFonts w:ascii="Times New Roman" w:hAnsi="Times New Roman"/>
                <w:b/>
                <w:sz w:val="21"/>
              </w:rPr>
            </w:r>
          </w:p>
        </w:tc>
      </w:tr>
      <w:tr>
        <w:tc>
          <w:tcPr>
            <w:tcW w:type="dxa" w:w="1734"/>
            <w:tcMar>
              <w:top w:w="80" w:type="dxa"/>
              <w:bottom w:w="80" w:type="dxa"/>
              <w:left w:w="120" w:type="dxa"/>
              <w:right w:w="120" w:type="dxa"/>
            </w:tcMar>
            <w:tcBorders>
              <w:top w:val="single" w:sz="2" w:space="0" w:color="B0B0B0"/>
              <w:left w:val="single" w:sz="1" w:space="0" w:color="D8D8D8"/>
              <w:bottom w:val="single" w:sz="2" w:space="0" w:color="B0B0B0"/>
              <w:right w:val="single" w:sz="1" w:space="0" w:color="D8D8D8"/>
            </w:tcBorders>
          </w:tcPr>
          <w:p>
            <w:pPr>
              <w:jc w:val="left"/>
            </w:pPr>
            <w:r>
              <w:rPr>
                <w:rFonts w:ascii="Times New Roman" w:hAnsi="Times New Roman"/>
                <w:sz w:val="20"/>
              </w:rPr>
              <w:t>O1</w:t>
            </w:r>
          </w:p>
        </w:tc>
        <w:tc>
          <w:tcPr>
            <w:tcW w:type="dxa" w:w="1734"/>
            <w:tcMar>
              <w:top w:w="80" w:type="dxa"/>
              <w:bottom w:w="80" w:type="dxa"/>
              <w:left w:w="120" w:type="dxa"/>
              <w:right w:w="120" w:type="dxa"/>
            </w:tcMar>
            <w:tcBorders>
              <w:top w:val="single" w:sz="2" w:space="0" w:color="B0B0B0"/>
              <w:left w:val="single" w:sz="1" w:space="0" w:color="D8D8D8"/>
              <w:bottom w:val="single" w:sz="2" w:space="0" w:color="B0B0B0"/>
              <w:right w:val="single" w:sz="1" w:space="0" w:color="D8D8D8"/>
            </w:tcBorders>
          </w:tcPr>
          <w:p>
            <w:pPr>
              <w:jc w:val="left"/>
            </w:pPr>
            <w:r>
              <w:rPr>
                <w:rFonts w:ascii="Times New Roman" w:hAnsi="Times New Roman"/>
                <w:sz w:val="20"/>
              </w:rPr>
              <w:t>Multi-Backbone Ensemble (MergedNet)</w:t>
            </w:r>
          </w:p>
        </w:tc>
        <w:tc>
          <w:tcPr>
            <w:tcW w:type="dxa" w:w="1734"/>
            <w:tcMar>
              <w:top w:w="80" w:type="dxa"/>
              <w:bottom w:w="80" w:type="dxa"/>
              <w:left w:w="120" w:type="dxa"/>
              <w:right w:w="120" w:type="dxa"/>
            </w:tcMar>
            <w:tcBorders>
              <w:top w:val="single" w:sz="2" w:space="0" w:color="B0B0B0"/>
              <w:left w:val="single" w:sz="1" w:space="0" w:color="D8D8D8"/>
              <w:bottom w:val="single" w:sz="2" w:space="0" w:color="B0B0B0"/>
              <w:right w:val="single" w:sz="1" w:space="0" w:color="D8D8D8"/>
            </w:tcBorders>
          </w:tcPr>
          <w:p>
            <w:pPr>
              <w:jc w:val="left"/>
            </w:pPr>
            <w:r>
              <w:rPr>
                <w:rFonts w:ascii="Times New Roman" w:hAnsi="Times New Roman"/>
                <w:sz w:val="20"/>
              </w:rPr>
              <w:t>4-backbone architecture achieved 99.92% accuracy, outperforming all single baselines.</w:t>
            </w:r>
          </w:p>
        </w:tc>
        <w:tc>
          <w:tcPr>
            <w:tcW w:type="dxa" w:w="1734"/>
            <w:tcMar>
              <w:top w:w="80" w:type="dxa"/>
              <w:bottom w:w="80" w:type="dxa"/>
              <w:left w:w="120" w:type="dxa"/>
              <w:right w:w="120" w:type="dxa"/>
            </w:tcMar>
            <w:tcBorders>
              <w:top w:val="single" w:sz="2" w:space="0" w:color="B0B0B0"/>
              <w:left w:val="single" w:sz="1" w:space="0" w:color="D8D8D8"/>
              <w:bottom w:val="single" w:sz="2" w:space="0" w:color="B0B0B0"/>
              <w:right w:val="single" w:sz="1" w:space="0" w:color="D8D8D8"/>
            </w:tcBorders>
          </w:tcPr>
          <w:p>
            <w:pPr>
              <w:jc w:val="left"/>
            </w:pPr>
            <w:r>
              <w:rPr>
                <w:rFonts w:ascii="Times New Roman" w:hAnsi="Times New Roman"/>
                <w:sz w:val="20"/>
              </w:rPr>
              <w:t>\textbf{VERIFIED}</w:t>
            </w:r>
          </w:p>
        </w:tc>
        <w:tc>
          <w:tcPr>
            <w:tcW w:type="dxa" w:w="1734"/>
            <w:tcMar>
              <w:top w:w="80" w:type="dxa"/>
              <w:bottom w:w="80" w:type="dxa"/>
              <w:left w:w="120" w:type="dxa"/>
              <w:right w:w="120" w:type="dxa"/>
            </w:tcMar>
            <w:tcBorders>
              <w:top w:val="single" w:sz="2" w:space="0" w:color="B0B0B0"/>
              <w:left w:val="single" w:sz="1" w:space="0" w:color="D8D8D8"/>
              <w:bottom w:val="single" w:sz="2" w:space="0" w:color="B0B0B0"/>
              <w:right w:val="single" w:sz="1" w:space="0" w:color="D8D8D8"/>
            </w:tcBorders>
          </w:tcPr>
          <w:p>
            <w:pPr>
              <w:jc w:val="left"/>
            </w:pPr>
            <w:r>
              <w:rPr>
                <w:rFonts w:ascii="Times New Roman" w:hAnsi="Times New Roman"/>
                <w:sz w:val="20"/>
              </w:rPr>
            </w:r>
          </w:p>
        </w:tc>
      </w:tr>
      <w:tr>
        <w:tc>
          <w:tcPr>
            <w:tcW w:type="dxa" w:w="1734"/>
            <w:tcMar>
              <w:top w:w="80" w:type="dxa"/>
              <w:bottom w:w="80" w:type="dxa"/>
              <w:left w:w="120" w:type="dxa"/>
              <w:right w:w="120" w:type="dxa"/>
            </w:tcMar>
            <w:tcBorders>
              <w:top w:val="single" w:sz="2" w:space="0" w:color="B0B0B0"/>
              <w:left w:val="single" w:sz="1" w:space="0" w:color="D8D8D8"/>
              <w:bottom w:val="single" w:sz="2" w:space="0" w:color="B0B0B0"/>
              <w:right w:val="single" w:sz="1" w:space="0" w:color="D8D8D8"/>
            </w:tcBorders>
          </w:tcPr>
          <w:p>
            <w:pPr>
              <w:jc w:val="left"/>
            </w:pPr>
            <w:r>
              <w:rPr>
                <w:rFonts w:ascii="Times New Roman" w:hAnsi="Times New Roman"/>
                <w:sz w:val="20"/>
              </w:rPr>
              <w:t>O2</w:t>
            </w:r>
          </w:p>
        </w:tc>
        <w:tc>
          <w:tcPr>
            <w:tcW w:type="dxa" w:w="1734"/>
            <w:tcMar>
              <w:top w:w="80" w:type="dxa"/>
              <w:bottom w:w="80" w:type="dxa"/>
              <w:left w:w="120" w:type="dxa"/>
              <w:right w:w="120" w:type="dxa"/>
            </w:tcMar>
            <w:tcBorders>
              <w:top w:val="single" w:sz="2" w:space="0" w:color="B0B0B0"/>
              <w:left w:val="single" w:sz="1" w:space="0" w:color="D8D8D8"/>
              <w:bottom w:val="single" w:sz="2" w:space="0" w:color="B0B0B0"/>
              <w:right w:val="single" w:sz="1" w:space="0" w:color="D8D8D8"/>
            </w:tcBorders>
          </w:tcPr>
          <w:p>
            <w:pPr>
              <w:jc w:val="left"/>
            </w:pPr>
            <w:r>
              <w:rPr>
                <w:rFonts w:ascii="Times New Roman" w:hAnsi="Times New Roman"/>
                <w:sz w:val="20"/>
              </w:rPr>
              <w:t>Bayesian MC Dropout Uncertainty</w:t>
            </w:r>
          </w:p>
        </w:tc>
        <w:tc>
          <w:tcPr>
            <w:tcW w:type="dxa" w:w="1734"/>
            <w:tcMar>
              <w:top w:w="80" w:type="dxa"/>
              <w:bottom w:w="80" w:type="dxa"/>
              <w:left w:w="120" w:type="dxa"/>
              <w:right w:w="120" w:type="dxa"/>
            </w:tcMar>
            <w:tcBorders>
              <w:top w:val="single" w:sz="2" w:space="0" w:color="B0B0B0"/>
              <w:left w:val="single" w:sz="1" w:space="0" w:color="D8D8D8"/>
              <w:bottom w:val="single" w:sz="2" w:space="0" w:color="B0B0B0"/>
              <w:right w:val="single" w:sz="1" w:space="0" w:color="D8D8D8"/>
            </w:tcBorders>
          </w:tcPr>
          <w:p>
            <w:pPr>
              <w:jc w:val="left"/>
            </w:pPr>
            <w:r>
              <w:rPr>
                <w:rFonts w:ascii="Times New Roman" w:hAnsi="Times New Roman"/>
                <w:sz w:val="20"/>
              </w:rPr>
              <w:t>15-pass variational inference flagged all ambiguous cases (σ^2 &gt; 0.015), achieving 100% specificity.</w:t>
            </w:r>
          </w:p>
        </w:tc>
        <w:tc>
          <w:tcPr>
            <w:tcW w:type="dxa" w:w="1734"/>
            <w:tcMar>
              <w:top w:w="80" w:type="dxa"/>
              <w:bottom w:w="80" w:type="dxa"/>
              <w:left w:w="120" w:type="dxa"/>
              <w:right w:w="120" w:type="dxa"/>
            </w:tcMar>
            <w:tcBorders>
              <w:top w:val="single" w:sz="2" w:space="0" w:color="B0B0B0"/>
              <w:left w:val="single" w:sz="1" w:space="0" w:color="D8D8D8"/>
              <w:bottom w:val="single" w:sz="2" w:space="0" w:color="B0B0B0"/>
              <w:right w:val="single" w:sz="1" w:space="0" w:color="D8D8D8"/>
            </w:tcBorders>
          </w:tcPr>
          <w:p>
            <w:pPr>
              <w:jc w:val="left"/>
            </w:pPr>
            <w:r>
              <w:rPr>
                <w:rFonts w:ascii="Times New Roman" w:hAnsi="Times New Roman"/>
                <w:sz w:val="20"/>
              </w:rPr>
              <w:t>\textbf{VERIFIED}</w:t>
            </w:r>
          </w:p>
        </w:tc>
        <w:tc>
          <w:tcPr>
            <w:tcW w:type="dxa" w:w="1734"/>
            <w:tcMar>
              <w:top w:w="80" w:type="dxa"/>
              <w:bottom w:w="80" w:type="dxa"/>
              <w:left w:w="120" w:type="dxa"/>
              <w:right w:w="120" w:type="dxa"/>
            </w:tcMar>
            <w:tcBorders>
              <w:top w:val="single" w:sz="2" w:space="0" w:color="B0B0B0"/>
              <w:left w:val="single" w:sz="1" w:space="0" w:color="D8D8D8"/>
              <w:bottom w:val="single" w:sz="2" w:space="0" w:color="B0B0B0"/>
              <w:right w:val="single" w:sz="1" w:space="0" w:color="D8D8D8"/>
            </w:tcBorders>
          </w:tcPr>
          <w:p>
            <w:pPr>
              <w:jc w:val="left"/>
            </w:pPr>
            <w:r>
              <w:rPr>
                <w:rFonts w:ascii="Times New Roman" w:hAnsi="Times New Roman"/>
                <w:sz w:val="20"/>
              </w:rPr>
            </w:r>
          </w:p>
        </w:tc>
      </w:tr>
      <w:tr>
        <w:tc>
          <w:tcPr>
            <w:tcW w:type="dxa" w:w="1734"/>
            <w:tcMar>
              <w:top w:w="80" w:type="dxa"/>
              <w:bottom w:w="80" w:type="dxa"/>
              <w:left w:w="120" w:type="dxa"/>
              <w:right w:w="120" w:type="dxa"/>
            </w:tcMar>
            <w:tcBorders>
              <w:top w:val="single" w:sz="2" w:space="0" w:color="B0B0B0"/>
              <w:left w:val="single" w:sz="1" w:space="0" w:color="D8D8D8"/>
              <w:bottom w:val="single" w:sz="2" w:space="0" w:color="B0B0B0"/>
              <w:right w:val="single" w:sz="1" w:space="0" w:color="D8D8D8"/>
            </w:tcBorders>
          </w:tcPr>
          <w:p>
            <w:pPr>
              <w:jc w:val="left"/>
            </w:pPr>
            <w:r>
              <w:rPr>
                <w:rFonts w:ascii="Times New Roman" w:hAnsi="Times New Roman"/>
                <w:sz w:val="20"/>
              </w:rPr>
              <w:t>O3</w:t>
            </w:r>
          </w:p>
        </w:tc>
        <w:tc>
          <w:tcPr>
            <w:tcW w:type="dxa" w:w="1734"/>
            <w:tcMar>
              <w:top w:w="80" w:type="dxa"/>
              <w:bottom w:w="80" w:type="dxa"/>
              <w:left w:w="120" w:type="dxa"/>
              <w:right w:w="120" w:type="dxa"/>
            </w:tcMar>
            <w:tcBorders>
              <w:top w:val="single" w:sz="2" w:space="0" w:color="B0B0B0"/>
              <w:left w:val="single" w:sz="1" w:space="0" w:color="D8D8D8"/>
              <w:bottom w:val="single" w:sz="2" w:space="0" w:color="B0B0B0"/>
              <w:right w:val="single" w:sz="1" w:space="0" w:color="D8D8D8"/>
            </w:tcBorders>
          </w:tcPr>
          <w:p>
            <w:pPr>
              <w:jc w:val="left"/>
            </w:pPr>
            <w:r>
              <w:rPr>
                <w:rFonts w:ascii="Times New Roman" w:hAnsi="Times New Roman"/>
                <w:sz w:val="20"/>
              </w:rPr>
              <w:t>Reinhard CIELAB Normalization</w:t>
            </w:r>
          </w:p>
        </w:tc>
        <w:tc>
          <w:tcPr>
            <w:tcW w:type="dxa" w:w="1734"/>
            <w:tcMar>
              <w:top w:w="80" w:type="dxa"/>
              <w:bottom w:w="80" w:type="dxa"/>
              <w:left w:w="120" w:type="dxa"/>
              <w:right w:w="120" w:type="dxa"/>
            </w:tcMar>
            <w:tcBorders>
              <w:top w:val="single" w:sz="2" w:space="0" w:color="B0B0B0"/>
              <w:left w:val="single" w:sz="1" w:space="0" w:color="D8D8D8"/>
              <w:bottom w:val="single" w:sz="2" w:space="0" w:color="B0B0B0"/>
              <w:right w:val="single" w:sz="1" w:space="0" w:color="D8D8D8"/>
            </w:tcBorders>
          </w:tcPr>
          <w:p>
            <w:pPr>
              <w:jc w:val="left"/>
            </w:pPr>
            <w:r>
              <w:rPr>
                <w:rFonts w:ascii="Times New Roman" w:hAnsi="Times New Roman"/>
                <w:sz w:val="20"/>
              </w:rPr>
              <w:t>Optical normalization aligned mucosal colors to standardized distribution (L^*=142.5).</w:t>
            </w:r>
          </w:p>
        </w:tc>
        <w:tc>
          <w:tcPr>
            <w:tcW w:type="dxa" w:w="1734"/>
            <w:tcMar>
              <w:top w:w="80" w:type="dxa"/>
              <w:bottom w:w="80" w:type="dxa"/>
              <w:left w:w="120" w:type="dxa"/>
              <w:right w:w="120" w:type="dxa"/>
            </w:tcMar>
            <w:tcBorders>
              <w:top w:val="single" w:sz="2" w:space="0" w:color="B0B0B0"/>
              <w:left w:val="single" w:sz="1" w:space="0" w:color="D8D8D8"/>
              <w:bottom w:val="single" w:sz="2" w:space="0" w:color="B0B0B0"/>
              <w:right w:val="single" w:sz="1" w:space="0" w:color="D8D8D8"/>
            </w:tcBorders>
          </w:tcPr>
          <w:p>
            <w:pPr>
              <w:jc w:val="left"/>
            </w:pPr>
            <w:r>
              <w:rPr>
                <w:rFonts w:ascii="Times New Roman" w:hAnsi="Times New Roman"/>
                <w:sz w:val="20"/>
              </w:rPr>
              <w:t>\textbf{VERIFIED}</w:t>
            </w:r>
          </w:p>
        </w:tc>
        <w:tc>
          <w:tcPr>
            <w:tcW w:type="dxa" w:w="1734"/>
            <w:tcMar>
              <w:top w:w="80" w:type="dxa"/>
              <w:bottom w:w="80" w:type="dxa"/>
              <w:left w:w="120" w:type="dxa"/>
              <w:right w:w="120" w:type="dxa"/>
            </w:tcMar>
            <w:tcBorders>
              <w:top w:val="single" w:sz="2" w:space="0" w:color="B0B0B0"/>
              <w:left w:val="single" w:sz="1" w:space="0" w:color="D8D8D8"/>
              <w:bottom w:val="single" w:sz="2" w:space="0" w:color="B0B0B0"/>
              <w:right w:val="single" w:sz="1" w:space="0" w:color="D8D8D8"/>
            </w:tcBorders>
          </w:tcPr>
          <w:p>
            <w:pPr>
              <w:jc w:val="left"/>
            </w:pPr>
            <w:r>
              <w:rPr>
                <w:rFonts w:ascii="Times New Roman" w:hAnsi="Times New Roman"/>
                <w:sz w:val="20"/>
              </w:rPr>
            </w:r>
          </w:p>
        </w:tc>
      </w:tr>
      <w:tr>
        <w:tc>
          <w:tcPr>
            <w:tcW w:type="dxa" w:w="1734"/>
            <w:tcMar>
              <w:top w:w="80" w:type="dxa"/>
              <w:bottom w:w="80" w:type="dxa"/>
              <w:left w:w="120" w:type="dxa"/>
              <w:right w:w="120" w:type="dxa"/>
            </w:tcMar>
            <w:tcBorders>
              <w:top w:val="single" w:sz="2" w:space="0" w:color="B0B0B0"/>
              <w:left w:val="single" w:sz="1" w:space="0" w:color="D8D8D8"/>
              <w:bottom w:val="single" w:sz="2" w:space="0" w:color="B0B0B0"/>
              <w:right w:val="single" w:sz="1" w:space="0" w:color="D8D8D8"/>
            </w:tcBorders>
          </w:tcPr>
          <w:p>
            <w:pPr>
              <w:jc w:val="left"/>
            </w:pPr>
            <w:r>
              <w:rPr>
                <w:rFonts w:ascii="Times New Roman" w:hAnsi="Times New Roman"/>
                <w:sz w:val="20"/>
              </w:rPr>
              <w:t>O4</w:t>
            </w:r>
          </w:p>
        </w:tc>
        <w:tc>
          <w:tcPr>
            <w:tcW w:type="dxa" w:w="1734"/>
            <w:tcMar>
              <w:top w:w="80" w:type="dxa"/>
              <w:bottom w:w="80" w:type="dxa"/>
              <w:left w:w="120" w:type="dxa"/>
              <w:right w:w="120" w:type="dxa"/>
            </w:tcMar>
            <w:tcBorders>
              <w:top w:val="single" w:sz="2" w:space="0" w:color="B0B0B0"/>
              <w:left w:val="single" w:sz="1" w:space="0" w:color="D8D8D8"/>
              <w:bottom w:val="single" w:sz="2" w:space="0" w:color="B0B0B0"/>
              <w:right w:val="single" w:sz="1" w:space="0" w:color="D8D8D8"/>
            </w:tcBorders>
          </w:tcPr>
          <w:p>
            <w:pPr>
              <w:jc w:val="left"/>
            </w:pPr>
            <w:r>
              <w:rPr>
                <w:rFonts w:ascii="Times New Roman" w:hAnsi="Times New Roman"/>
                <w:sz w:val="20"/>
              </w:rPr>
              <w:t>8-Pass Test-Time Augmentation</w:t>
            </w:r>
          </w:p>
        </w:tc>
        <w:tc>
          <w:tcPr>
            <w:tcW w:type="dxa" w:w="1734"/>
            <w:tcMar>
              <w:top w:w="80" w:type="dxa"/>
              <w:bottom w:w="80" w:type="dxa"/>
              <w:left w:w="120" w:type="dxa"/>
              <w:right w:w="120" w:type="dxa"/>
            </w:tcMar>
            <w:tcBorders>
              <w:top w:val="single" w:sz="2" w:space="0" w:color="B0B0B0"/>
              <w:left w:val="single" w:sz="1" w:space="0" w:color="D8D8D8"/>
              <w:bottom w:val="single" w:sz="2" w:space="0" w:color="B0B0B0"/>
              <w:right w:val="single" w:sz="1" w:space="0" w:color="D8D8D8"/>
            </w:tcBorders>
          </w:tcPr>
          <w:p>
            <w:pPr>
              <w:jc w:val="left"/>
            </w:pPr>
            <w:r>
              <w:rPr>
                <w:rFonts w:ascii="Times New Roman" w:hAnsi="Times New Roman"/>
                <w:sz w:val="20"/>
              </w:rPr>
              <w:t>TTA engine eliminated rotational and perspective bias under optical perturbation testing.</w:t>
            </w:r>
          </w:p>
        </w:tc>
        <w:tc>
          <w:tcPr>
            <w:tcW w:type="dxa" w:w="1734"/>
            <w:tcMar>
              <w:top w:w="80" w:type="dxa"/>
              <w:bottom w:w="80" w:type="dxa"/>
              <w:left w:w="120" w:type="dxa"/>
              <w:right w:w="120" w:type="dxa"/>
            </w:tcMar>
            <w:tcBorders>
              <w:top w:val="single" w:sz="2" w:space="0" w:color="B0B0B0"/>
              <w:left w:val="single" w:sz="1" w:space="0" w:color="D8D8D8"/>
              <w:bottom w:val="single" w:sz="2" w:space="0" w:color="B0B0B0"/>
              <w:right w:val="single" w:sz="1" w:space="0" w:color="D8D8D8"/>
            </w:tcBorders>
          </w:tcPr>
          <w:p>
            <w:pPr>
              <w:jc w:val="left"/>
            </w:pPr>
            <w:r>
              <w:rPr>
                <w:rFonts w:ascii="Times New Roman" w:hAnsi="Times New Roman"/>
                <w:sz w:val="20"/>
              </w:rPr>
              <w:t>\textbf{VERIFIED}</w:t>
            </w:r>
          </w:p>
        </w:tc>
        <w:tc>
          <w:tcPr>
            <w:tcW w:type="dxa" w:w="1734"/>
            <w:tcMar>
              <w:top w:w="80" w:type="dxa"/>
              <w:bottom w:w="80" w:type="dxa"/>
              <w:left w:w="120" w:type="dxa"/>
              <w:right w:w="120" w:type="dxa"/>
            </w:tcMar>
            <w:tcBorders>
              <w:top w:val="single" w:sz="2" w:space="0" w:color="B0B0B0"/>
              <w:left w:val="single" w:sz="1" w:space="0" w:color="D8D8D8"/>
              <w:bottom w:val="single" w:sz="2" w:space="0" w:color="B0B0B0"/>
              <w:right w:val="single" w:sz="1" w:space="0" w:color="D8D8D8"/>
            </w:tcBorders>
          </w:tcPr>
          <w:p>
            <w:pPr>
              <w:jc w:val="left"/>
            </w:pPr>
            <w:r>
              <w:rPr>
                <w:rFonts w:ascii="Times New Roman" w:hAnsi="Times New Roman"/>
                <w:sz w:val="20"/>
              </w:rPr>
            </w:r>
          </w:p>
        </w:tc>
      </w:tr>
      <w:tr>
        <w:tc>
          <w:tcPr>
            <w:tcW w:type="dxa" w:w="1734"/>
            <w:tcMar>
              <w:top w:w="80" w:type="dxa"/>
              <w:bottom w:w="80" w:type="dxa"/>
              <w:left w:w="120" w:type="dxa"/>
              <w:right w:w="120" w:type="dxa"/>
            </w:tcMar>
            <w:tcBorders>
              <w:top w:val="single" w:sz="2" w:space="0" w:color="B0B0B0"/>
              <w:left w:val="single" w:sz="1" w:space="0" w:color="D8D8D8"/>
              <w:bottom w:val="single" w:sz="2" w:space="0" w:color="B0B0B0"/>
              <w:right w:val="single" w:sz="1" w:space="0" w:color="D8D8D8"/>
            </w:tcBorders>
          </w:tcPr>
          <w:p>
            <w:pPr>
              <w:jc w:val="left"/>
            </w:pPr>
            <w:r>
              <w:rPr>
                <w:rFonts w:ascii="Times New Roman" w:hAnsi="Times New Roman"/>
                <w:sz w:val="20"/>
              </w:rPr>
              <w:t>O5</w:t>
            </w:r>
          </w:p>
        </w:tc>
        <w:tc>
          <w:tcPr>
            <w:tcW w:type="dxa" w:w="1734"/>
            <w:tcMar>
              <w:top w:w="80" w:type="dxa"/>
              <w:bottom w:w="80" w:type="dxa"/>
              <w:left w:w="120" w:type="dxa"/>
              <w:right w:w="120" w:type="dxa"/>
            </w:tcMar>
            <w:tcBorders>
              <w:top w:val="single" w:sz="2" w:space="0" w:color="B0B0B0"/>
              <w:left w:val="single" w:sz="1" w:space="0" w:color="D8D8D8"/>
              <w:bottom w:val="single" w:sz="2" w:space="0" w:color="B0B0B0"/>
              <w:right w:val="single" w:sz="1" w:space="0" w:color="D8D8D8"/>
            </w:tcBorders>
          </w:tcPr>
          <w:p>
            <w:pPr>
              <w:jc w:val="left"/>
            </w:pPr>
            <w:r>
              <w:rPr>
                <w:rFonts w:ascii="Times New Roman" w:hAnsi="Times New Roman"/>
                <w:sz w:val="20"/>
              </w:rPr>
              <w:t>Multimodal Clinical Risk Prior</w:t>
            </w:r>
          </w:p>
        </w:tc>
        <w:tc>
          <w:tcPr>
            <w:tcW w:type="dxa" w:w="1734"/>
            <w:tcMar>
              <w:top w:w="80" w:type="dxa"/>
              <w:bottom w:w="80" w:type="dxa"/>
              <w:left w:w="120" w:type="dxa"/>
              <w:right w:w="120" w:type="dxa"/>
            </w:tcMar>
            <w:tcBorders>
              <w:top w:val="single" w:sz="2" w:space="0" w:color="B0B0B0"/>
              <w:left w:val="single" w:sz="1" w:space="0" w:color="D8D8D8"/>
              <w:bottom w:val="single" w:sz="2" w:space="0" w:color="B0B0B0"/>
              <w:right w:val="single" w:sz="1" w:space="0" w:color="D8D8D8"/>
            </w:tcBorders>
          </w:tcPr>
          <w:p>
            <w:pPr>
              <w:jc w:val="left"/>
            </w:pPr>
            <w:r>
              <w:rPr>
                <w:rFonts w:ascii="Times New Roman" w:hAnsi="Times New Roman"/>
                <w:sz w:val="20"/>
              </w:rPr>
              <w:t>Cross-attention MLP fused tobacco, areca, alcohol, and age priors into calibrated Bayesian prior.</w:t>
            </w:r>
          </w:p>
        </w:tc>
        <w:tc>
          <w:tcPr>
            <w:tcW w:type="dxa" w:w="1734"/>
            <w:tcMar>
              <w:top w:w="80" w:type="dxa"/>
              <w:bottom w:w="80" w:type="dxa"/>
              <w:left w:w="120" w:type="dxa"/>
              <w:right w:w="120" w:type="dxa"/>
            </w:tcMar>
            <w:tcBorders>
              <w:top w:val="single" w:sz="2" w:space="0" w:color="B0B0B0"/>
              <w:left w:val="single" w:sz="1" w:space="0" w:color="D8D8D8"/>
              <w:bottom w:val="single" w:sz="2" w:space="0" w:color="B0B0B0"/>
              <w:right w:val="single" w:sz="1" w:space="0" w:color="D8D8D8"/>
            </w:tcBorders>
          </w:tcPr>
          <w:p>
            <w:pPr>
              <w:jc w:val="left"/>
            </w:pPr>
            <w:r>
              <w:rPr>
                <w:rFonts w:ascii="Times New Roman" w:hAnsi="Times New Roman"/>
                <w:sz w:val="20"/>
              </w:rPr>
              <w:t>\textbf{VERIFIED}</w:t>
            </w:r>
          </w:p>
        </w:tc>
        <w:tc>
          <w:tcPr>
            <w:tcW w:type="dxa" w:w="1734"/>
            <w:tcMar>
              <w:top w:w="80" w:type="dxa"/>
              <w:bottom w:w="80" w:type="dxa"/>
              <w:left w:w="120" w:type="dxa"/>
              <w:right w:w="120" w:type="dxa"/>
            </w:tcMar>
            <w:tcBorders>
              <w:top w:val="single" w:sz="2" w:space="0" w:color="B0B0B0"/>
              <w:left w:val="single" w:sz="1" w:space="0" w:color="D8D8D8"/>
              <w:bottom w:val="single" w:sz="2" w:space="0" w:color="B0B0B0"/>
              <w:right w:val="single" w:sz="1" w:space="0" w:color="D8D8D8"/>
            </w:tcBorders>
          </w:tcPr>
          <w:p>
            <w:pPr>
              <w:jc w:val="left"/>
            </w:pPr>
            <w:r>
              <w:rPr>
                <w:rFonts w:ascii="Times New Roman" w:hAnsi="Times New Roman"/>
                <w:sz w:val="20"/>
              </w:rPr>
            </w:r>
          </w:p>
        </w:tc>
      </w:tr>
      <w:tr>
        <w:tc>
          <w:tcPr>
            <w:tcW w:type="dxa" w:w="1734"/>
            <w:tcMar>
              <w:top w:w="80" w:type="dxa"/>
              <w:bottom w:w="80" w:type="dxa"/>
              <w:left w:w="120" w:type="dxa"/>
              <w:right w:w="120" w:type="dxa"/>
            </w:tcMar>
            <w:tcBorders>
              <w:top w:val="single" w:sz="2" w:space="0" w:color="B0B0B0"/>
              <w:left w:val="single" w:sz="1" w:space="0" w:color="D8D8D8"/>
              <w:bottom w:val="single" w:sz="2" w:space="0" w:color="B0B0B0"/>
              <w:right w:val="single" w:sz="1" w:space="0" w:color="D8D8D8"/>
            </w:tcBorders>
          </w:tcPr>
          <w:p>
            <w:pPr>
              <w:jc w:val="left"/>
            </w:pPr>
            <w:r>
              <w:rPr>
                <w:rFonts w:ascii="Times New Roman" w:hAnsi="Times New Roman"/>
                <w:sz w:val="20"/>
              </w:rPr>
              <w:t>O6</w:t>
            </w:r>
          </w:p>
        </w:tc>
        <w:tc>
          <w:tcPr>
            <w:tcW w:type="dxa" w:w="1734"/>
            <w:tcMar>
              <w:top w:w="80" w:type="dxa"/>
              <w:bottom w:w="80" w:type="dxa"/>
              <w:left w:w="120" w:type="dxa"/>
              <w:right w:w="120" w:type="dxa"/>
            </w:tcMar>
            <w:tcBorders>
              <w:top w:val="single" w:sz="2" w:space="0" w:color="B0B0B0"/>
              <w:left w:val="single" w:sz="1" w:space="0" w:color="D8D8D8"/>
              <w:bottom w:val="single" w:sz="2" w:space="0" w:color="B0B0B0"/>
              <w:right w:val="single" w:sz="1" w:space="0" w:color="D8D8D8"/>
            </w:tcBorders>
          </w:tcPr>
          <w:p>
            <w:pPr>
              <w:jc w:val="left"/>
            </w:pPr>
            <w:r>
              <w:rPr>
                <w:rFonts w:ascii="Times New Roman" w:hAnsi="Times New Roman"/>
                <w:sz w:val="20"/>
              </w:rPr>
              <w:t>Laplacian Quality Gating Filter</w:t>
            </w:r>
          </w:p>
        </w:tc>
        <w:tc>
          <w:tcPr>
            <w:tcW w:type="dxa" w:w="1734"/>
            <w:tcMar>
              <w:top w:w="80" w:type="dxa"/>
              <w:bottom w:w="80" w:type="dxa"/>
              <w:left w:w="120" w:type="dxa"/>
              <w:right w:w="120" w:type="dxa"/>
            </w:tcMar>
            <w:tcBorders>
              <w:top w:val="single" w:sz="2" w:space="0" w:color="B0B0B0"/>
              <w:left w:val="single" w:sz="1" w:space="0" w:color="D8D8D8"/>
              <w:bottom w:val="single" w:sz="2" w:space="0" w:color="B0B0B0"/>
              <w:right w:val="single" w:sz="1" w:space="0" w:color="D8D8D8"/>
            </w:tcBorders>
          </w:tcPr>
          <w:p>
            <w:pPr>
              <w:jc w:val="left"/>
            </w:pPr>
            <w:r>
              <w:rPr>
                <w:rFonts w:ascii="Times New Roman" w:hAnsi="Times New Roman"/>
                <w:sz w:val="20"/>
              </w:rPr>
              <w:t>Sharpness filter automatically rejected blurry photographs (\text{Score} &lt; 50.0).</w:t>
            </w:r>
          </w:p>
        </w:tc>
        <w:tc>
          <w:tcPr>
            <w:tcW w:type="dxa" w:w="1734"/>
            <w:tcMar>
              <w:top w:w="80" w:type="dxa"/>
              <w:bottom w:w="80" w:type="dxa"/>
              <w:left w:w="120" w:type="dxa"/>
              <w:right w:w="120" w:type="dxa"/>
            </w:tcMar>
            <w:tcBorders>
              <w:top w:val="single" w:sz="2" w:space="0" w:color="B0B0B0"/>
              <w:left w:val="single" w:sz="1" w:space="0" w:color="D8D8D8"/>
              <w:bottom w:val="single" w:sz="2" w:space="0" w:color="B0B0B0"/>
              <w:right w:val="single" w:sz="1" w:space="0" w:color="D8D8D8"/>
            </w:tcBorders>
          </w:tcPr>
          <w:p>
            <w:pPr>
              <w:jc w:val="left"/>
            </w:pPr>
            <w:r>
              <w:rPr>
                <w:rFonts w:ascii="Times New Roman" w:hAnsi="Times New Roman"/>
                <w:sz w:val="20"/>
              </w:rPr>
              <w:t>\textbf{VERIFIED}</w:t>
            </w:r>
          </w:p>
        </w:tc>
        <w:tc>
          <w:tcPr>
            <w:tcW w:type="dxa" w:w="1734"/>
            <w:tcMar>
              <w:top w:w="80" w:type="dxa"/>
              <w:bottom w:w="80" w:type="dxa"/>
              <w:left w:w="120" w:type="dxa"/>
              <w:right w:w="120" w:type="dxa"/>
            </w:tcMar>
            <w:tcBorders>
              <w:top w:val="single" w:sz="2" w:space="0" w:color="B0B0B0"/>
              <w:left w:val="single" w:sz="1" w:space="0" w:color="D8D8D8"/>
              <w:bottom w:val="single" w:sz="2" w:space="0" w:color="B0B0B0"/>
              <w:right w:val="single" w:sz="1" w:space="0" w:color="D8D8D8"/>
            </w:tcBorders>
          </w:tcPr>
          <w:p>
            <w:pPr>
              <w:jc w:val="left"/>
            </w:pPr>
            <w:r>
              <w:rPr>
                <w:rFonts w:ascii="Times New Roman" w:hAnsi="Times New Roman"/>
                <w:sz w:val="20"/>
              </w:rPr>
            </w:r>
          </w:p>
        </w:tc>
      </w:tr>
      <w:tr>
        <w:tc>
          <w:tcPr>
            <w:tcW w:type="dxa" w:w="1734"/>
            <w:tcMar>
              <w:top w:w="80" w:type="dxa"/>
              <w:bottom w:w="80" w:type="dxa"/>
              <w:left w:w="120" w:type="dxa"/>
              <w:right w:w="120" w:type="dxa"/>
            </w:tcMar>
            <w:tcBorders>
              <w:top w:val="single" w:sz="2" w:space="0" w:color="B0B0B0"/>
              <w:left w:val="single" w:sz="1" w:space="0" w:color="D8D8D8"/>
              <w:bottom w:val="single" w:sz="2" w:space="0" w:color="B0B0B0"/>
              <w:right w:val="single" w:sz="1" w:space="0" w:color="D8D8D8"/>
            </w:tcBorders>
          </w:tcPr>
          <w:p>
            <w:pPr>
              <w:jc w:val="left"/>
            </w:pPr>
            <w:r>
              <w:rPr>
                <w:rFonts w:ascii="Times New Roman" w:hAnsi="Times New Roman"/>
                <w:sz w:val="20"/>
              </w:rPr>
              <w:t>O7</w:t>
            </w:r>
          </w:p>
        </w:tc>
        <w:tc>
          <w:tcPr>
            <w:tcW w:type="dxa" w:w="1734"/>
            <w:tcMar>
              <w:top w:w="80" w:type="dxa"/>
              <w:bottom w:w="80" w:type="dxa"/>
              <w:left w:w="120" w:type="dxa"/>
              <w:right w:w="120" w:type="dxa"/>
            </w:tcMar>
            <w:tcBorders>
              <w:top w:val="single" w:sz="2" w:space="0" w:color="B0B0B0"/>
              <w:left w:val="single" w:sz="1" w:space="0" w:color="D8D8D8"/>
              <w:bottom w:val="single" w:sz="2" w:space="0" w:color="B0B0B0"/>
              <w:right w:val="single" w:sz="1" w:space="0" w:color="D8D8D8"/>
            </w:tcBorders>
          </w:tcPr>
          <w:p>
            <w:pPr>
              <w:jc w:val="left"/>
            </w:pPr>
            <w:r>
              <w:rPr>
                <w:rFonts w:ascii="Times New Roman" w:hAnsi="Times New Roman"/>
                <w:sz w:val="20"/>
              </w:rPr>
              <w:t>Explainable AI Grad-CAM++</w:t>
            </w:r>
          </w:p>
        </w:tc>
        <w:tc>
          <w:tcPr>
            <w:tcW w:type="dxa" w:w="1734"/>
            <w:tcMar>
              <w:top w:w="80" w:type="dxa"/>
              <w:bottom w:w="80" w:type="dxa"/>
              <w:left w:w="120" w:type="dxa"/>
              <w:right w:w="120" w:type="dxa"/>
            </w:tcMar>
            <w:tcBorders>
              <w:top w:val="single" w:sz="2" w:space="0" w:color="B0B0B0"/>
              <w:left w:val="single" w:sz="1" w:space="0" w:color="D8D8D8"/>
              <w:bottom w:val="single" w:sz="2" w:space="0" w:color="B0B0B0"/>
              <w:right w:val="single" w:sz="1" w:space="0" w:color="D8D8D8"/>
            </w:tcBorders>
          </w:tcPr>
          <w:p>
            <w:pPr>
              <w:jc w:val="left"/>
            </w:pPr>
            <w:r>
              <w:rPr>
                <w:rFonts w:ascii="Times New Roman" w:hAnsi="Times New Roman"/>
                <w:sz w:val="20"/>
              </w:rPr>
              <w:t>Saliency heatmaps demonstrated 0.842 IoU concordance with expert oral pathologists.</w:t>
            </w:r>
          </w:p>
        </w:tc>
        <w:tc>
          <w:tcPr>
            <w:tcW w:type="dxa" w:w="1734"/>
            <w:tcMar>
              <w:top w:w="80" w:type="dxa"/>
              <w:bottom w:w="80" w:type="dxa"/>
              <w:left w:w="120" w:type="dxa"/>
              <w:right w:w="120" w:type="dxa"/>
            </w:tcMar>
            <w:tcBorders>
              <w:top w:val="single" w:sz="2" w:space="0" w:color="B0B0B0"/>
              <w:left w:val="single" w:sz="1" w:space="0" w:color="D8D8D8"/>
              <w:bottom w:val="single" w:sz="2" w:space="0" w:color="B0B0B0"/>
              <w:right w:val="single" w:sz="1" w:space="0" w:color="D8D8D8"/>
            </w:tcBorders>
          </w:tcPr>
          <w:p>
            <w:pPr>
              <w:jc w:val="left"/>
            </w:pPr>
            <w:r>
              <w:rPr>
                <w:rFonts w:ascii="Times New Roman" w:hAnsi="Times New Roman"/>
                <w:sz w:val="20"/>
              </w:rPr>
              <w:t>\textbf{VERIFIED}</w:t>
            </w:r>
          </w:p>
        </w:tc>
        <w:tc>
          <w:tcPr>
            <w:tcW w:type="dxa" w:w="1734"/>
            <w:tcMar>
              <w:top w:w="80" w:type="dxa"/>
              <w:bottom w:w="80" w:type="dxa"/>
              <w:left w:w="120" w:type="dxa"/>
              <w:right w:w="120" w:type="dxa"/>
            </w:tcMar>
            <w:tcBorders>
              <w:top w:val="single" w:sz="2" w:space="0" w:color="B0B0B0"/>
              <w:left w:val="single" w:sz="1" w:space="0" w:color="D8D8D8"/>
              <w:bottom w:val="single" w:sz="2" w:space="0" w:color="B0B0B0"/>
              <w:right w:val="single" w:sz="1" w:space="0" w:color="D8D8D8"/>
            </w:tcBorders>
          </w:tcPr>
          <w:p>
            <w:pPr>
              <w:jc w:val="left"/>
            </w:pPr>
            <w:r>
              <w:rPr>
                <w:rFonts w:ascii="Times New Roman" w:hAnsi="Times New Roman"/>
                <w:sz w:val="20"/>
              </w:rPr>
            </w:r>
          </w:p>
        </w:tc>
      </w:tr>
      <w:tr>
        <w:tc>
          <w:tcPr>
            <w:tcW w:type="dxa" w:w="1734"/>
            <w:tcMar>
              <w:top w:w="80" w:type="dxa"/>
              <w:bottom w:w="80" w:type="dxa"/>
              <w:left w:w="120" w:type="dxa"/>
              <w:right w:w="120" w:type="dxa"/>
            </w:tcMar>
            <w:tcBorders>
              <w:top w:val="single" w:sz="2" w:space="0" w:color="B0B0B0"/>
              <w:left w:val="single" w:sz="1" w:space="0" w:color="D8D8D8"/>
              <w:bottom w:val="single" w:sz="2" w:space="0" w:color="B0B0B0"/>
              <w:right w:val="single" w:sz="1" w:space="0" w:color="D8D8D8"/>
            </w:tcBorders>
          </w:tcPr>
          <w:p>
            <w:pPr>
              <w:jc w:val="left"/>
            </w:pPr>
            <w:r>
              <w:rPr>
                <w:rFonts w:ascii="Times New Roman" w:hAnsi="Times New Roman"/>
                <w:sz w:val="20"/>
              </w:rPr>
              <w:t>O8</w:t>
            </w:r>
          </w:p>
        </w:tc>
        <w:tc>
          <w:tcPr>
            <w:tcW w:type="dxa" w:w="1734"/>
            <w:tcMar>
              <w:top w:w="80" w:type="dxa"/>
              <w:bottom w:w="80" w:type="dxa"/>
              <w:left w:w="120" w:type="dxa"/>
              <w:right w:w="120" w:type="dxa"/>
            </w:tcMar>
            <w:tcBorders>
              <w:top w:val="single" w:sz="2" w:space="0" w:color="B0B0B0"/>
              <w:left w:val="single" w:sz="1" w:space="0" w:color="D8D8D8"/>
              <w:bottom w:val="single" w:sz="2" w:space="0" w:color="B0B0B0"/>
              <w:right w:val="single" w:sz="1" w:space="0" w:color="D8D8D8"/>
            </w:tcBorders>
          </w:tcPr>
          <w:p>
            <w:pPr>
              <w:jc w:val="left"/>
            </w:pPr>
            <w:r>
              <w:rPr>
                <w:rFonts w:ascii="Times New Roman" w:hAnsi="Times New Roman"/>
                <w:sz w:val="20"/>
              </w:rPr>
              <w:t>Production Hardening \</w:t>
            </w:r>
          </w:p>
        </w:tc>
        <w:tc>
          <w:tcPr>
            <w:tcW w:type="dxa" w:w="1734"/>
            <w:tcMar>
              <w:top w:w="80" w:type="dxa"/>
              <w:bottom w:w="80" w:type="dxa"/>
              <w:left w:w="120" w:type="dxa"/>
              <w:right w:w="120" w:type="dxa"/>
            </w:tcMar>
            <w:tcBorders>
              <w:top w:val="single" w:sz="2" w:space="0" w:color="B0B0B0"/>
              <w:left w:val="single" w:sz="1" w:space="0" w:color="D8D8D8"/>
              <w:bottom w:val="single" w:sz="2" w:space="0" w:color="B0B0B0"/>
              <w:right w:val="single" w:sz="1" w:space="0" w:color="D8D8D8"/>
            </w:tcBorders>
          </w:tcPr>
          <w:p>
            <w:pPr>
              <w:jc w:val="left"/>
            </w:pPr>
            <w:r>
              <w:rPr>
                <w:rFonts w:ascii="Times New Roman" w:hAnsi="Times New Roman"/>
                <w:sz w:val="20"/>
              </w:rPr>
              <w:t>ONNX INT8</w:t>
            </w:r>
          </w:p>
        </w:tc>
        <w:tc>
          <w:tcPr>
            <w:tcW w:type="dxa" w:w="1734"/>
            <w:tcMar>
              <w:top w:w="80" w:type="dxa"/>
              <w:bottom w:w="80" w:type="dxa"/>
              <w:left w:w="120" w:type="dxa"/>
              <w:right w:w="120" w:type="dxa"/>
            </w:tcMar>
            <w:tcBorders>
              <w:top w:val="single" w:sz="2" w:space="0" w:color="B0B0B0"/>
              <w:left w:val="single" w:sz="1" w:space="0" w:color="D8D8D8"/>
              <w:bottom w:val="single" w:sz="2" w:space="0" w:color="B0B0B0"/>
              <w:right w:val="single" w:sz="1" w:space="0" w:color="D8D8D8"/>
            </w:tcBorders>
          </w:tcPr>
          <w:p>
            <w:pPr>
              <w:jc w:val="left"/>
            </w:pPr>
            <w:r>
              <w:rPr>
                <w:rFonts w:ascii="Times New Roman" w:hAnsi="Times New Roman"/>
                <w:sz w:val="20"/>
              </w:rPr>
              <w:t>NIST PBKDF2 hashing, JWT, FHIR R4 export, and 112.5 ms INT8 inference achieved.</w:t>
            </w:r>
          </w:p>
        </w:tc>
        <w:tc>
          <w:tcPr>
            <w:tcW w:type="dxa" w:w="1734"/>
            <w:tcMar>
              <w:top w:w="80" w:type="dxa"/>
              <w:bottom w:w="80" w:type="dxa"/>
              <w:left w:w="120" w:type="dxa"/>
              <w:right w:w="120" w:type="dxa"/>
            </w:tcMar>
            <w:tcBorders>
              <w:top w:val="single" w:sz="2" w:space="0" w:color="B0B0B0"/>
              <w:left w:val="single" w:sz="1" w:space="0" w:color="D8D8D8"/>
              <w:bottom w:val="single" w:sz="2" w:space="0" w:color="B0B0B0"/>
              <w:right w:val="single" w:sz="1" w:space="0" w:color="D8D8D8"/>
            </w:tcBorders>
          </w:tcPr>
          <w:p>
            <w:pPr>
              <w:jc w:val="left"/>
            </w:pPr>
            <w:r>
              <w:rPr>
                <w:rFonts w:ascii="Times New Roman" w:hAnsi="Times New Roman"/>
                <w:sz w:val="20"/>
              </w:rPr>
              <w:t>\textbf{VERIFIED}</w:t>
            </w:r>
          </w:p>
        </w:tc>
      </w:tr>
    </w:tbl>
    <w:p>
      <w:pPr>
        <w:spacing w:before="80" w:after="160" w:line="360" w:lineRule="auto"/>
        <w:jc w:val="both"/>
      </w:pPr>
    </w:p>
    <w:p>
      <w:pPr>
        <w:spacing w:before="280" w:after="120" w:line="360" w:lineRule="auto"/>
        <w:jc w:val="left"/>
      </w:pPr>
      <w:r>
        <w:rPr>
          <w:rFonts w:ascii="Times New Roman" w:hAnsi="Times New Roman"/>
          <w:b/>
          <w:i w:val="0"/>
          <w:color w:val="0F234B"/>
          <w:sz w:val="28"/>
        </w:rPr>
        <w:t>Technical Limitations and Boundary Conditions</w:t>
      </w:r>
    </w:p>
    <w:p>
      <w:pPr>
        <w:spacing w:before="40" w:after="120" w:line="360" w:lineRule="auto"/>
        <w:jc w:val="both"/>
      </w:pPr>
      <w:r>
        <w:rPr>
          <w:rFonts w:ascii="Times New Roman" w:hAnsi="Times New Roman"/>
          <w:b w:val="0"/>
          <w:i w:val="0"/>
          <w:sz w:val="24"/>
        </w:rPr>
        <w:t>While Visionary Diagnostics represents a significant leap forward in computer-aided triage, several boundary conditions must be acknowledged:</w:t>
      </w:r>
    </w:p>
    <w:p>
      <w:pPr>
        <w:spacing w:before="40" w:after="80" w:line="312" w:lineRule="auto"/>
        <w:ind w:left="576"/>
      </w:pPr>
      <w:r>
        <w:rPr>
          <w:rFonts w:ascii="Times New Roman" w:hAnsi="Times New Roman"/>
          <w:b/>
          <w:sz w:val="22"/>
        </w:rPr>
        <w:t xml:space="preserve">•   </w:t>
      </w:r>
      <w:r>
        <w:rPr>
          <w:rFonts w:ascii="Times New Roman" w:hAnsi="Times New Roman"/>
          <w:b/>
          <w:i w:val="0"/>
          <w:sz w:val="23"/>
        </w:rPr>
        <w:t>Binary Classification Boundary:</w:t>
      </w:r>
      <w:r>
        <w:rPr>
          <w:rFonts w:ascii="Times New Roman" w:hAnsi="Times New Roman"/>
          <w:b w:val="0"/>
          <w:i w:val="0"/>
          <w:sz w:val="23"/>
        </w:rPr>
        <w:t>The current production model operates as a binary classifier (Cancer vs. Non-Cancer). While clinically vital, real-world mucosal lesions span a spectrum from benign reactive ulcers to intermediate dysplasia (OPMDs).</w:t>
      </w:r>
    </w:p>
    <w:p>
      <w:pPr>
        <w:spacing w:before="40" w:after="80" w:line="312" w:lineRule="auto"/>
        <w:ind w:left="576"/>
      </w:pPr>
      <w:r>
        <w:rPr>
          <w:rFonts w:ascii="Times New Roman" w:hAnsi="Times New Roman"/>
          <w:b/>
          <w:sz w:val="22"/>
        </w:rPr>
        <w:t xml:space="preserve">•   </w:t>
      </w:r>
      <w:r>
        <w:rPr>
          <w:rFonts w:ascii="Times New Roman" w:hAnsi="Times New Roman"/>
          <w:b/>
          <w:i w:val="0"/>
          <w:sz w:val="23"/>
        </w:rPr>
        <w:t>Intraoral Lighting Dependencies:</w:t>
      </w:r>
      <w:r>
        <w:rPr>
          <w:rFonts w:ascii="Times New Roman" w:hAnsi="Times New Roman"/>
          <w:b w:val="0"/>
          <w:i w:val="0"/>
          <w:sz w:val="23"/>
        </w:rPr>
        <w:t>While Reinhard normalization compensates for chromatic shifts, severe intraoral shadowing and camera underexposure can diminish textural visibility.</w:t>
      </w:r>
    </w:p>
    <w:p>
      <w:pPr>
        <w:spacing w:before="40" w:after="80" w:line="312" w:lineRule="auto"/>
        <w:ind w:left="576"/>
      </w:pPr>
      <w:r>
        <w:rPr>
          <w:rFonts w:ascii="Times New Roman" w:hAnsi="Times New Roman"/>
          <w:b/>
          <w:sz w:val="22"/>
        </w:rPr>
        <w:t xml:space="preserve">•   </w:t>
      </w:r>
      <w:r>
        <w:rPr>
          <w:rFonts w:ascii="Times New Roman" w:hAnsi="Times New Roman"/>
          <w:b/>
          <w:i w:val="0"/>
          <w:sz w:val="23"/>
        </w:rPr>
        <w:t>Screening Tool Demarcation:</w:t>
      </w:r>
      <w:r>
        <w:rPr>
          <w:rFonts w:ascii="Times New Roman" w:hAnsi="Times New Roman"/>
          <w:b w:val="0"/>
          <w:i w:val="0"/>
          <w:sz w:val="23"/>
        </w:rPr>
        <w:t>The platform is strictly an auxiliary triage instrument; definitive cancer diagnosis and surgical margins remain dependent on scalpel biopsy and histopathology.</w:t>
      </w:r>
    </w:p>
    <w:p>
      <w:pPr>
        <w:spacing w:before="280" w:after="120" w:line="360" w:lineRule="auto"/>
        <w:jc w:val="left"/>
      </w:pPr>
      <w:r>
        <w:rPr>
          <w:rFonts w:ascii="Times New Roman" w:hAnsi="Times New Roman"/>
          <w:b/>
          <w:i w:val="0"/>
          <w:color w:val="0F234B"/>
          <w:sz w:val="28"/>
        </w:rPr>
        <w:t>Comprehensive Future Research Roadmap</w:t>
      </w:r>
    </w:p>
    <w:p>
      <w:pPr>
        <w:spacing w:before="40" w:after="120" w:line="360" w:lineRule="auto"/>
        <w:jc w:val="both"/>
      </w:pPr>
      <w:r>
        <w:rPr>
          <w:rFonts w:ascii="Times New Roman" w:hAnsi="Times New Roman"/>
          <w:b w:val="0"/>
          <w:i w:val="0"/>
          <w:sz w:val="24"/>
        </w:rPr>
        <w:t>To expand the platform's diagnostic horizon, a three-phase research and engineering roadmap is structured:</w:t>
      </w:r>
    </w:p>
    <w:p>
      <w:pPr>
        <w:spacing w:before="200" w:after="80" w:line="360" w:lineRule="auto"/>
        <w:jc w:val="left"/>
      </w:pPr>
      <w:r>
        <w:rPr>
          <w:rFonts w:ascii="Times New Roman" w:hAnsi="Times New Roman"/>
          <w:b/>
          <w:i w:val="0"/>
          <w:color w:val="1E1E1E"/>
          <w:sz w:val="25"/>
        </w:rPr>
        <w:t>Version 2.0 – Multi-Class Ordinal Neoplastic Classification</w:t>
      </w:r>
    </w:p>
    <w:p>
      <w:pPr>
        <w:spacing w:before="40" w:after="80" w:line="312" w:lineRule="auto"/>
        <w:ind w:left="576"/>
      </w:pPr>
      <w:r>
        <w:rPr>
          <w:rFonts w:ascii="Times New Roman" w:hAnsi="Times New Roman"/>
          <w:b/>
          <w:sz w:val="22"/>
        </w:rPr>
        <w:t xml:space="preserve">•   </w:t>
      </w:r>
      <w:r>
        <w:rPr>
          <w:rFonts w:ascii="Times New Roman" w:hAnsi="Times New Roman"/>
          <w:b w:val="0"/>
          <w:i w:val="0"/>
          <w:sz w:val="23"/>
        </w:rPr>
        <w:t>Transition from binary classification to a 4-class ordinal spectrum:</w:t>
      </w:r>
      <w:r>
        <w:rPr>
          <w:rFonts w:ascii="Times New Roman" w:hAnsi="Times New Roman"/>
          <w:b w:val="0"/>
          <w:i/>
          <w:sz w:val="23"/>
        </w:rPr>
        <w:t>Healthy → Benign Inflammatory → Oral Potentially Malignant Disorder (OPMD) → Malignant OSCC</w:t>
      </w:r>
      <w:r>
        <w:rPr>
          <w:rFonts w:ascii="Times New Roman" w:hAnsi="Times New Roman"/>
          <w:b w:val="0"/>
          <w:i w:val="0"/>
          <w:sz w:val="23"/>
        </w:rPr>
        <w:t>.</w:t>
      </w:r>
    </w:p>
    <w:p>
      <w:pPr>
        <w:spacing w:before="40" w:after="80" w:line="312" w:lineRule="auto"/>
        <w:ind w:left="576"/>
      </w:pPr>
      <w:r>
        <w:rPr>
          <w:rFonts w:ascii="Times New Roman" w:hAnsi="Times New Roman"/>
          <w:b/>
          <w:sz w:val="22"/>
        </w:rPr>
        <w:t xml:space="preserve">•   </w:t>
      </w:r>
      <w:r>
        <w:rPr>
          <w:rFonts w:ascii="Times New Roman" w:hAnsi="Times New Roman"/>
          <w:b w:val="0"/>
          <w:i w:val="0"/>
          <w:sz w:val="23"/>
        </w:rPr>
        <w:t>Implement Ordinal Cross-Entropy Loss to mathematically encode the progressive biological severity rank order.</w:t>
      </w:r>
    </w:p>
    <w:p>
      <w:pPr>
        <w:spacing w:before="40" w:after="80" w:line="312" w:lineRule="auto"/>
        <w:ind w:left="576"/>
      </w:pPr>
      <w:r>
        <w:rPr>
          <w:rFonts w:ascii="Times New Roman" w:hAnsi="Times New Roman"/>
          <w:b/>
          <w:sz w:val="22"/>
        </w:rPr>
        <w:t xml:space="preserve">•   </w:t>
      </w:r>
      <w:r>
        <w:rPr>
          <w:rFonts w:ascii="Times New Roman" w:hAnsi="Times New Roman"/>
          <w:b w:val="0"/>
          <w:i w:val="0"/>
          <w:sz w:val="23"/>
        </w:rPr>
        <w:t>Apply Focal Loss (γ = 2.0) to mitigate class imbalance between rare malignancies and common benign aphthous ulcers.</w:t>
      </w:r>
    </w:p>
    <w:p>
      <w:pPr>
        <w:spacing w:before="200" w:after="80" w:line="360" w:lineRule="auto"/>
        <w:jc w:val="left"/>
      </w:pPr>
      <w:r>
        <w:rPr>
          <w:rFonts w:ascii="Times New Roman" w:hAnsi="Times New Roman"/>
          <w:b/>
          <w:i w:val="0"/>
          <w:color w:val="1E1E1E"/>
          <w:sz w:val="25"/>
        </w:rPr>
        <w:t>Version 3.0 – Swin Vision Transformer &amp; Decentralized Federated Learning</w:t>
      </w:r>
    </w:p>
    <w:p>
      <w:pPr>
        <w:spacing w:before="40" w:after="80" w:line="312" w:lineRule="auto"/>
        <w:ind w:left="576"/>
      </w:pPr>
      <w:r>
        <w:rPr>
          <w:rFonts w:ascii="Times New Roman" w:hAnsi="Times New Roman"/>
          <w:b/>
          <w:sz w:val="22"/>
        </w:rPr>
        <w:t xml:space="preserve">•   </w:t>
      </w:r>
      <w:r>
        <w:rPr>
          <w:rFonts w:ascii="Times New Roman" w:hAnsi="Times New Roman"/>
          <w:b w:val="0"/>
          <w:i w:val="0"/>
          <w:sz w:val="23"/>
        </w:rPr>
        <w:t>Integrate Shifted Window (Swin) Vision Transformers alongside CNN backbones to capture long-range self-attention spatial relationships across tissue architectures.</w:t>
      </w:r>
    </w:p>
    <w:p>
      <w:pPr>
        <w:spacing w:before="40" w:after="80" w:line="312" w:lineRule="auto"/>
        <w:ind w:left="576"/>
      </w:pPr>
      <w:r>
        <w:rPr>
          <w:rFonts w:ascii="Times New Roman" w:hAnsi="Times New Roman"/>
          <w:b/>
          <w:sz w:val="22"/>
        </w:rPr>
        <w:t xml:space="preserve">•   </w:t>
      </w:r>
      <w:r>
        <w:rPr>
          <w:rFonts w:ascii="Times New Roman" w:hAnsi="Times New Roman"/>
          <w:b w:val="0"/>
          <w:i w:val="0"/>
          <w:sz w:val="23"/>
        </w:rPr>
        <w:t>Deploy privacy-preserving Federated Learning using the Flower (</w:t>
      </w:r>
      <w:r>
        <w:rPr>
          <w:rFonts w:ascii="Consolas" w:hAnsi="Consolas"/>
          <w:color w:val="1E1E1E"/>
          <w:sz w:val="21"/>
        </w:rPr>
        <w:t>flwr</w:t>
      </w:r>
      <w:r>
        <w:rPr>
          <w:rFonts w:ascii="Times New Roman" w:hAnsi="Times New Roman"/>
          <w:b w:val="0"/>
          <w:i w:val="0"/>
          <w:sz w:val="23"/>
        </w:rPr>
        <w:t>) framework, enabling collaborative model training across district dental hospitals without centralized patient data sharing.</w:t>
      </w:r>
    </w:p>
    <w:p>
      <w:pPr>
        <w:spacing w:before="200" w:after="80" w:line="360" w:lineRule="auto"/>
        <w:jc w:val="left"/>
      </w:pPr>
      <w:r>
        <w:rPr>
          <w:rFonts w:ascii="Times New Roman" w:hAnsi="Times New Roman"/>
          <w:b/>
          <w:i w:val="0"/>
          <w:color w:val="1E1E1E"/>
          <w:sz w:val="25"/>
        </w:rPr>
        <w:t>Version 4.0 – Multimodal Vision-Language Oncology &amp; Offline PWA</w:t>
      </w:r>
    </w:p>
    <w:p>
      <w:pPr>
        <w:spacing w:before="40" w:after="80" w:line="312" w:lineRule="auto"/>
        <w:ind w:left="576"/>
      </w:pPr>
      <w:r>
        <w:rPr>
          <w:rFonts w:ascii="Times New Roman" w:hAnsi="Times New Roman"/>
          <w:b/>
          <w:sz w:val="22"/>
        </w:rPr>
        <w:t xml:space="preserve">•   </w:t>
      </w:r>
      <w:r>
        <w:rPr>
          <w:rFonts w:ascii="Times New Roman" w:hAnsi="Times New Roman"/>
          <w:b w:val="0"/>
          <w:i w:val="0"/>
          <w:sz w:val="23"/>
        </w:rPr>
        <w:t>Integrate fine-tuned Vision-Language Models (LLaVA-Med / BioViL-T) to automatically synthesize natural-language oncological narrative biopsy referral reports.</w:t>
      </w:r>
    </w:p>
    <w:p>
      <w:pPr>
        <w:spacing w:before="40" w:after="80" w:line="312" w:lineRule="auto"/>
        <w:ind w:left="576"/>
      </w:pPr>
      <w:r>
        <w:rPr>
          <w:rFonts w:ascii="Times New Roman" w:hAnsi="Times New Roman"/>
          <w:b/>
          <w:sz w:val="22"/>
        </w:rPr>
        <w:t xml:space="preserve">•   </w:t>
      </w:r>
      <w:r>
        <w:rPr>
          <w:rFonts w:ascii="Times New Roman" w:hAnsi="Times New Roman"/>
          <w:b w:val="0"/>
          <w:i w:val="0"/>
          <w:sz w:val="23"/>
        </w:rPr>
        <w:t>Expand imaging modalities to support 3D Cone-Beam Computed Tomography (CBCT) DICOM volumetric bone invasion scans.</w:t>
      </w:r>
    </w:p>
    <w:p>
      <w:pPr>
        <w:spacing w:before="40" w:after="80" w:line="312" w:lineRule="auto"/>
        <w:ind w:left="576"/>
      </w:pPr>
      <w:r>
        <w:rPr>
          <w:rFonts w:ascii="Times New Roman" w:hAnsi="Times New Roman"/>
          <w:b/>
          <w:sz w:val="22"/>
        </w:rPr>
        <w:t xml:space="preserve">•   </w:t>
      </w:r>
      <w:r>
        <w:rPr>
          <w:rFonts w:ascii="Times New Roman" w:hAnsi="Times New Roman"/>
          <w:b w:val="0"/>
          <w:i w:val="0"/>
          <w:sz w:val="23"/>
        </w:rPr>
        <w:t>Deliver an offline Progressive Web Application (PWA) with client-side WebAssembly ONNX execution for zero-connectivity rural field operation.</w:t>
      </w:r>
    </w:p>
    <w:p>
      <w:r>
        <w:br w:type="page"/>
      </w:r>
    </w:p>
    <w:p>
      <w:pPr>
        <w:spacing w:before="360" w:after="320" w:line="360" w:lineRule="auto"/>
        <w:jc w:val="center"/>
      </w:pPr>
      <w:r>
        <w:rPr>
          <w:rFonts w:ascii="Times New Roman" w:hAnsi="Times New Roman"/>
          <w:b/>
          <w:i w:val="0"/>
          <w:color w:val="0A2D5A"/>
          <w:sz w:val="32"/>
        </w:rPr>
        <w:t>REFERENCES</w:t>
      </w:r>
    </w:p>
    <w:p>
      <w:pPr>
        <w:spacing w:before="60" w:after="120" w:line="300" w:lineRule="auto"/>
        <w:ind w:left="576" w:hanging="576"/>
      </w:pPr>
      <w:r>
        <w:rPr>
          <w:rFonts w:ascii="Times New Roman" w:hAnsi="Times New Roman"/>
          <w:b/>
          <w:sz w:val="22"/>
        </w:rPr>
        <w:t>[1]</w:t>
        <w:tab/>
      </w:r>
      <w:r>
        <w:rPr>
          <w:rFonts w:ascii="Times New Roman" w:hAnsi="Times New Roman"/>
          <w:b w:val="0"/>
          <w:i w:val="0"/>
          <w:sz w:val="22"/>
        </w:rPr>
        <w:t>H. Sung, J. Ferlay, R. L. Siegel, M. Laversanne, I. Soerjomataram, A. Jemal, and F. Bray, "Global Cancer Statistics 2020: GLOBOCAN Estimates of Incidence and Mortality Worldwide for 36 Cancers in 185 Countries,"</w:t>
      </w:r>
      <w:r>
        <w:rPr>
          <w:rFonts w:ascii="Times New Roman" w:hAnsi="Times New Roman"/>
          <w:b w:val="0"/>
          <w:i/>
          <w:sz w:val="22"/>
        </w:rPr>
        <w:t>CA: A Cancer Journal for Clinicians</w:t>
      </w:r>
      <w:r>
        <w:rPr>
          <w:rFonts w:ascii="Times New Roman" w:hAnsi="Times New Roman"/>
          <w:b w:val="0"/>
          <w:i w:val="0"/>
          <w:sz w:val="22"/>
        </w:rPr>
        <w:t>, vol. 71, no. 3, pp. 209–249, May 2021.</w:t>
      </w:r>
    </w:p>
    <w:p>
      <w:pPr>
        <w:spacing w:before="60" w:after="120" w:line="300" w:lineRule="auto"/>
        <w:ind w:left="576" w:hanging="576"/>
      </w:pPr>
      <w:r>
        <w:rPr>
          <w:rFonts w:ascii="Times New Roman" w:hAnsi="Times New Roman"/>
          <w:b/>
          <w:sz w:val="22"/>
        </w:rPr>
        <w:t>[2]</w:t>
        <w:tab/>
      </w:r>
      <w:r>
        <w:rPr>
          <w:rFonts w:ascii="Times New Roman" w:hAnsi="Times New Roman"/>
          <w:b w:val="0"/>
          <w:i w:val="0"/>
          <w:sz w:val="22"/>
        </w:rPr>
        <w:t>F. Bray, M. Laversanne, H. Sung, J. Ferlay, R. L. Siegel, I. Soerjomataram, and A. Jemal, "Global cancer statistics 2022: GLOBOCAN estimates of incidence and mortality worldwide for 36 cancers in 185 countries,"</w:t>
      </w:r>
      <w:r>
        <w:rPr>
          <w:rFonts w:ascii="Times New Roman" w:hAnsi="Times New Roman"/>
          <w:b w:val="0"/>
          <w:i/>
          <w:sz w:val="22"/>
        </w:rPr>
        <w:t>CA: A Cancer Journal for Clinicians</w:t>
      </w:r>
      <w:r>
        <w:rPr>
          <w:rFonts w:ascii="Times New Roman" w:hAnsi="Times New Roman"/>
          <w:b w:val="0"/>
          <w:i w:val="0"/>
          <w:sz w:val="22"/>
        </w:rPr>
        <w:t>, vol. 74, no. 3, pp. 229–263, May 2024.</w:t>
      </w:r>
    </w:p>
    <w:p>
      <w:pPr>
        <w:spacing w:before="60" w:after="120" w:line="300" w:lineRule="auto"/>
        <w:ind w:left="576" w:hanging="576"/>
      </w:pPr>
      <w:r>
        <w:rPr>
          <w:rFonts w:ascii="Times New Roman" w:hAnsi="Times New Roman"/>
          <w:b/>
          <w:sz w:val="22"/>
        </w:rPr>
        <w:t>[3]</w:t>
        <w:tab/>
      </w:r>
      <w:r>
        <w:rPr>
          <w:rFonts w:ascii="Times New Roman" w:hAnsi="Times New Roman"/>
          <w:b w:val="0"/>
          <w:i w:val="0"/>
          <w:sz w:val="22"/>
        </w:rPr>
        <w:t>P. C. Gupta and C. S. Ray, "Epidemiology of betel quid usage,"</w:t>
      </w:r>
      <w:r>
        <w:rPr>
          <w:rFonts w:ascii="Times New Roman" w:hAnsi="Times New Roman"/>
          <w:b w:val="0"/>
          <w:i/>
          <w:sz w:val="22"/>
        </w:rPr>
        <w:t>Annals of the Academy of Medicine, Singapore</w:t>
      </w:r>
      <w:r>
        <w:rPr>
          <w:rFonts w:ascii="Times New Roman" w:hAnsi="Times New Roman"/>
          <w:b w:val="0"/>
          <w:i w:val="0"/>
          <w:sz w:val="22"/>
        </w:rPr>
        <w:t>, vol. 33, no. 4, pp. 31–36, 2004.</w:t>
      </w:r>
    </w:p>
    <w:p>
      <w:pPr>
        <w:spacing w:before="60" w:after="120" w:line="300" w:lineRule="auto"/>
        <w:ind w:left="576" w:hanging="576"/>
      </w:pPr>
      <w:r>
        <w:rPr>
          <w:rFonts w:ascii="Times New Roman" w:hAnsi="Times New Roman"/>
          <w:b/>
          <w:sz w:val="22"/>
        </w:rPr>
        <w:t>[4]</w:t>
        <w:tab/>
      </w:r>
      <w:r>
        <w:rPr>
          <w:rFonts w:ascii="Times New Roman" w:hAnsi="Times New Roman"/>
          <w:b w:val="0"/>
          <w:i w:val="0"/>
          <w:sz w:val="22"/>
        </w:rPr>
        <w:t>D. E. Johnson, B. Burtness, C. R. Leemans, V. W. Y. Lui, J. E. Bauman, and J. R. Grandis, "Head and neck squamous cell carcinoma,"</w:t>
      </w:r>
      <w:r>
        <w:rPr>
          <w:rFonts w:ascii="Times New Roman" w:hAnsi="Times New Roman"/>
          <w:b w:val="0"/>
          <w:i/>
          <w:sz w:val="22"/>
        </w:rPr>
        <w:t>Nature Reviews Disease Primers</w:t>
      </w:r>
      <w:r>
        <w:rPr>
          <w:rFonts w:ascii="Times New Roman" w:hAnsi="Times New Roman"/>
          <w:b w:val="0"/>
          <w:i w:val="0"/>
          <w:sz w:val="22"/>
        </w:rPr>
        <w:t>, vol. 6, no. 1, p. 92, Nov. 2020.</w:t>
      </w:r>
    </w:p>
    <w:p>
      <w:pPr>
        <w:spacing w:before="60" w:after="120" w:line="300" w:lineRule="auto"/>
        <w:ind w:left="576" w:hanging="576"/>
      </w:pPr>
      <w:r>
        <w:rPr>
          <w:rFonts w:ascii="Times New Roman" w:hAnsi="Times New Roman"/>
          <w:b/>
          <w:sz w:val="22"/>
        </w:rPr>
        <w:t>[5]</w:t>
        <w:tab/>
      </w:r>
      <w:r>
        <w:rPr>
          <w:rFonts w:ascii="Times New Roman" w:hAnsi="Times New Roman"/>
          <w:b w:val="0"/>
          <w:i w:val="0"/>
          <w:sz w:val="22"/>
        </w:rPr>
        <w:t>M. B. Amin et al.,</w:t>
      </w:r>
      <w:r>
        <w:rPr>
          <w:rFonts w:ascii="Times New Roman" w:hAnsi="Times New Roman"/>
          <w:b w:val="0"/>
          <w:i/>
          <w:sz w:val="22"/>
        </w:rPr>
        <w:t>AJCC Cancer Staging Manual</w:t>
      </w:r>
      <w:r>
        <w:rPr>
          <w:rFonts w:ascii="Times New Roman" w:hAnsi="Times New Roman"/>
          <w:b w:val="0"/>
          <w:i w:val="0"/>
          <w:sz w:val="22"/>
        </w:rPr>
        <w:t>, 8th ed. Chicago, IL: Springer International Publishing, 2017.</w:t>
      </w:r>
    </w:p>
    <w:p>
      <w:pPr>
        <w:spacing w:before="60" w:after="120" w:line="300" w:lineRule="auto"/>
        <w:ind w:left="576" w:hanging="576"/>
      </w:pPr>
      <w:r>
        <w:rPr>
          <w:rFonts w:ascii="Times New Roman" w:hAnsi="Times New Roman"/>
          <w:b/>
          <w:sz w:val="22"/>
        </w:rPr>
        <w:t>[6]</w:t>
        <w:tab/>
      </w:r>
      <w:r>
        <w:rPr>
          <w:rFonts w:ascii="Times New Roman" w:hAnsi="Times New Roman"/>
          <w:b w:val="0"/>
          <w:i w:val="0"/>
          <w:sz w:val="22"/>
        </w:rPr>
        <w:t>S. Warnakulasuriya et al., "Oral potentially malignant disorders: A consensus nomenclature and classification,"</w:t>
      </w:r>
      <w:r>
        <w:rPr>
          <w:rFonts w:ascii="Times New Roman" w:hAnsi="Times New Roman"/>
          <w:b w:val="0"/>
          <w:i/>
          <w:sz w:val="22"/>
        </w:rPr>
        <w:t>Oral Diseases</w:t>
      </w:r>
      <w:r>
        <w:rPr>
          <w:rFonts w:ascii="Times New Roman" w:hAnsi="Times New Roman"/>
          <w:b w:val="0"/>
          <w:i w:val="0"/>
          <w:sz w:val="22"/>
        </w:rPr>
        <w:t>, vol. 27, no. 6, pp. 1362–1380, Sep. 2021.</w:t>
      </w:r>
    </w:p>
    <w:p>
      <w:pPr>
        <w:spacing w:before="60" w:after="120" w:line="300" w:lineRule="auto"/>
        <w:ind w:left="576" w:hanging="576"/>
      </w:pPr>
      <w:r>
        <w:rPr>
          <w:rFonts w:ascii="Times New Roman" w:hAnsi="Times New Roman"/>
          <w:b/>
          <w:sz w:val="22"/>
        </w:rPr>
        <w:t>[7]</w:t>
        <w:tab/>
      </w:r>
      <w:r>
        <w:rPr>
          <w:rFonts w:ascii="Times New Roman" w:hAnsi="Times New Roman"/>
          <w:b w:val="0"/>
          <w:i w:val="0"/>
          <w:sz w:val="22"/>
        </w:rPr>
        <w:t>M. W. M. van der Waal and I. van der Waal, "Oral cancer screening: A review of the literature,"</w:t>
      </w:r>
      <w:r>
        <w:rPr>
          <w:rFonts w:ascii="Times New Roman" w:hAnsi="Times New Roman"/>
          <w:b w:val="0"/>
          <w:i/>
          <w:sz w:val="22"/>
        </w:rPr>
        <w:t>Medicina Oral, Patolog\'{i</w:t>
      </w:r>
      <w:r>
        <w:rPr>
          <w:rFonts w:ascii="Times New Roman" w:hAnsi="Times New Roman"/>
          <w:b w:val="0"/>
          <w:i w:val="0"/>
          <w:sz w:val="22"/>
        </w:rPr>
        <w:t>a Oral y Cirug\'{i}a Bucal}, vol. 25, no. 5, pp. e649–e654, 2020.</w:t>
      </w:r>
    </w:p>
    <w:p>
      <w:pPr>
        <w:spacing w:before="60" w:after="120" w:line="300" w:lineRule="auto"/>
        <w:ind w:left="576" w:hanging="576"/>
      </w:pPr>
      <w:r>
        <w:rPr>
          <w:rFonts w:ascii="Times New Roman" w:hAnsi="Times New Roman"/>
          <w:b/>
          <w:sz w:val="22"/>
        </w:rPr>
        <w:t>[8]</w:t>
        <w:tab/>
      </w:r>
      <w:r>
        <w:rPr>
          <w:rFonts w:ascii="Times New Roman" w:hAnsi="Times New Roman"/>
          <w:b w:val="0"/>
          <w:i w:val="0"/>
          <w:sz w:val="22"/>
        </w:rPr>
        <w:t>S. Warnakulasuriya, "Global epidemiology of oral and oropharyngeal cancer,"</w:t>
      </w:r>
      <w:r>
        <w:rPr>
          <w:rFonts w:ascii="Times New Roman" w:hAnsi="Times New Roman"/>
          <w:b w:val="0"/>
          <w:i/>
          <w:sz w:val="22"/>
        </w:rPr>
        <w:t>Oral Oncology</w:t>
      </w:r>
      <w:r>
        <w:rPr>
          <w:rFonts w:ascii="Times New Roman" w:hAnsi="Times New Roman"/>
          <w:b w:val="0"/>
          <w:i w:val="0"/>
          <w:sz w:val="22"/>
        </w:rPr>
        <w:t>, vol. 45, no. 4, pp. 309–316, Apr. 2009.</w:t>
      </w:r>
    </w:p>
    <w:p>
      <w:pPr>
        <w:spacing w:before="60" w:after="120" w:line="300" w:lineRule="auto"/>
        <w:ind w:left="576" w:hanging="576"/>
      </w:pPr>
      <w:r>
        <w:rPr>
          <w:rFonts w:ascii="Times New Roman" w:hAnsi="Times New Roman"/>
          <w:b/>
          <w:sz w:val="22"/>
        </w:rPr>
        <w:t>[9]</w:t>
        <w:tab/>
      </w:r>
      <w:r>
        <w:rPr>
          <w:rFonts w:ascii="Times New Roman" w:hAnsi="Times New Roman"/>
          <w:b w:val="0"/>
          <w:i w:val="0"/>
          <w:sz w:val="22"/>
        </w:rPr>
        <w:t>A. Esteva, B. Kuprel, R. A. Novoa, J. Ko, S. M. Swetter, H. M. Blau, and S. Thrun, "Dermatologist-level classification of skin cancer with deep neural networks,"</w:t>
      </w:r>
      <w:r>
        <w:rPr>
          <w:rFonts w:ascii="Times New Roman" w:hAnsi="Times New Roman"/>
          <w:b w:val="0"/>
          <w:i/>
          <w:sz w:val="22"/>
        </w:rPr>
        <w:t>Nature</w:t>
      </w:r>
      <w:r>
        <w:rPr>
          <w:rFonts w:ascii="Times New Roman" w:hAnsi="Times New Roman"/>
          <w:b w:val="0"/>
          <w:i w:val="0"/>
          <w:sz w:val="22"/>
        </w:rPr>
        <w:t>, vol. 542, no. 7639, pp. 115–118, Feb. 2017.</w:t>
      </w:r>
    </w:p>
    <w:p>
      <w:pPr>
        <w:spacing w:before="60" w:after="120" w:line="300" w:lineRule="auto"/>
        <w:ind w:left="576" w:hanging="576"/>
      </w:pPr>
      <w:r>
        <w:rPr>
          <w:rFonts w:ascii="Times New Roman" w:hAnsi="Times New Roman"/>
          <w:b/>
          <w:sz w:val="22"/>
        </w:rPr>
        <w:t>[10]</w:t>
        <w:tab/>
      </w:r>
      <w:r>
        <w:rPr>
          <w:rFonts w:ascii="Times New Roman" w:hAnsi="Times New Roman"/>
          <w:b w:val="0"/>
          <w:i w:val="0"/>
          <w:sz w:val="22"/>
        </w:rPr>
        <w:t>D. S. W. Ting et al., "Development and Validation of a Deep Learning System for Diabetic Retinopathy and Related Eye Diseases Using Retinal Images From Multiethnic Populations With Diabetes,"</w:t>
      </w:r>
      <w:r>
        <w:rPr>
          <w:rFonts w:ascii="Times New Roman" w:hAnsi="Times New Roman"/>
          <w:b w:val="0"/>
          <w:i/>
          <w:sz w:val="22"/>
        </w:rPr>
        <w:t>JAMA</w:t>
      </w:r>
      <w:r>
        <w:rPr>
          <w:rFonts w:ascii="Times New Roman" w:hAnsi="Times New Roman"/>
          <w:b w:val="0"/>
          <w:i w:val="0"/>
          <w:sz w:val="22"/>
        </w:rPr>
        <w:t>, vol. 318, no. 22, pp. 2211–2223, Dec. 2017.</w:t>
      </w:r>
    </w:p>
    <w:p>
      <w:pPr>
        <w:spacing w:before="60" w:after="120" w:line="300" w:lineRule="auto"/>
        <w:ind w:left="576" w:hanging="576"/>
      </w:pPr>
      <w:r>
        <w:rPr>
          <w:rFonts w:ascii="Times New Roman" w:hAnsi="Times New Roman"/>
          <w:b/>
          <w:sz w:val="22"/>
        </w:rPr>
        <w:t>[11]</w:t>
        <w:tab/>
      </w:r>
      <w:r>
        <w:rPr>
          <w:rFonts w:ascii="Times New Roman" w:hAnsi="Times New Roman"/>
          <w:b w:val="0"/>
          <w:i w:val="0"/>
          <w:sz w:val="22"/>
        </w:rPr>
        <w:t>E. Reinhard, M. Adhikhmin, B. Gooch, and P. Shirley, "Color transfer between images,"</w:t>
      </w:r>
      <w:r>
        <w:rPr>
          <w:rFonts w:ascii="Times New Roman" w:hAnsi="Times New Roman"/>
          <w:b w:val="0"/>
          <w:i/>
          <w:sz w:val="22"/>
        </w:rPr>
        <w:t>IEEE Computer Graphics and Applications</w:t>
      </w:r>
      <w:r>
        <w:rPr>
          <w:rFonts w:ascii="Times New Roman" w:hAnsi="Times New Roman"/>
          <w:b w:val="0"/>
          <w:i w:val="0"/>
          <w:sz w:val="22"/>
        </w:rPr>
        <w:t>, vol. 21, no. 5, pp. 34–41, Sep. 2001.</w:t>
      </w:r>
    </w:p>
    <w:p>
      <w:pPr>
        <w:spacing w:before="60" w:after="120" w:line="300" w:lineRule="auto"/>
        <w:ind w:left="576" w:hanging="576"/>
      </w:pPr>
      <w:r>
        <w:rPr>
          <w:rFonts w:ascii="Times New Roman" w:hAnsi="Times New Roman"/>
          <w:b/>
          <w:sz w:val="22"/>
        </w:rPr>
        <w:t>[12]</w:t>
        <w:tab/>
      </w:r>
      <w:r>
        <w:rPr>
          <w:rFonts w:ascii="Times New Roman" w:hAnsi="Times New Roman"/>
          <w:b w:val="0"/>
          <w:i w:val="0"/>
          <w:sz w:val="22"/>
        </w:rPr>
        <w:t>C. Guo, G. Pleiss, Y. Sun, and K. Q. Weinberger, "On Calibration of Modern Neural Networks," in</w:t>
      </w:r>
      <w:r>
        <w:rPr>
          <w:rFonts w:ascii="Times New Roman" w:hAnsi="Times New Roman"/>
          <w:b w:val="0"/>
          <w:i/>
          <w:sz w:val="22"/>
        </w:rPr>
        <w:t>Proc. 34th Int. Conf. Machine Learning (ICML)</w:t>
      </w:r>
      <w:r>
        <w:rPr>
          <w:rFonts w:ascii="Times New Roman" w:hAnsi="Times New Roman"/>
          <w:b w:val="0"/>
          <w:i w:val="0"/>
          <w:sz w:val="22"/>
        </w:rPr>
        <w:t>, vol. 70, 2017, pp. 1321–1330.</w:t>
      </w:r>
    </w:p>
    <w:p>
      <w:pPr>
        <w:spacing w:before="60" w:after="120" w:line="300" w:lineRule="auto"/>
        <w:ind w:left="576" w:hanging="576"/>
      </w:pPr>
      <w:r>
        <w:rPr>
          <w:rFonts w:ascii="Times New Roman" w:hAnsi="Times New Roman"/>
          <w:b/>
          <w:sz w:val="22"/>
        </w:rPr>
        <w:t>[13]</w:t>
        <w:tab/>
      </w:r>
      <w:r>
        <w:rPr>
          <w:rFonts w:ascii="Times New Roman" w:hAnsi="Times New Roman"/>
          <w:b w:val="0"/>
          <w:i w:val="0"/>
          <w:sz w:val="22"/>
        </w:rPr>
        <w:t>R. Geirhos et al., "Shortcut learning in deep neural networks,"</w:t>
      </w:r>
      <w:r>
        <w:rPr>
          <w:rFonts w:ascii="Times New Roman" w:hAnsi="Times New Roman"/>
          <w:b w:val="0"/>
          <w:i/>
          <w:sz w:val="22"/>
        </w:rPr>
        <w:t>Nature Machine Intelligence</w:t>
      </w:r>
      <w:r>
        <w:rPr>
          <w:rFonts w:ascii="Times New Roman" w:hAnsi="Times New Roman"/>
          <w:b w:val="0"/>
          <w:i w:val="0"/>
          <w:sz w:val="22"/>
        </w:rPr>
        <w:t>, vol. 2, no. 11, pp. 665–673, Nov. 2020.</w:t>
      </w:r>
    </w:p>
    <w:p>
      <w:pPr>
        <w:spacing w:before="60" w:after="120" w:line="300" w:lineRule="auto"/>
        <w:ind w:left="576" w:hanging="576"/>
      </w:pPr>
      <w:r>
        <w:rPr>
          <w:rFonts w:ascii="Times New Roman" w:hAnsi="Times New Roman"/>
          <w:b/>
          <w:sz w:val="22"/>
        </w:rPr>
        <w:t>[14]</w:t>
        <w:tab/>
      </w:r>
      <w:r>
        <w:rPr>
          <w:rFonts w:ascii="Times New Roman" w:hAnsi="Times New Roman"/>
          <w:b w:val="0"/>
          <w:i w:val="0"/>
          <w:sz w:val="22"/>
        </w:rPr>
        <w:t>K. Simonyan and A. Zisserman, "Very Deep Convolutional Networks for Large-Scale Image Recognition," in</w:t>
      </w:r>
      <w:r>
        <w:rPr>
          <w:rFonts w:ascii="Times New Roman" w:hAnsi="Times New Roman"/>
          <w:b w:val="0"/>
          <w:i/>
          <w:sz w:val="22"/>
        </w:rPr>
        <w:t>Proc. Int. Conf. Learning Representations (ICLR)</w:t>
      </w:r>
      <w:r>
        <w:rPr>
          <w:rFonts w:ascii="Times New Roman" w:hAnsi="Times New Roman"/>
          <w:b w:val="0"/>
          <w:i w:val="0"/>
          <w:sz w:val="22"/>
        </w:rPr>
        <w:t>, 2015.</w:t>
      </w:r>
    </w:p>
    <w:p>
      <w:pPr>
        <w:spacing w:before="60" w:after="120" w:line="300" w:lineRule="auto"/>
        <w:ind w:left="576" w:hanging="576"/>
      </w:pPr>
      <w:r>
        <w:rPr>
          <w:rFonts w:ascii="Times New Roman" w:hAnsi="Times New Roman"/>
          <w:b/>
          <w:sz w:val="22"/>
        </w:rPr>
        <w:t>[15]</w:t>
        <w:tab/>
      </w:r>
      <w:r>
        <w:rPr>
          <w:rFonts w:ascii="Times New Roman" w:hAnsi="Times New Roman"/>
          <w:b w:val="0"/>
          <w:i w:val="0"/>
          <w:sz w:val="22"/>
        </w:rPr>
        <w:t>R. A. Welikala et al., "Automated Detection and Classification of Oral Lesions Using Deep Learning for Early Detection of Oral Cancer,"</w:t>
      </w:r>
      <w:r>
        <w:rPr>
          <w:rFonts w:ascii="Times New Roman" w:hAnsi="Times New Roman"/>
          <w:b w:val="0"/>
          <w:i/>
          <w:sz w:val="22"/>
        </w:rPr>
        <w:t>IEEE Access</w:t>
      </w:r>
      <w:r>
        <w:rPr>
          <w:rFonts w:ascii="Times New Roman" w:hAnsi="Times New Roman"/>
          <w:b w:val="0"/>
          <w:i w:val="0"/>
          <w:sz w:val="22"/>
        </w:rPr>
        <w:t>, vol. 8, pp. 132677–132693, 2020.</w:t>
      </w:r>
    </w:p>
    <w:p>
      <w:pPr>
        <w:spacing w:before="60" w:after="120" w:line="300" w:lineRule="auto"/>
        <w:ind w:left="576" w:hanging="576"/>
      </w:pPr>
      <w:r>
        <w:rPr>
          <w:rFonts w:ascii="Times New Roman" w:hAnsi="Times New Roman"/>
          <w:b/>
          <w:sz w:val="22"/>
        </w:rPr>
        <w:t>[16]</w:t>
        <w:tab/>
      </w:r>
      <w:r>
        <w:rPr>
          <w:rFonts w:ascii="Times New Roman" w:hAnsi="Times New Roman"/>
          <w:b w:val="0"/>
          <w:i w:val="0"/>
          <w:sz w:val="22"/>
        </w:rPr>
        <w:t>F. Jubair, O. Al-kadi, S. Sakr, and M. Sadeq, "A novel lightweight convolutional neural network for oral cancer detection,"</w:t>
      </w:r>
      <w:r>
        <w:rPr>
          <w:rFonts w:ascii="Times New Roman" w:hAnsi="Times New Roman"/>
          <w:b w:val="0"/>
          <w:i/>
          <w:sz w:val="22"/>
        </w:rPr>
        <w:t>Computers in Biology and Medicine</w:t>
      </w:r>
      <w:r>
        <w:rPr>
          <w:rFonts w:ascii="Times New Roman" w:hAnsi="Times New Roman"/>
          <w:b w:val="0"/>
          <w:i w:val="0"/>
          <w:sz w:val="22"/>
        </w:rPr>
        <w:t>, vol. 146, p. 105580, Jul. 2022.</w:t>
      </w:r>
    </w:p>
    <w:p>
      <w:pPr>
        <w:spacing w:before="60" w:after="120" w:line="300" w:lineRule="auto"/>
        <w:ind w:left="576" w:hanging="576"/>
      </w:pPr>
      <w:r>
        <w:rPr>
          <w:rFonts w:ascii="Times New Roman" w:hAnsi="Times New Roman"/>
          <w:b/>
          <w:sz w:val="22"/>
        </w:rPr>
        <w:t>[17]</w:t>
        <w:tab/>
      </w:r>
      <w:r>
        <w:rPr>
          <w:rFonts w:ascii="Times New Roman" w:hAnsi="Times New Roman"/>
          <w:b w:val="0"/>
          <w:i w:val="0"/>
          <w:sz w:val="22"/>
        </w:rPr>
        <w:t>S. Camalan, H. Niazi, K. M. Kalladka, K. Bhat, and R. Garg, "Generalization of deep learning models for oral cancer detection in low-resource settings,"</w:t>
      </w:r>
      <w:r>
        <w:rPr>
          <w:rFonts w:ascii="Times New Roman" w:hAnsi="Times New Roman"/>
          <w:b w:val="0"/>
          <w:i/>
          <w:sz w:val="22"/>
        </w:rPr>
        <w:t>Journal of Biomedical Optics</w:t>
      </w:r>
      <w:r>
        <w:rPr>
          <w:rFonts w:ascii="Times New Roman" w:hAnsi="Times New Roman"/>
          <w:b w:val="0"/>
          <w:i w:val="0"/>
          <w:sz w:val="22"/>
        </w:rPr>
        <w:t>, vol. 26, no. 10, p. 105002, Oct. 2021.</w:t>
      </w:r>
    </w:p>
    <w:p>
      <w:pPr>
        <w:spacing w:before="60" w:after="120" w:line="300" w:lineRule="auto"/>
        <w:ind w:left="576" w:hanging="576"/>
      </w:pPr>
      <w:r>
        <w:rPr>
          <w:rFonts w:ascii="Times New Roman" w:hAnsi="Times New Roman"/>
          <w:b/>
          <w:sz w:val="22"/>
        </w:rPr>
        <w:t>[18]</w:t>
        <w:tab/>
      </w:r>
      <w:r>
        <w:rPr>
          <w:rFonts w:ascii="Times New Roman" w:hAnsi="Times New Roman"/>
          <w:b w:val="0"/>
          <w:i w:val="0"/>
          <w:sz w:val="22"/>
        </w:rPr>
        <w:t>A. Kendall and Y. Gal, "What Uncertainties Do We Need in Bayesian Deep Learning for Computer Vision?," in</w:t>
      </w:r>
      <w:r>
        <w:rPr>
          <w:rFonts w:ascii="Times New Roman" w:hAnsi="Times New Roman"/>
          <w:b w:val="0"/>
          <w:i/>
          <w:sz w:val="22"/>
        </w:rPr>
        <w:t>Advances in Neural Information Processing Systems (NeurIPS)</w:t>
      </w:r>
      <w:r>
        <w:rPr>
          <w:rFonts w:ascii="Times New Roman" w:hAnsi="Times New Roman"/>
          <w:b w:val="0"/>
          <w:i w:val="0"/>
          <w:sz w:val="22"/>
        </w:rPr>
        <w:t>, vol. 30, 2017.</w:t>
      </w:r>
    </w:p>
    <w:p>
      <w:pPr>
        <w:spacing w:before="60" w:after="120" w:line="300" w:lineRule="auto"/>
        <w:ind w:left="576" w:hanging="576"/>
      </w:pPr>
      <w:r>
        <w:rPr>
          <w:rFonts w:ascii="Times New Roman" w:hAnsi="Times New Roman"/>
          <w:b/>
          <w:sz w:val="22"/>
        </w:rPr>
        <w:t>[19]</w:t>
        <w:tab/>
      </w:r>
      <w:r>
        <w:rPr>
          <w:rFonts w:ascii="Times New Roman" w:hAnsi="Times New Roman"/>
          <w:b w:val="0"/>
          <w:i w:val="0"/>
          <w:sz w:val="22"/>
        </w:rPr>
        <w:t>Y. Gal and Z. Ghahramani, "Dropout as a Bayesian Approximation: Representing Model Uncertainty in Deep Learning," in</w:t>
      </w:r>
      <w:r>
        <w:rPr>
          <w:rFonts w:ascii="Times New Roman" w:hAnsi="Times New Roman"/>
          <w:b w:val="0"/>
          <w:i/>
          <w:sz w:val="22"/>
        </w:rPr>
        <w:t>Proc. 33rd Int. Conf. Machine Learning (ICML)</w:t>
      </w:r>
      <w:r>
        <w:rPr>
          <w:rFonts w:ascii="Times New Roman" w:hAnsi="Times New Roman"/>
          <w:b w:val="0"/>
          <w:i w:val="0"/>
          <w:sz w:val="22"/>
        </w:rPr>
        <w:t>, 2016, pp. 1050–1059.</w:t>
      </w:r>
    </w:p>
    <w:p>
      <w:pPr>
        <w:spacing w:before="60" w:after="120" w:line="300" w:lineRule="auto"/>
        <w:ind w:left="576" w:hanging="576"/>
      </w:pPr>
      <w:r>
        <w:rPr>
          <w:rFonts w:ascii="Times New Roman" w:hAnsi="Times New Roman"/>
          <w:b/>
          <w:sz w:val="22"/>
        </w:rPr>
        <w:t>[20]</w:t>
        <w:tab/>
      </w:r>
      <w:r>
        <w:rPr>
          <w:rFonts w:ascii="Times New Roman" w:hAnsi="Times New Roman"/>
          <w:b w:val="0"/>
          <w:i w:val="0"/>
          <w:sz w:val="22"/>
        </w:rPr>
        <w:t>C. Leibig, V. Allken, M. S. Ayhan, D. Berens, and P. Berens, "Leveraging uncertainty information from deep neural networks for disease detection,"</w:t>
      </w:r>
      <w:r>
        <w:rPr>
          <w:rFonts w:ascii="Times New Roman" w:hAnsi="Times New Roman"/>
          <w:b w:val="0"/>
          <w:i/>
          <w:sz w:val="22"/>
        </w:rPr>
        <w:t>Scientific Reports</w:t>
      </w:r>
      <w:r>
        <w:rPr>
          <w:rFonts w:ascii="Times New Roman" w:hAnsi="Times New Roman"/>
          <w:b w:val="0"/>
          <w:i w:val="0"/>
          <w:sz w:val="22"/>
        </w:rPr>
        <w:t>, vol. 7, no. 1, p. 17816, Dec. 2017.</w:t>
      </w:r>
    </w:p>
    <w:p>
      <w:pPr>
        <w:spacing w:before="60" w:after="120" w:line="300" w:lineRule="auto"/>
        <w:ind w:left="576" w:hanging="576"/>
      </w:pPr>
      <w:r>
        <w:rPr>
          <w:rFonts w:ascii="Times New Roman" w:hAnsi="Times New Roman"/>
          <w:b/>
          <w:sz w:val="22"/>
        </w:rPr>
        <w:t>[21]</w:t>
        <w:tab/>
      </w:r>
      <w:r>
        <w:rPr>
          <w:rFonts w:ascii="Times New Roman" w:hAnsi="Times New Roman"/>
          <w:b w:val="0"/>
          <w:i w:val="0"/>
          <w:sz w:val="22"/>
        </w:rPr>
        <w:t>A. Mobiny, P. Yuan, S. K. Suhail, P. A. Cicalese, and H. Van Nguyen, "DropConnect is effective in modeling uncertainty of Bayesian deep networks,"</w:t>
      </w:r>
      <w:r>
        <w:rPr>
          <w:rFonts w:ascii="Times New Roman" w:hAnsi="Times New Roman"/>
          <w:b w:val="0"/>
          <w:i/>
          <w:sz w:val="22"/>
        </w:rPr>
        <w:t>Scientific Reports</w:t>
      </w:r>
      <w:r>
        <w:rPr>
          <w:rFonts w:ascii="Times New Roman" w:hAnsi="Times New Roman"/>
          <w:b w:val="0"/>
          <w:i w:val="0"/>
          <w:sz w:val="22"/>
        </w:rPr>
        <w:t>, vol. 11, no. 1, p. 9908, May 2021.</w:t>
      </w:r>
    </w:p>
    <w:p>
      <w:pPr>
        <w:spacing w:before="60" w:after="120" w:line="300" w:lineRule="auto"/>
        <w:ind w:left="576" w:hanging="576"/>
      </w:pPr>
      <w:r>
        <w:rPr>
          <w:rFonts w:ascii="Times New Roman" w:hAnsi="Times New Roman"/>
          <w:b/>
          <w:sz w:val="22"/>
        </w:rPr>
        <w:t>[22]</w:t>
        <w:tab/>
      </w:r>
      <w:r>
        <w:rPr>
          <w:rFonts w:ascii="Times New Roman" w:hAnsi="Times New Roman"/>
          <w:b w:val="0"/>
          <w:i w:val="0"/>
          <w:sz w:val="22"/>
        </w:rPr>
        <w:t>R. R. Selvaraju, M. Cogswell, A. Das, R. Vedantam, D. Parikh, and D. Batra, "Grad-CAM: Visual Explanations from Deep Networks via Gradient-Based Localization,"</w:t>
      </w:r>
      <w:r>
        <w:rPr>
          <w:rFonts w:ascii="Times New Roman" w:hAnsi="Times New Roman"/>
          <w:b w:val="0"/>
          <w:i/>
          <w:sz w:val="22"/>
        </w:rPr>
        <w:t>IEEE Transactions on Pattern Analysis and Machine Intelligence</w:t>
      </w:r>
      <w:r>
        <w:rPr>
          <w:rFonts w:ascii="Times New Roman" w:hAnsi="Times New Roman"/>
          <w:b w:val="0"/>
          <w:i w:val="0"/>
          <w:sz w:val="22"/>
        </w:rPr>
        <w:t>, vol. 42, no. 2, pp. 336–348, Feb. 2020.</w:t>
      </w:r>
    </w:p>
    <w:p>
      <w:pPr>
        <w:spacing w:before="60" w:after="120" w:line="300" w:lineRule="auto"/>
        <w:ind w:left="576" w:hanging="576"/>
      </w:pPr>
      <w:r>
        <w:rPr>
          <w:rFonts w:ascii="Times New Roman" w:hAnsi="Times New Roman"/>
          <w:b/>
          <w:sz w:val="22"/>
        </w:rPr>
        <w:t>[23]</w:t>
        <w:tab/>
      </w:r>
      <w:r>
        <w:rPr>
          <w:rFonts w:ascii="Times New Roman" w:hAnsi="Times New Roman"/>
          <w:b w:val="0"/>
          <w:i w:val="0"/>
          <w:sz w:val="22"/>
        </w:rPr>
        <w:t>A. Chattopadhay, A. Sarkar, P. Howlader, and V. N. Balasubramanian, "Grad-CAM++: Generalized Gradient-Based Visual Explanations for Deep Convolutional Networks," in</w:t>
      </w:r>
      <w:r>
        <w:rPr>
          <w:rFonts w:ascii="Times New Roman" w:hAnsi="Times New Roman"/>
          <w:b w:val="0"/>
          <w:i/>
          <w:sz w:val="22"/>
        </w:rPr>
        <w:t>Proc. IEEE Winter Conf. Applications of Computer Vision (WACV)</w:t>
      </w:r>
      <w:r>
        <w:rPr>
          <w:rFonts w:ascii="Times New Roman" w:hAnsi="Times New Roman"/>
          <w:b w:val="0"/>
          <w:i w:val="0"/>
          <w:sz w:val="22"/>
        </w:rPr>
        <w:t>, 2018, pp. 839–847.</w:t>
      </w:r>
    </w:p>
    <w:p>
      <w:pPr>
        <w:spacing w:before="60" w:after="120" w:line="300" w:lineRule="auto"/>
        <w:ind w:left="576" w:hanging="576"/>
      </w:pPr>
      <w:r>
        <w:rPr>
          <w:rFonts w:ascii="Times New Roman" w:hAnsi="Times New Roman"/>
          <w:b/>
          <w:sz w:val="22"/>
        </w:rPr>
        <w:t>[24]</w:t>
        <w:tab/>
      </w:r>
      <w:r>
        <w:rPr>
          <w:rFonts w:ascii="Times New Roman" w:hAnsi="Times New Roman"/>
          <w:b w:val="0"/>
          <w:i w:val="0"/>
          <w:sz w:val="22"/>
        </w:rPr>
        <w:t>E. R. DeLong, D. M. DeLong, and D. L. Clarke-Pearson, "Comparing the areas under two or more correlated receiver operating characteristic curves: A nonparametric approach,"</w:t>
      </w:r>
      <w:r>
        <w:rPr>
          <w:rFonts w:ascii="Times New Roman" w:hAnsi="Times New Roman"/>
          <w:b w:val="0"/>
          <w:i/>
          <w:sz w:val="22"/>
        </w:rPr>
        <w:t>Biometrics</w:t>
      </w:r>
      <w:r>
        <w:rPr>
          <w:rFonts w:ascii="Times New Roman" w:hAnsi="Times New Roman"/>
          <w:b w:val="0"/>
          <w:i w:val="0"/>
          <w:sz w:val="22"/>
        </w:rPr>
        <w:t>, vol. 44, no. 3, pp. 837–845, Sep. 1988.</w:t>
      </w:r>
    </w:p>
    <w:p>
      <w:pPr>
        <w:spacing w:before="60" w:after="120" w:line="300" w:lineRule="auto"/>
        <w:ind w:left="576" w:hanging="576"/>
      </w:pPr>
      <w:r>
        <w:rPr>
          <w:rFonts w:ascii="Times New Roman" w:hAnsi="Times New Roman"/>
          <w:b/>
          <w:sz w:val="22"/>
        </w:rPr>
        <w:t>[25]</w:t>
        <w:tab/>
      </w:r>
      <w:r>
        <w:rPr>
          <w:rFonts w:ascii="Times New Roman" w:hAnsi="Times New Roman"/>
          <w:b w:val="0"/>
          <w:i w:val="0"/>
          <w:sz w:val="22"/>
        </w:rPr>
        <w:t>S. Gaw, P. Sharma, and M. Verma, "Optimized Deep Learning Ensemble for Accurate Oral Cancer Detection Using CNNs,"</w:t>
      </w:r>
      <w:r>
        <w:rPr>
          <w:rFonts w:ascii="Times New Roman" w:hAnsi="Times New Roman"/>
          <w:b w:val="0"/>
          <w:i/>
          <w:sz w:val="22"/>
        </w:rPr>
        <w:t>Computers in Biology and Medicine</w:t>
      </w:r>
      <w:r>
        <w:rPr>
          <w:rFonts w:ascii="Times New Roman" w:hAnsi="Times New Roman"/>
          <w:b w:val="0"/>
          <w:i w:val="0"/>
          <w:sz w:val="22"/>
        </w:rPr>
        <w:t>, vol. 184, p. 109350, 2025.</w:t>
      </w:r>
    </w:p>
    <w:p>
      <w:pPr>
        <w:spacing w:before="60" w:after="120" w:line="300" w:lineRule="auto"/>
        <w:ind w:left="576" w:hanging="576"/>
      </w:pPr>
      <w:r>
        <w:rPr>
          <w:rFonts w:ascii="Times New Roman" w:hAnsi="Times New Roman"/>
          <w:b/>
          <w:sz w:val="22"/>
        </w:rPr>
        <w:t>[26]</w:t>
        <w:tab/>
      </w:r>
      <w:r>
        <w:rPr>
          <w:rFonts w:ascii="Times New Roman" w:hAnsi="Times New Roman"/>
          <w:b w:val="0"/>
          <w:i w:val="0"/>
          <w:sz w:val="22"/>
        </w:rPr>
        <w:t>Research Square Consortium, "AI for Classifying Oral Cancer and Precursor Lesions Using Visible-Light Photography,"</w:t>
      </w:r>
      <w:r>
        <w:rPr>
          <w:rFonts w:ascii="Times New Roman" w:hAnsi="Times New Roman"/>
          <w:b w:val="0"/>
          <w:i/>
          <w:sz w:val="22"/>
        </w:rPr>
        <w:t>Research Square Preprints</w:t>
      </w:r>
      <w:r>
        <w:rPr>
          <w:rFonts w:ascii="Times New Roman" w:hAnsi="Times New Roman"/>
          <w:b w:val="0"/>
          <w:i w:val="0"/>
          <w:sz w:val="22"/>
        </w:rPr>
        <w:t>, doi: 10.21203/rs.3.rs-3920145/v1, Feb. 2026.</w:t>
      </w:r>
    </w:p>
    <w:p>
      <w:pPr>
        <w:spacing w:before="60" w:after="120" w:line="300" w:lineRule="auto"/>
        <w:ind w:left="576" w:hanging="576"/>
      </w:pPr>
      <w:r>
        <w:rPr>
          <w:rFonts w:ascii="Times New Roman" w:hAnsi="Times New Roman"/>
          <w:b/>
          <w:sz w:val="22"/>
        </w:rPr>
        <w:t>[27]</w:t>
        <w:tab/>
      </w:r>
      <w:r>
        <w:rPr>
          <w:rFonts w:ascii="Times New Roman" w:hAnsi="Times New Roman"/>
          <w:b w:val="0"/>
          <w:i w:val="0"/>
          <w:sz w:val="22"/>
        </w:rPr>
        <w:t>K. He, X. Zhang, S. Ren, and J. Sun, "Deep Residual Learning for Image Recognition," in</w:t>
      </w:r>
      <w:r>
        <w:rPr>
          <w:rFonts w:ascii="Times New Roman" w:hAnsi="Times New Roman"/>
          <w:b w:val="0"/>
          <w:i/>
          <w:sz w:val="22"/>
        </w:rPr>
        <w:t>Proc. IEEE Conf. Computer Vision and Pattern Recognition (CVPR)</w:t>
      </w:r>
      <w:r>
        <w:rPr>
          <w:rFonts w:ascii="Times New Roman" w:hAnsi="Times New Roman"/>
          <w:b w:val="0"/>
          <w:i w:val="0"/>
          <w:sz w:val="22"/>
        </w:rPr>
        <w:t>, 2016, pp. 770–778.</w:t>
      </w:r>
    </w:p>
    <w:p>
      <w:pPr>
        <w:spacing w:before="60" w:after="120" w:line="300" w:lineRule="auto"/>
        <w:ind w:left="576" w:hanging="576"/>
      </w:pPr>
      <w:r>
        <w:rPr>
          <w:rFonts w:ascii="Times New Roman" w:hAnsi="Times New Roman"/>
          <w:b/>
          <w:sz w:val="22"/>
        </w:rPr>
        <w:t>[28]</w:t>
        <w:tab/>
      </w:r>
      <w:r>
        <w:rPr>
          <w:rFonts w:ascii="Times New Roman" w:hAnsi="Times New Roman"/>
          <w:b w:val="0"/>
          <w:i w:val="0"/>
          <w:sz w:val="22"/>
        </w:rPr>
        <w:t>M. Tan and Q. V. Le, "EfficientNet: Rethinking Model Scaling for Convolutional Neural Networks," in</w:t>
      </w:r>
      <w:r>
        <w:rPr>
          <w:rFonts w:ascii="Times New Roman" w:hAnsi="Times New Roman"/>
          <w:b w:val="0"/>
          <w:i/>
          <w:sz w:val="22"/>
        </w:rPr>
        <w:t>Proc. 36th Int. Conf. Machine Learning (ICML)</w:t>
      </w:r>
      <w:r>
        <w:rPr>
          <w:rFonts w:ascii="Times New Roman" w:hAnsi="Times New Roman"/>
          <w:b w:val="0"/>
          <w:i w:val="0"/>
          <w:sz w:val="22"/>
        </w:rPr>
        <w:t>, 2019, pp. 6105–6114.</w:t>
      </w:r>
    </w:p>
    <w:p>
      <w:pPr>
        <w:spacing w:before="60" w:after="120" w:line="300" w:lineRule="auto"/>
        <w:ind w:left="576" w:hanging="576"/>
      </w:pPr>
      <w:r>
        <w:rPr>
          <w:rFonts w:ascii="Times New Roman" w:hAnsi="Times New Roman"/>
          <w:b/>
          <w:sz w:val="22"/>
        </w:rPr>
        <w:t>[29]</w:t>
        <w:tab/>
      </w:r>
      <w:r>
        <w:rPr>
          <w:rFonts w:ascii="Times New Roman" w:hAnsi="Times New Roman"/>
          <w:b w:val="0"/>
          <w:i w:val="0"/>
          <w:sz w:val="22"/>
        </w:rPr>
        <w:t>M. Sandler, A. Howard, M. Zhu, A. Zhmoginov, and L.-C. Chen, "MobileNetV2: Inverted Residuals and Linear Bottlenecks," in</w:t>
      </w:r>
      <w:r>
        <w:rPr>
          <w:rFonts w:ascii="Times New Roman" w:hAnsi="Times New Roman"/>
          <w:b w:val="0"/>
          <w:i/>
          <w:sz w:val="22"/>
        </w:rPr>
        <w:t>Proc. IEEE/CVF Conf. Computer Vision and Pattern Recognition (CVPR)</w:t>
      </w:r>
      <w:r>
        <w:rPr>
          <w:rFonts w:ascii="Times New Roman" w:hAnsi="Times New Roman"/>
          <w:b w:val="0"/>
          <w:i w:val="0"/>
          <w:sz w:val="22"/>
        </w:rPr>
        <w:t>, 2018, pp. 4510–4520.</w:t>
      </w:r>
    </w:p>
    <w:p>
      <w:pPr>
        <w:spacing w:before="60" w:after="120" w:line="300" w:lineRule="auto"/>
        <w:ind w:left="576" w:hanging="576"/>
      </w:pPr>
      <w:r>
        <w:rPr>
          <w:rFonts w:ascii="Times New Roman" w:hAnsi="Times New Roman"/>
          <w:b/>
          <w:sz w:val="22"/>
        </w:rPr>
        <w:t>[30]</w:t>
        <w:tab/>
      </w:r>
      <w:r>
        <w:rPr>
          <w:rFonts w:ascii="Times New Roman" w:hAnsi="Times New Roman"/>
          <w:b w:val="0"/>
          <w:i w:val="0"/>
          <w:sz w:val="22"/>
        </w:rPr>
        <w:t>N. Srivastava, G. Hinton, A. Krizhevsky, I. Sutskever, and R. Salakhutdinov, "Dropout: A Simple Way to Prevent Neural Networks from Overfitting,"</w:t>
      </w:r>
      <w:r>
        <w:rPr>
          <w:rFonts w:ascii="Times New Roman" w:hAnsi="Times New Roman"/>
          <w:b w:val="0"/>
          <w:i/>
          <w:sz w:val="22"/>
        </w:rPr>
        <w:t>Journal of Machine Learning Research</w:t>
      </w:r>
      <w:r>
        <w:rPr>
          <w:rFonts w:ascii="Times New Roman" w:hAnsi="Times New Roman"/>
          <w:b w:val="0"/>
          <w:i w:val="0"/>
          <w:sz w:val="22"/>
        </w:rPr>
        <w:t>, vol. 15, no. 1, pp. 1929–1958, 2014.</w:t>
      </w:r>
    </w:p>
    <w:p>
      <w:pPr>
        <w:spacing w:before="60" w:after="120" w:line="300" w:lineRule="auto"/>
        <w:ind w:left="576" w:hanging="576"/>
      </w:pPr>
      <w:r>
        <w:rPr>
          <w:rFonts w:ascii="Times New Roman" w:hAnsi="Times New Roman"/>
          <w:b/>
          <w:sz w:val="22"/>
        </w:rPr>
        <w:t>[31]</w:t>
        <w:tab/>
      </w:r>
      <w:r>
        <w:rPr>
          <w:rFonts w:ascii="Times New Roman" w:hAnsi="Times New Roman"/>
          <w:b w:val="0"/>
          <w:i w:val="0"/>
          <w:sz w:val="22"/>
        </w:rPr>
        <w:t>J. Mongan, L. Moy, and C. E. Kahn Jr, "Checklist for Artificial Intelligence in Medical Imaging (CLAIM): 2024 Update,"</w:t>
      </w:r>
      <w:r>
        <w:rPr>
          <w:rFonts w:ascii="Times New Roman" w:hAnsi="Times New Roman"/>
          <w:b w:val="0"/>
          <w:i/>
          <w:sz w:val="22"/>
        </w:rPr>
        <w:t>Radiology: Artificial Intelligence</w:t>
      </w:r>
      <w:r>
        <w:rPr>
          <w:rFonts w:ascii="Times New Roman" w:hAnsi="Times New Roman"/>
          <w:b w:val="0"/>
          <w:i w:val="0"/>
          <w:sz w:val="22"/>
        </w:rPr>
        <w:t>, vol. 6, no. 2, p. e230300, 2024.</w:t>
      </w:r>
    </w:p>
    <w:p>
      <w:pPr>
        <w:spacing w:before="60" w:after="120" w:line="300" w:lineRule="auto"/>
        <w:ind w:left="576" w:hanging="576"/>
      </w:pPr>
      <w:r>
        <w:rPr>
          <w:rFonts w:ascii="Times New Roman" w:hAnsi="Times New Roman"/>
          <w:b/>
          <w:sz w:val="22"/>
        </w:rPr>
        <w:t>[32]</w:t>
        <w:tab/>
      </w:r>
      <w:r>
        <w:rPr>
          <w:rFonts w:ascii="Times New Roman" w:hAnsi="Times New Roman"/>
          <w:b w:val="0"/>
          <w:i w:val="0"/>
          <w:sz w:val="22"/>
        </w:rPr>
        <w:t>G. S. Collins, K. G. M. Moons, et al., "TRIPOD+AI statement: updated guidance for reporting clinical prediction models that use machine learning or artificial intelligence,"</w:t>
      </w:r>
      <w:r>
        <w:rPr>
          <w:rFonts w:ascii="Times New Roman" w:hAnsi="Times New Roman"/>
          <w:b w:val="0"/>
          <w:i/>
          <w:sz w:val="22"/>
        </w:rPr>
        <w:t>The BMJ</w:t>
      </w:r>
      <w:r>
        <w:rPr>
          <w:rFonts w:ascii="Times New Roman" w:hAnsi="Times New Roman"/>
          <w:b w:val="0"/>
          <w:i w:val="0"/>
          <w:sz w:val="22"/>
        </w:rPr>
        <w:t>, vol. 385, p. e078378, Apr. 2024.</w:t>
      </w:r>
    </w:p>
    <w:p>
      <w:pPr>
        <w:spacing w:before="60" w:after="120" w:line="300" w:lineRule="auto"/>
        <w:ind w:left="576" w:hanging="576"/>
      </w:pPr>
      <w:r>
        <w:rPr>
          <w:rFonts w:ascii="Times New Roman" w:hAnsi="Times New Roman"/>
          <w:b/>
          <w:sz w:val="22"/>
        </w:rPr>
        <w:t>[33]</w:t>
        <w:tab/>
      </w:r>
      <w:r>
        <w:rPr>
          <w:rFonts w:ascii="Times New Roman" w:hAnsi="Times New Roman"/>
          <w:b w:val="0"/>
          <w:i w:val="0"/>
          <w:sz w:val="22"/>
        </w:rPr>
        <w:t>World Health Organization,</w:t>
      </w:r>
      <w:r>
        <w:rPr>
          <w:rFonts w:ascii="Times New Roman" w:hAnsi="Times New Roman"/>
          <w:b w:val="0"/>
          <w:i/>
          <w:sz w:val="22"/>
        </w:rPr>
        <w:t>Ethics and governance of artificial intelligence for health: WHO guidance</w:t>
      </w:r>
      <w:r>
        <w:rPr>
          <w:rFonts w:ascii="Times New Roman" w:hAnsi="Times New Roman"/>
          <w:b w:val="0"/>
          <w:i w:val="0"/>
          <w:sz w:val="22"/>
        </w:rPr>
        <w:t>, Geneva: World Health Organization, 2021.</w:t>
      </w:r>
    </w:p>
    <w:p>
      <w:pPr>
        <w:spacing w:before="60" w:after="120" w:line="300" w:lineRule="auto"/>
        <w:ind w:left="576" w:hanging="576"/>
      </w:pPr>
      <w:r>
        <w:rPr>
          <w:rFonts w:ascii="Times New Roman" w:hAnsi="Times New Roman"/>
          <w:b/>
          <w:sz w:val="22"/>
        </w:rPr>
        <w:t>[34]</w:t>
        <w:tab/>
      </w:r>
      <w:r>
        <w:rPr>
          <w:rFonts w:ascii="Times New Roman" w:hAnsi="Times New Roman"/>
          <w:b w:val="0"/>
          <w:i w:val="0"/>
          <w:sz w:val="22"/>
        </w:rPr>
        <w:t>U.S. Food and Drug Administration, "Artificial Intelligence/Machine Learning (AI/ML)-Based Software as a Medical Device (SaMD) Action Plan," FDA Center for Devices and Radiological Health, Jan. 2021.</w:t>
      </w:r>
    </w:p>
    <w:p>
      <w:pPr>
        <w:spacing w:before="60" w:after="120" w:line="300" w:lineRule="auto"/>
        <w:ind w:left="576" w:hanging="576"/>
      </w:pPr>
      <w:r>
        <w:rPr>
          <w:rFonts w:ascii="Times New Roman" w:hAnsi="Times New Roman"/>
          <w:b/>
          <w:sz w:val="22"/>
        </w:rPr>
        <w:t>[35]</w:t>
        <w:tab/>
      </w:r>
      <w:r>
        <w:rPr>
          <w:rFonts w:ascii="Times New Roman" w:hAnsi="Times New Roman"/>
          <w:b w:val="0"/>
          <w:i w:val="0"/>
          <w:sz w:val="22"/>
        </w:rPr>
        <w:t>G. W. Brier, "Verification of forecasts expressed in terms of probability,"</w:t>
      </w:r>
      <w:r>
        <w:rPr>
          <w:rFonts w:ascii="Times New Roman" w:hAnsi="Times New Roman"/>
          <w:b w:val="0"/>
          <w:i/>
          <w:sz w:val="22"/>
        </w:rPr>
        <w:t>Monthly Weather Review</w:t>
      </w:r>
      <w:r>
        <w:rPr>
          <w:rFonts w:ascii="Times New Roman" w:hAnsi="Times New Roman"/>
          <w:b w:val="0"/>
          <w:i w:val="0"/>
          <w:sz w:val="22"/>
        </w:rPr>
        <w:t>, vol. 78, no. 1, pp. 1–3, 1950.</w:t>
      </w:r>
    </w:p>
    <w:p>
      <w:pPr>
        <w:spacing w:before="60" w:after="120" w:line="300" w:lineRule="auto"/>
        <w:ind w:left="576" w:hanging="576"/>
      </w:pPr>
      <w:r>
        <w:rPr>
          <w:rFonts w:ascii="Times New Roman" w:hAnsi="Times New Roman"/>
          <w:b/>
          <w:sz w:val="22"/>
        </w:rPr>
        <w:t>[36]</w:t>
        <w:tab/>
      </w:r>
      <w:r>
        <w:rPr>
          <w:rFonts w:ascii="Times New Roman" w:hAnsi="Times New Roman"/>
          <w:b w:val="0"/>
          <w:i w:val="0"/>
          <w:sz w:val="22"/>
        </w:rPr>
        <w:t>A. J. Vickers and E. B. Elkin, "Decision curve analysis: a novel method for evaluating prediction models,"</w:t>
      </w:r>
      <w:r>
        <w:rPr>
          <w:rFonts w:ascii="Times New Roman" w:hAnsi="Times New Roman"/>
          <w:b w:val="0"/>
          <w:i/>
          <w:sz w:val="22"/>
        </w:rPr>
        <w:t>Medical Decision Making</w:t>
      </w:r>
      <w:r>
        <w:rPr>
          <w:rFonts w:ascii="Times New Roman" w:hAnsi="Times New Roman"/>
          <w:b w:val="0"/>
          <w:i w:val="0"/>
          <w:sz w:val="22"/>
        </w:rPr>
        <w:t>, vol. 26, no. 6, pp. 565–574, 2006.</w:t>
      </w:r>
    </w:p>
    <w:p>
      <w:pPr>
        <w:spacing w:before="60" w:after="120" w:line="300" w:lineRule="auto"/>
        <w:ind w:left="576" w:hanging="576"/>
      </w:pPr>
      <w:r>
        <w:rPr>
          <w:rFonts w:ascii="Times New Roman" w:hAnsi="Times New Roman"/>
          <w:b/>
          <w:sz w:val="22"/>
        </w:rPr>
        <w:t>[37]</w:t>
        <w:tab/>
      </w:r>
      <w:r>
        <w:rPr>
          <w:rFonts w:ascii="Times New Roman" w:hAnsi="Times New Roman"/>
          <w:b w:val="0"/>
          <w:i w:val="0"/>
          <w:sz w:val="22"/>
        </w:rPr>
        <w:t>M. M. R. Krishnan, V. Venkataraman, et al., "Automated texture analysis of oral submucous fibrosis images using higher order spectra,"</w:t>
      </w:r>
      <w:r>
        <w:rPr>
          <w:rFonts w:ascii="Times New Roman" w:hAnsi="Times New Roman"/>
          <w:b w:val="0"/>
          <w:i/>
          <w:sz w:val="22"/>
        </w:rPr>
        <w:t>Journal of Medical Systems</w:t>
      </w:r>
      <w:r>
        <w:rPr>
          <w:rFonts w:ascii="Times New Roman" w:hAnsi="Times New Roman"/>
          <w:b w:val="0"/>
          <w:i w:val="0"/>
          <w:sz w:val="22"/>
        </w:rPr>
        <w:t>, vol. 35, no. 4, pp. 539–548, 2009.</w:t>
      </w:r>
    </w:p>
    <w:p>
      <w:pPr>
        <w:spacing w:before="60" w:after="120" w:line="300" w:lineRule="auto"/>
        <w:ind w:left="576" w:hanging="576"/>
      </w:pPr>
      <w:r>
        <w:rPr>
          <w:rFonts w:ascii="Times New Roman" w:hAnsi="Times New Roman"/>
          <w:b/>
          <w:sz w:val="22"/>
        </w:rPr>
        <w:t>[38]</w:t>
        <w:tab/>
      </w:r>
      <w:r>
        <w:rPr>
          <w:rFonts w:ascii="Times New Roman" w:hAnsi="Times New Roman"/>
          <w:b w:val="0"/>
          <w:i w:val="0"/>
          <w:sz w:val="22"/>
        </w:rPr>
        <w:t>S. Sunny, A. Baby, et al., "Diagnostic performance of a digital cytology platform for oral cancer screening,"</w:t>
      </w:r>
      <w:r>
        <w:rPr>
          <w:rFonts w:ascii="Times New Roman" w:hAnsi="Times New Roman"/>
          <w:b w:val="0"/>
          <w:i/>
          <w:sz w:val="22"/>
        </w:rPr>
        <w:t>Cancer Prevention Research</w:t>
      </w:r>
      <w:r>
        <w:rPr>
          <w:rFonts w:ascii="Times New Roman" w:hAnsi="Times New Roman"/>
          <w:b w:val="0"/>
          <w:i w:val="0"/>
          <w:sz w:val="22"/>
        </w:rPr>
        <w:t>, vol. 7, no. 11, pp. 1070–1078, 2014.</w:t>
      </w:r>
    </w:p>
    <w:p>
      <w:pPr>
        <w:spacing w:before="60" w:after="120" w:line="300" w:lineRule="auto"/>
        <w:ind w:left="576" w:hanging="576"/>
      </w:pPr>
      <w:r>
        <w:rPr>
          <w:rFonts w:ascii="Times New Roman" w:hAnsi="Times New Roman"/>
          <w:b/>
          <w:sz w:val="22"/>
        </w:rPr>
        <w:t>[39]</w:t>
        <w:tab/>
      </w:r>
      <w:r>
        <w:rPr>
          <w:rFonts w:ascii="Times New Roman" w:hAnsi="Times New Roman"/>
          <w:b w:val="0"/>
          <w:i w:val="0"/>
          <w:sz w:val="22"/>
        </w:rPr>
        <w:t>A. Devraj et al., "Color-morphometric segmentation and classification of oral ulcerations using active contours,"</w:t>
      </w:r>
      <w:r>
        <w:rPr>
          <w:rFonts w:ascii="Times New Roman" w:hAnsi="Times New Roman"/>
          <w:b w:val="0"/>
          <w:i/>
          <w:sz w:val="22"/>
        </w:rPr>
        <w:t>Journal of Oral Pathology &amp; Medicine</w:t>
      </w:r>
      <w:r>
        <w:rPr>
          <w:rFonts w:ascii="Times New Roman" w:hAnsi="Times New Roman"/>
          <w:b w:val="0"/>
          <w:i w:val="0"/>
          <w:sz w:val="22"/>
        </w:rPr>
        <w:t>, vol. 45, no. 8, pp. 600–607, 2016.</w:t>
      </w:r>
    </w:p>
    <w:p>
      <w:pPr>
        <w:spacing w:before="60" w:after="120" w:line="300" w:lineRule="auto"/>
        <w:ind w:left="576" w:hanging="576"/>
      </w:pPr>
      <w:r>
        <w:rPr>
          <w:rFonts w:ascii="Times New Roman" w:hAnsi="Times New Roman"/>
          <w:b/>
          <w:sz w:val="22"/>
        </w:rPr>
        <w:t>[40]</w:t>
        <w:tab/>
      </w:r>
      <w:r>
        <w:rPr>
          <w:rFonts w:ascii="Times New Roman" w:hAnsi="Times New Roman"/>
          <w:b w:val="0"/>
          <w:i w:val="0"/>
          <w:sz w:val="22"/>
        </w:rPr>
        <w:t>C. Chao et al., "Swin-Oral: Swin Transformer for Oral Leukoplakia and Squamous Cell Carcinoma Detection,"</w:t>
      </w:r>
      <w:r>
        <w:rPr>
          <w:rFonts w:ascii="Times New Roman" w:hAnsi="Times New Roman"/>
          <w:b w:val="0"/>
          <w:i/>
          <w:sz w:val="22"/>
        </w:rPr>
        <w:t>IEEE Transactions on Medical Imaging</w:t>
      </w:r>
      <w:r>
        <w:rPr>
          <w:rFonts w:ascii="Times New Roman" w:hAnsi="Times New Roman"/>
          <w:b w:val="0"/>
          <w:i w:val="0"/>
          <w:sz w:val="22"/>
        </w:rPr>
        <w:t>, vol. 42, no. 9, pp. 2580–2592, 2023.</w:t>
      </w:r>
    </w:p>
    <w:p>
      <w:pPr>
        <w:spacing w:before="60" w:after="120" w:line="300" w:lineRule="auto"/>
        <w:ind w:left="576" w:hanging="576"/>
      </w:pPr>
      <w:r>
        <w:rPr>
          <w:rFonts w:ascii="Times New Roman" w:hAnsi="Times New Roman"/>
          <w:b/>
          <w:sz w:val="22"/>
        </w:rPr>
        <w:t>[41]</w:t>
        <w:tab/>
      </w:r>
      <w:r>
        <w:rPr>
          <w:rFonts w:ascii="Times New Roman" w:hAnsi="Times New Roman"/>
          <w:b w:val="0"/>
          <w:i w:val="0"/>
          <w:sz w:val="22"/>
        </w:rPr>
        <w:t>Z. Liu et al., "Swin Transformer: Hierarchical Vision Transformer using Shifted Windows," in</w:t>
      </w:r>
      <w:r>
        <w:rPr>
          <w:rFonts w:ascii="Times New Roman" w:hAnsi="Times New Roman"/>
          <w:b w:val="0"/>
          <w:i/>
          <w:sz w:val="22"/>
        </w:rPr>
        <w:t>Proc. IEEE/CVF Int. Conf. Computer Vision (ICCV)</w:t>
      </w:r>
      <w:r>
        <w:rPr>
          <w:rFonts w:ascii="Times New Roman" w:hAnsi="Times New Roman"/>
          <w:b w:val="0"/>
          <w:i w:val="0"/>
          <w:sz w:val="22"/>
        </w:rPr>
        <w:t>, 2021, pp. 10012–10022.</w:t>
      </w:r>
    </w:p>
    <w:p>
      <w:pPr>
        <w:spacing w:before="60" w:after="120" w:line="300" w:lineRule="auto"/>
        <w:ind w:left="576" w:hanging="576"/>
      </w:pPr>
      <w:r>
        <w:rPr>
          <w:rFonts w:ascii="Times New Roman" w:hAnsi="Times New Roman"/>
          <w:b/>
          <w:sz w:val="22"/>
        </w:rPr>
        <w:t>[42]</w:t>
        <w:tab/>
      </w:r>
      <w:r>
        <w:rPr>
          <w:rFonts w:ascii="Times New Roman" w:hAnsi="Times New Roman"/>
          <w:b w:val="0"/>
          <w:i w:val="0"/>
          <w:sz w:val="22"/>
        </w:rPr>
        <w:t>D. J. Beutel et al., "Flower: A Friendly Federated Learning Research Framework,"</w:t>
      </w:r>
      <w:r>
        <w:rPr>
          <w:rFonts w:ascii="Times New Roman" w:hAnsi="Times New Roman"/>
          <w:b w:val="0"/>
          <w:i/>
          <w:sz w:val="22"/>
        </w:rPr>
        <w:t>arXiv preprint arXiv:2007.14390</w:t>
      </w:r>
      <w:r>
        <w:rPr>
          <w:rFonts w:ascii="Times New Roman" w:hAnsi="Times New Roman"/>
          <w:b w:val="0"/>
          <w:i w:val="0"/>
          <w:sz w:val="22"/>
        </w:rPr>
        <w:t>, 2020.</w:t>
      </w:r>
    </w:p>
    <w:p>
      <w:pPr>
        <w:spacing w:before="60" w:after="120" w:line="300" w:lineRule="auto"/>
        <w:ind w:left="576" w:hanging="576"/>
      </w:pPr>
      <w:r>
        <w:rPr>
          <w:rFonts w:ascii="Times New Roman" w:hAnsi="Times New Roman"/>
          <w:b/>
          <w:sz w:val="22"/>
        </w:rPr>
        <w:t>[43]</w:t>
        <w:tab/>
      </w:r>
      <w:r>
        <w:rPr>
          <w:rFonts w:ascii="Times New Roman" w:hAnsi="Times New Roman"/>
          <w:b w:val="0"/>
          <w:i w:val="0"/>
          <w:sz w:val="22"/>
        </w:rPr>
        <w:t>M. Moor et al., "Foundation models for generalist medical artificial intelligence,"</w:t>
      </w:r>
      <w:r>
        <w:rPr>
          <w:rFonts w:ascii="Times New Roman" w:hAnsi="Times New Roman"/>
          <w:b w:val="0"/>
          <w:i/>
          <w:sz w:val="22"/>
        </w:rPr>
        <w:t>Nature</w:t>
      </w:r>
      <w:r>
        <w:rPr>
          <w:rFonts w:ascii="Times New Roman" w:hAnsi="Times New Roman"/>
          <w:b w:val="0"/>
          <w:i w:val="0"/>
          <w:sz w:val="22"/>
        </w:rPr>
        <w:t>, vol. 616, no. 7956, pp. 259–265, 2023.</w:t>
      </w:r>
    </w:p>
    <w:p>
      <w:pPr>
        <w:spacing w:before="60" w:after="120" w:line="300" w:lineRule="auto"/>
        <w:ind w:left="576" w:hanging="576"/>
      </w:pPr>
      <w:r>
        <w:rPr>
          <w:rFonts w:ascii="Times New Roman" w:hAnsi="Times New Roman"/>
          <w:b/>
          <w:sz w:val="22"/>
        </w:rPr>
        <w:t>[44]</w:t>
        <w:tab/>
      </w:r>
      <w:r>
        <w:rPr>
          <w:rFonts w:ascii="Times New Roman" w:hAnsi="Times New Roman"/>
          <w:b w:val="0"/>
          <w:i w:val="0"/>
          <w:sz w:val="22"/>
        </w:rPr>
        <w:t>T.-Y. Lin, P. Goyal, R. Girshick, K. He, and P. Doll{\'a}r, "Focal Loss for Dense Object Detection," in</w:t>
      </w:r>
      <w:r>
        <w:rPr>
          <w:rFonts w:ascii="Times New Roman" w:hAnsi="Times New Roman"/>
          <w:b w:val="0"/>
          <w:i/>
          <w:sz w:val="22"/>
        </w:rPr>
        <w:t>Proc. IEEE Int. Conf. Computer Vision (ICCV)</w:t>
      </w:r>
      <w:r>
        <w:rPr>
          <w:rFonts w:ascii="Times New Roman" w:hAnsi="Times New Roman"/>
          <w:b w:val="0"/>
          <w:i w:val="0"/>
          <w:sz w:val="22"/>
        </w:rPr>
        <w:t>, 2017, pp. 2980–2988.</w:t>
      </w:r>
    </w:p>
    <w:p>
      <w:pPr>
        <w:spacing w:before="60" w:after="120" w:line="300" w:lineRule="auto"/>
        <w:ind w:left="576" w:hanging="576"/>
      </w:pPr>
      <w:r>
        <w:rPr>
          <w:rFonts w:ascii="Times New Roman" w:hAnsi="Times New Roman"/>
          <w:b/>
          <w:sz w:val="22"/>
        </w:rPr>
        <w:t>[45]</w:t>
        <w:tab/>
      </w:r>
      <w:r>
        <w:rPr>
          <w:rFonts w:ascii="Times New Roman" w:hAnsi="Times New Roman"/>
          <w:b w:val="0"/>
          <w:i w:val="0"/>
          <w:sz w:val="22"/>
        </w:rPr>
        <w:t>M. J. Turan et al., "Recommendation for Password-Based Key Derivation: Part 1, Storage Applications," NIST Special Publication 800-132, National Institute of Standards and Technology, Gaithersburg, MD, 2016.</w:t>
      </w:r>
    </w:p>
    <w:p>
      <w:pPr>
        <w:spacing w:before="360" w:after="360" w:line="360" w:lineRule="auto"/>
        <w:jc w:val="center"/>
      </w:pPr>
      <w:r>
        <w:rPr>
          <w:rFonts w:ascii="Times New Roman" w:hAnsi="Times New Roman"/>
          <w:b/>
          <w:i w:val="0"/>
          <w:color w:val="0A2D5A"/>
          <w:sz w:val="32"/>
        </w:rPr>
        <w:t>ANNEXURE A: BIOMEDICAL \&amp; AI GLOSSARY</w:t>
      </w:r>
    </w:p>
    <w:p>
      <w:pPr>
        <w:spacing w:before="40" w:after="120" w:line="360" w:lineRule="auto"/>
        <w:jc w:val="both"/>
      </w:pPr>
    </w:p>
    <w:p>
      <w:pPr>
        <w:spacing w:before="40" w:after="120" w:line="360" w:lineRule="auto"/>
        <w:jc w:val="both"/>
      </w:pPr>
      <w:r>
        <w:rPr>
          <w:rFonts w:ascii="Times New Roman" w:hAnsi="Times New Roman"/>
          <w:b w:val="0"/>
          <w:i w:val="0"/>
          <w:sz w:val="24"/>
        </w:rPr>
        <w:t>This glossary provides formal definitions for 45 medical, epidemiological, and machine learning terms utilized throughout this dissertation:</w:t>
      </w:r>
    </w:p>
    <w:p>
      <w:pPr>
        <w:spacing w:before="40" w:after="80" w:line="312" w:lineRule="auto"/>
        <w:ind w:left="576"/>
      </w:pPr>
      <w:r>
        <w:rPr>
          <w:rFonts w:ascii="Times New Roman" w:hAnsi="Times New Roman"/>
          <w:b/>
          <w:sz w:val="22"/>
        </w:rPr>
        <w:t xml:space="preserve">1. </w:t>
      </w:r>
      <w:r>
        <w:rPr>
          <w:rFonts w:ascii="Times New Roman" w:hAnsi="Times New Roman"/>
          <w:b/>
          <w:i w:val="0"/>
          <w:sz w:val="23"/>
        </w:rPr>
        <w:t>Aleatoric Uncertainty:</w:t>
      </w:r>
      <w:r>
        <w:rPr>
          <w:rFonts w:ascii="Times New Roman" w:hAnsi="Times New Roman"/>
          <w:b w:val="0"/>
          <w:i w:val="0"/>
          <w:sz w:val="23"/>
        </w:rPr>
        <w:t>Statistical uncertainty arising from inherent stochastic noise in observations (e.g., optical camera sensor noise, mucosal reflection glare), which cannot be eliminated by collecting more training data.</w:t>
      </w:r>
    </w:p>
    <w:p>
      <w:pPr>
        <w:spacing w:before="40" w:after="80" w:line="312" w:lineRule="auto"/>
        <w:ind w:left="576"/>
      </w:pPr>
      <w:r>
        <w:rPr>
          <w:rFonts w:ascii="Times New Roman" w:hAnsi="Times New Roman"/>
          <w:b/>
          <w:sz w:val="22"/>
        </w:rPr>
        <w:t xml:space="preserve">2. </w:t>
      </w:r>
      <w:r>
        <w:rPr>
          <w:rFonts w:ascii="Times New Roman" w:hAnsi="Times New Roman"/>
          <w:b/>
          <w:i w:val="0"/>
          <w:sz w:val="23"/>
        </w:rPr>
        <w:t>Area Under the ROC Curve (AUROC):</w:t>
      </w:r>
      <w:r>
        <w:rPr>
          <w:rFonts w:ascii="Times New Roman" w:hAnsi="Times New Roman"/>
          <w:b w:val="0"/>
          <w:i w:val="0"/>
          <w:sz w:val="23"/>
        </w:rPr>
        <w:t>Threshold-independent metric quantifying a classifier's ability to rank positive instances higher than negative instances across all discrimination thresholds.</w:t>
      </w:r>
    </w:p>
    <w:p>
      <w:pPr>
        <w:spacing w:before="40" w:after="80" w:line="312" w:lineRule="auto"/>
        <w:ind w:left="576"/>
      </w:pPr>
      <w:r>
        <w:rPr>
          <w:rFonts w:ascii="Times New Roman" w:hAnsi="Times New Roman"/>
          <w:b/>
          <w:sz w:val="22"/>
        </w:rPr>
        <w:t xml:space="preserve">3. </w:t>
      </w:r>
      <w:r>
        <w:rPr>
          <w:rFonts w:ascii="Times New Roman" w:hAnsi="Times New Roman"/>
          <w:b/>
          <w:i w:val="0"/>
          <w:sz w:val="23"/>
        </w:rPr>
        <w:t>Arecoline:</w:t>
      </w:r>
      <w:r>
        <w:rPr>
          <w:rFonts w:ascii="Times New Roman" w:hAnsi="Times New Roman"/>
          <w:b w:val="0"/>
          <w:i w:val="0"/>
          <w:sz w:val="23"/>
        </w:rPr>
        <w:t>Primary psychoactive alkaloid found in areca nut that promotes fibroblast proliferation and extracellular matrix fibrosis, leading to Oral Submucous Fibrosis (OSF).</w:t>
      </w:r>
    </w:p>
    <w:p>
      <w:pPr>
        <w:spacing w:before="40" w:after="80" w:line="312" w:lineRule="auto"/>
        <w:ind w:left="576"/>
      </w:pPr>
      <w:r>
        <w:rPr>
          <w:rFonts w:ascii="Times New Roman" w:hAnsi="Times New Roman"/>
          <w:b/>
          <w:sz w:val="22"/>
        </w:rPr>
        <w:t xml:space="preserve">4. </w:t>
      </w:r>
      <w:r>
        <w:rPr>
          <w:rFonts w:ascii="Times New Roman" w:hAnsi="Times New Roman"/>
          <w:b/>
          <w:i w:val="0"/>
          <w:sz w:val="23"/>
        </w:rPr>
        <w:t>Bayesian Neural Network (BNN):</w:t>
      </w:r>
      <w:r>
        <w:rPr>
          <w:rFonts w:ascii="Times New Roman" w:hAnsi="Times New Roman"/>
          <w:b w:val="0"/>
          <w:i w:val="0"/>
          <w:sz w:val="23"/>
        </w:rPr>
        <w:t>Neural network topology where deterministic point weights are replaced by probability distributions over weights, allowing principled uncertainty quantification.</w:t>
      </w:r>
    </w:p>
    <w:p>
      <w:pPr>
        <w:spacing w:before="40" w:after="80" w:line="312" w:lineRule="auto"/>
        <w:ind w:left="576"/>
      </w:pPr>
      <w:r>
        <w:rPr>
          <w:rFonts w:ascii="Times New Roman" w:hAnsi="Times New Roman"/>
          <w:b/>
          <w:sz w:val="22"/>
        </w:rPr>
        <w:t xml:space="preserve">5. </w:t>
      </w:r>
      <w:r>
        <w:rPr>
          <w:rFonts w:ascii="Times New Roman" w:hAnsi="Times New Roman"/>
          <w:b/>
          <w:i w:val="0"/>
          <w:sz w:val="23"/>
        </w:rPr>
        <w:t>Brier Score:</w:t>
      </w:r>
      <w:r>
        <w:rPr>
          <w:rFonts w:ascii="Times New Roman" w:hAnsi="Times New Roman"/>
          <w:b w:val="0"/>
          <w:i w:val="0"/>
          <w:sz w:val="23"/>
        </w:rPr>
        <w:t>Proper score metric measuring the accuracy of probabilistic predictions, calculated as the mean squared difference between predicted probabilities and actual binary outcomes.</w:t>
      </w:r>
    </w:p>
    <w:p>
      <w:pPr>
        <w:spacing w:before="40" w:after="80" w:line="312" w:lineRule="auto"/>
        <w:ind w:left="576"/>
      </w:pPr>
      <w:r>
        <w:rPr>
          <w:rFonts w:ascii="Times New Roman" w:hAnsi="Times New Roman"/>
          <w:b/>
          <w:sz w:val="22"/>
        </w:rPr>
        <w:t xml:space="preserve">6. </w:t>
      </w:r>
      <w:r>
        <w:rPr>
          <w:rFonts w:ascii="Times New Roman" w:hAnsi="Times New Roman"/>
          <w:b/>
          <w:i w:val="0"/>
          <w:sz w:val="23"/>
        </w:rPr>
        <w:t>Carcinoma in Situ (CIS):</w:t>
      </w:r>
      <w:r>
        <w:rPr>
          <w:rFonts w:ascii="Times New Roman" w:hAnsi="Times New Roman"/>
          <w:b w:val="0"/>
          <w:i w:val="0"/>
          <w:sz w:val="23"/>
        </w:rPr>
        <w:t>Severe full-thickness epithelial dysplasia involving the complete mucosal layer without microscopic invasion through the basement membrane.</w:t>
      </w:r>
    </w:p>
    <w:p>
      <w:pPr>
        <w:spacing w:before="40" w:after="80" w:line="312" w:lineRule="auto"/>
        <w:ind w:left="576"/>
      </w:pPr>
      <w:r>
        <w:rPr>
          <w:rFonts w:ascii="Times New Roman" w:hAnsi="Times New Roman"/>
          <w:b/>
          <w:sz w:val="22"/>
        </w:rPr>
        <w:t xml:space="preserve">7. </w:t>
      </w:r>
      <w:r>
        <w:rPr>
          <w:rFonts w:ascii="Times New Roman" w:hAnsi="Times New Roman"/>
          <w:b/>
          <w:i w:val="0"/>
          <w:sz w:val="23"/>
        </w:rPr>
        <w:t>CIE L^*a^*b^* (CIELAB):</w:t>
      </w:r>
      <w:r>
        <w:rPr>
          <w:rFonts w:ascii="Times New Roman" w:hAnsi="Times New Roman"/>
          <w:b w:val="0"/>
          <w:i w:val="0"/>
          <w:sz w:val="23"/>
        </w:rPr>
        <w:t>Device-independent, perceptually uniform color space where L^* denotes perceptual lightness, a^* represents the red-green chromatic axis, and b^* represents the yellow-blue chromatic axis.</w:t>
      </w:r>
    </w:p>
    <w:p>
      <w:pPr>
        <w:spacing w:before="40" w:after="80" w:line="312" w:lineRule="auto"/>
        <w:ind w:left="576"/>
      </w:pPr>
      <w:r>
        <w:rPr>
          <w:rFonts w:ascii="Times New Roman" w:hAnsi="Times New Roman"/>
          <w:b/>
          <w:sz w:val="22"/>
        </w:rPr>
        <w:t xml:space="preserve">8. </w:t>
      </w:r>
      <w:r>
        <w:rPr>
          <w:rFonts w:ascii="Times New Roman" w:hAnsi="Times New Roman"/>
          <w:b/>
          <w:i w:val="0"/>
          <w:sz w:val="23"/>
        </w:rPr>
        <w:t>Checklist for Artificial Intelligence in Medical Imaging (CLAIM):</w:t>
      </w:r>
      <w:r>
        <w:rPr>
          <w:rFonts w:ascii="Times New Roman" w:hAnsi="Times New Roman"/>
          <w:b w:val="0"/>
          <w:i w:val="0"/>
          <w:sz w:val="23"/>
        </w:rPr>
        <w:t>International consensus reporting guideline established by RSNA to ensure transparency, reproducibility, and clinical safety in imaging AI research.</w:t>
      </w:r>
    </w:p>
    <w:p>
      <w:pPr>
        <w:spacing w:before="40" w:after="80" w:line="312" w:lineRule="auto"/>
        <w:ind w:left="576"/>
      </w:pPr>
      <w:r>
        <w:rPr>
          <w:rFonts w:ascii="Times New Roman" w:hAnsi="Times New Roman"/>
          <w:b/>
          <w:sz w:val="22"/>
        </w:rPr>
        <w:t xml:space="preserve">9. </w:t>
      </w:r>
      <w:r>
        <w:rPr>
          <w:rFonts w:ascii="Times New Roman" w:hAnsi="Times New Roman"/>
          <w:b/>
          <w:i w:val="0"/>
          <w:sz w:val="23"/>
        </w:rPr>
        <w:t>Clopper-Pearson Interval:</w:t>
      </w:r>
      <w:r>
        <w:rPr>
          <w:rFonts w:ascii="Times New Roman" w:hAnsi="Times New Roman"/>
          <w:b w:val="0"/>
          <w:i w:val="0"/>
          <w:sz w:val="23"/>
        </w:rPr>
        <w:t>Exact non-asymptotic confidence interval formulation for binomial proportions derived directly from the cumulative beta distribution.</w:t>
      </w:r>
    </w:p>
    <w:p>
      <w:pPr>
        <w:spacing w:before="40" w:after="80" w:line="312" w:lineRule="auto"/>
        <w:ind w:left="576"/>
      </w:pPr>
      <w:r>
        <w:rPr>
          <w:rFonts w:ascii="Times New Roman" w:hAnsi="Times New Roman"/>
          <w:b/>
          <w:sz w:val="22"/>
        </w:rPr>
        <w:t xml:space="preserve">10. </w:t>
      </w:r>
      <w:r>
        <w:rPr>
          <w:rFonts w:ascii="Times New Roman" w:hAnsi="Times New Roman"/>
          <w:b/>
          <w:i w:val="0"/>
          <w:sz w:val="23"/>
        </w:rPr>
        <w:t>Decision Curve Analysis (DCA):</w:t>
      </w:r>
      <w:r>
        <w:rPr>
          <w:rFonts w:ascii="Times New Roman" w:hAnsi="Times New Roman"/>
          <w:b w:val="0"/>
          <w:i w:val="0"/>
          <w:sz w:val="23"/>
        </w:rPr>
        <w:t>Statistical methodology evaluating the clinical net benefit of diagnostic prediction models across a continuum of patient decision thresholds (p_t).</w:t>
      </w:r>
    </w:p>
    <w:p>
      <w:pPr>
        <w:spacing w:before="40" w:after="80" w:line="312" w:lineRule="auto"/>
        <w:ind w:left="576"/>
      </w:pPr>
      <w:r>
        <w:rPr>
          <w:rFonts w:ascii="Times New Roman" w:hAnsi="Times New Roman"/>
          <w:b/>
          <w:sz w:val="22"/>
        </w:rPr>
        <w:t xml:space="preserve">11. </w:t>
      </w:r>
      <w:r>
        <w:rPr>
          <w:rFonts w:ascii="Times New Roman" w:hAnsi="Times New Roman"/>
          <w:b/>
          <w:i w:val="0"/>
          <w:sz w:val="23"/>
        </w:rPr>
        <w:t>Depthwise Separable Convolution:</w:t>
      </w:r>
      <w:r>
        <w:rPr>
          <w:rFonts w:ascii="Times New Roman" w:hAnsi="Times New Roman"/>
          <w:b w:val="0"/>
          <w:i w:val="0"/>
          <w:sz w:val="23"/>
        </w:rPr>
        <w:t>Factorized convolutional operation that decomposes standard convolution into a spatial depthwise filtering layer followed by a 1× 1 pointwise channel combination layer, drastically reducing FLOPs.</w:t>
      </w:r>
    </w:p>
    <w:p>
      <w:pPr>
        <w:spacing w:before="40" w:after="80" w:line="312" w:lineRule="auto"/>
        <w:ind w:left="576"/>
      </w:pPr>
      <w:r>
        <w:rPr>
          <w:rFonts w:ascii="Times New Roman" w:hAnsi="Times New Roman"/>
          <w:b/>
          <w:sz w:val="22"/>
        </w:rPr>
        <w:t xml:space="preserve">12. </w:t>
      </w:r>
      <w:r>
        <w:rPr>
          <w:rFonts w:ascii="Times New Roman" w:hAnsi="Times New Roman"/>
          <w:b/>
          <w:i w:val="0"/>
          <w:sz w:val="23"/>
        </w:rPr>
        <w:t>Epistemic Uncertainty:</w:t>
      </w:r>
      <w:r>
        <w:rPr>
          <w:rFonts w:ascii="Times New Roman" w:hAnsi="Times New Roman"/>
          <w:b w:val="0"/>
          <w:i w:val="0"/>
          <w:sz w:val="23"/>
        </w:rPr>
        <w:t>Model-based uncertainty arising from insufficient training data in localized feature spaces, which can be quantified via Bayesian posterior variance and mitigated through further data collection.</w:t>
      </w:r>
    </w:p>
    <w:p>
      <w:pPr>
        <w:spacing w:before="40" w:after="80" w:line="312" w:lineRule="auto"/>
        <w:ind w:left="576"/>
      </w:pPr>
      <w:r>
        <w:rPr>
          <w:rFonts w:ascii="Times New Roman" w:hAnsi="Times New Roman"/>
          <w:b/>
          <w:sz w:val="22"/>
        </w:rPr>
        <w:t xml:space="preserve">13. </w:t>
      </w:r>
      <w:r>
        <w:rPr>
          <w:rFonts w:ascii="Times New Roman" w:hAnsi="Times New Roman"/>
          <w:b/>
          <w:i w:val="0"/>
          <w:sz w:val="23"/>
        </w:rPr>
        <w:t>Erythroplakia:</w:t>
      </w:r>
      <w:r>
        <w:rPr>
          <w:rFonts w:ascii="Times New Roman" w:hAnsi="Times New Roman"/>
          <w:b w:val="0"/>
          <w:i w:val="0"/>
          <w:sz w:val="23"/>
        </w:rPr>
        <w:t>Clinically fiery red patch or plaque of the oral mucosa that cannot be characterized clinically or pathologically as any other definable lesion, carrying an extremely high risk of malignant transformation (&gt;50%).</w:t>
      </w:r>
    </w:p>
    <w:p>
      <w:pPr>
        <w:spacing w:before="40" w:after="80" w:line="312" w:lineRule="auto"/>
        <w:ind w:left="576"/>
      </w:pPr>
      <w:r>
        <w:rPr>
          <w:rFonts w:ascii="Times New Roman" w:hAnsi="Times New Roman"/>
          <w:b/>
          <w:sz w:val="22"/>
        </w:rPr>
        <w:t xml:space="preserve">14. </w:t>
      </w:r>
      <w:r>
        <w:rPr>
          <w:rFonts w:ascii="Times New Roman" w:hAnsi="Times New Roman"/>
          <w:b/>
          <w:i w:val="0"/>
          <w:sz w:val="23"/>
        </w:rPr>
        <w:t>Expected Calibration Error (ECE):</w:t>
      </w:r>
      <w:r>
        <w:rPr>
          <w:rFonts w:ascii="Times New Roman" w:hAnsi="Times New Roman"/>
          <w:b w:val="0"/>
          <w:i w:val="0"/>
          <w:sz w:val="23"/>
        </w:rPr>
        <w:t>Difference between statistical confidence and observed empirical accuracy averaged across partitioned probability bins.</w:t>
      </w:r>
    </w:p>
    <w:p>
      <w:pPr>
        <w:spacing w:before="40" w:after="80" w:line="312" w:lineRule="auto"/>
        <w:ind w:left="576"/>
      </w:pPr>
      <w:r>
        <w:rPr>
          <w:rFonts w:ascii="Times New Roman" w:hAnsi="Times New Roman"/>
          <w:b/>
          <w:sz w:val="22"/>
        </w:rPr>
        <w:t xml:space="preserve">15. </w:t>
      </w:r>
      <w:r>
        <w:rPr>
          <w:rFonts w:ascii="Times New Roman" w:hAnsi="Times New Roman"/>
          <w:b/>
          <w:i w:val="0"/>
          <w:sz w:val="23"/>
        </w:rPr>
        <w:t>Fast Healthcare Interoperability Resources (FHIR):</w:t>
      </w:r>
      <w:r>
        <w:rPr>
          <w:rFonts w:ascii="Times New Roman" w:hAnsi="Times New Roman"/>
          <w:b w:val="0"/>
          <w:i w:val="0"/>
          <w:sz w:val="23"/>
        </w:rPr>
        <w:t>Next-generation standards framework created by HL7 defining modular clinical data components termed "Resources" exchangeable via RESTful JSON APIs.</w:t>
      </w:r>
    </w:p>
    <w:p>
      <w:pPr>
        <w:spacing w:before="40" w:after="80" w:line="312" w:lineRule="auto"/>
        <w:ind w:left="576"/>
      </w:pPr>
      <w:r>
        <w:rPr>
          <w:rFonts w:ascii="Times New Roman" w:hAnsi="Times New Roman"/>
          <w:b/>
          <w:sz w:val="22"/>
        </w:rPr>
        <w:t xml:space="preserve">16. </w:t>
      </w:r>
      <w:r>
        <w:rPr>
          <w:rFonts w:ascii="Times New Roman" w:hAnsi="Times New Roman"/>
          <w:b/>
          <w:i w:val="0"/>
          <w:sz w:val="23"/>
        </w:rPr>
        <w:t>Focal Loss:</w:t>
      </w:r>
      <w:r>
        <w:rPr>
          <w:rFonts w:ascii="Times New Roman" w:hAnsi="Times New Roman"/>
          <w:b w:val="0"/>
          <w:i w:val="0"/>
          <w:sz w:val="23"/>
        </w:rPr>
        <w:t>Dynamically scaled cross-entropy loss that applies a modulating factor (1 - p_t)^γ to down-weight the loss assigned to easy negative examples, focusing training on hard, ambiguous examples.</w:t>
      </w:r>
    </w:p>
    <w:p>
      <w:pPr>
        <w:spacing w:before="40" w:after="80" w:line="312" w:lineRule="auto"/>
        <w:ind w:left="576"/>
      </w:pPr>
      <w:r>
        <w:rPr>
          <w:rFonts w:ascii="Times New Roman" w:hAnsi="Times New Roman"/>
          <w:b/>
          <w:sz w:val="22"/>
        </w:rPr>
        <w:t xml:space="preserve">17. </w:t>
      </w:r>
      <w:r>
        <w:rPr>
          <w:rFonts w:ascii="Times New Roman" w:hAnsi="Times New Roman"/>
          <w:b/>
          <w:i w:val="0"/>
          <w:sz w:val="23"/>
        </w:rPr>
        <w:t>Grad-CAM++:</w:t>
      </w:r>
      <w:r>
        <w:rPr>
          <w:rFonts w:ascii="Times New Roman" w:hAnsi="Times New Roman"/>
          <w:b w:val="0"/>
          <w:i w:val="0"/>
          <w:sz w:val="23"/>
        </w:rPr>
        <w:t>Generalized gradient-based visual explanation method utilizing second- and third-order positive partial derivatives to localize multiple object instances within convolutional feature maps.</w:t>
      </w:r>
    </w:p>
    <w:p>
      <w:pPr>
        <w:spacing w:before="40" w:after="80" w:line="312" w:lineRule="auto"/>
        <w:ind w:left="576"/>
      </w:pPr>
      <w:r>
        <w:rPr>
          <w:rFonts w:ascii="Times New Roman" w:hAnsi="Times New Roman"/>
          <w:b/>
          <w:sz w:val="22"/>
        </w:rPr>
        <w:t xml:space="preserve">18. </w:t>
      </w:r>
      <w:r>
        <w:rPr>
          <w:rFonts w:ascii="Times New Roman" w:hAnsi="Times New Roman"/>
          <w:b/>
          <w:i w:val="0"/>
          <w:sz w:val="23"/>
        </w:rPr>
        <w:t>Gutka / Khaini:</w:t>
      </w:r>
      <w:r>
        <w:rPr>
          <w:rFonts w:ascii="Times New Roman" w:hAnsi="Times New Roman"/>
          <w:b w:val="0"/>
          <w:i w:val="0"/>
          <w:sz w:val="23"/>
        </w:rPr>
        <w:t>Commercial preparations of crushed areca nut, tobacco, slaked lime, and flavoring agents categorized as Group 1 human chemical carcinogens.</w:t>
      </w:r>
    </w:p>
    <w:p>
      <w:pPr>
        <w:spacing w:before="40" w:after="80" w:line="312" w:lineRule="auto"/>
        <w:ind w:left="576"/>
      </w:pPr>
      <w:r>
        <w:rPr>
          <w:rFonts w:ascii="Times New Roman" w:hAnsi="Times New Roman"/>
          <w:b/>
          <w:sz w:val="22"/>
        </w:rPr>
        <w:t xml:space="preserve">19. </w:t>
      </w:r>
      <w:r>
        <w:rPr>
          <w:rFonts w:ascii="Times New Roman" w:hAnsi="Times New Roman"/>
          <w:b/>
          <w:i w:val="0"/>
          <w:sz w:val="23"/>
        </w:rPr>
        <w:t>Human Papillomavirus (HPV):</w:t>
      </w:r>
      <w:r>
        <w:rPr>
          <w:rFonts w:ascii="Times New Roman" w:hAnsi="Times New Roman"/>
          <w:b w:val="0"/>
          <w:i w:val="0"/>
          <w:sz w:val="23"/>
        </w:rPr>
        <w:t>Double-stranded DNA virus; oncogenic types 16 and 18 encode oncoproteins E6 and E7 that inactivate p53 and pRb tumor suppressor pathways.</w:t>
      </w:r>
    </w:p>
    <w:p>
      <w:pPr>
        <w:spacing w:before="40" w:after="80" w:line="312" w:lineRule="auto"/>
        <w:ind w:left="576"/>
      </w:pPr>
      <w:r>
        <w:rPr>
          <w:rFonts w:ascii="Times New Roman" w:hAnsi="Times New Roman"/>
          <w:b/>
          <w:sz w:val="22"/>
        </w:rPr>
        <w:t xml:space="preserve">20. </w:t>
      </w:r>
      <w:r>
        <w:rPr>
          <w:rFonts w:ascii="Times New Roman" w:hAnsi="Times New Roman"/>
          <w:b/>
          <w:i w:val="0"/>
          <w:sz w:val="23"/>
        </w:rPr>
        <w:t>Inverted Residual Bottleneck:</w:t>
      </w:r>
      <w:r>
        <w:rPr>
          <w:rFonts w:ascii="Times New Roman" w:hAnsi="Times New Roman"/>
          <w:b w:val="0"/>
          <w:i w:val="0"/>
          <w:sz w:val="23"/>
        </w:rPr>
        <w:t>Architectural block utilized in MobileNetV2 that expands low-dimensional feature manifolds into higher dimensions before applying lightweight depthwise convolutions.</w:t>
      </w:r>
    </w:p>
    <w:p>
      <w:pPr>
        <w:spacing w:before="40" w:after="80" w:line="312" w:lineRule="auto"/>
        <w:ind w:left="576"/>
      </w:pPr>
      <w:r>
        <w:rPr>
          <w:rFonts w:ascii="Times New Roman" w:hAnsi="Times New Roman"/>
          <w:b/>
          <w:sz w:val="22"/>
        </w:rPr>
        <w:t xml:space="preserve">21. </w:t>
      </w:r>
      <w:r>
        <w:rPr>
          <w:rFonts w:ascii="Times New Roman" w:hAnsi="Times New Roman"/>
          <w:b/>
          <w:i w:val="0"/>
          <w:sz w:val="23"/>
        </w:rPr>
        <w:t>Laplacian Operator (\nabla^2):</w:t>
      </w:r>
      <w:r>
        <w:rPr>
          <w:rFonts w:ascii="Times New Roman" w:hAnsi="Times New Roman"/>
          <w:b w:val="0"/>
          <w:i w:val="0"/>
          <w:sz w:val="23"/>
        </w:rPr>
        <w:t>Second-order differential operator that measures spatial rate-of-change; its variance serves as an established metric for optical focus and edge sharpness.</w:t>
      </w:r>
    </w:p>
    <w:p>
      <w:pPr>
        <w:spacing w:before="40" w:after="80" w:line="312" w:lineRule="auto"/>
        <w:ind w:left="576"/>
      </w:pPr>
      <w:r>
        <w:rPr>
          <w:rFonts w:ascii="Times New Roman" w:hAnsi="Times New Roman"/>
          <w:b/>
          <w:sz w:val="22"/>
        </w:rPr>
        <w:t xml:space="preserve">22. </w:t>
      </w:r>
      <w:r>
        <w:rPr>
          <w:rFonts w:ascii="Times New Roman" w:hAnsi="Times New Roman"/>
          <w:b/>
          <w:i w:val="0"/>
          <w:sz w:val="23"/>
        </w:rPr>
        <w:t>Leukoplakia:</w:t>
      </w:r>
      <w:r>
        <w:rPr>
          <w:rFonts w:ascii="Times New Roman" w:hAnsi="Times New Roman"/>
          <w:b w:val="0"/>
          <w:i w:val="0"/>
          <w:sz w:val="23"/>
        </w:rPr>
        <w:t>Predominantly white mucosal plaque of questionable risk having excluded other known diseases or disorders that carry no increased risk for cancer.</w:t>
      </w:r>
    </w:p>
    <w:p>
      <w:pPr>
        <w:spacing w:before="40" w:after="80" w:line="312" w:lineRule="auto"/>
        <w:ind w:left="576"/>
      </w:pPr>
      <w:r>
        <w:rPr>
          <w:rFonts w:ascii="Times New Roman" w:hAnsi="Times New Roman"/>
          <w:b/>
          <w:sz w:val="22"/>
        </w:rPr>
        <w:t xml:space="preserve">23. </w:t>
      </w:r>
      <w:r>
        <w:rPr>
          <w:rFonts w:ascii="Times New Roman" w:hAnsi="Times New Roman"/>
          <w:b/>
          <w:i w:val="0"/>
          <w:sz w:val="23"/>
        </w:rPr>
        <w:t>Logical Observation Identifiers Names and Codes (LOINC):</w:t>
      </w:r>
      <w:r>
        <w:rPr>
          <w:rFonts w:ascii="Times New Roman" w:hAnsi="Times New Roman"/>
          <w:b w:val="0"/>
          <w:i w:val="0"/>
          <w:sz w:val="23"/>
        </w:rPr>
        <w:t>International universal standard for identifying medical laboratory observations and clinical health measurements.</w:t>
      </w:r>
    </w:p>
    <w:p>
      <w:pPr>
        <w:spacing w:before="40" w:after="80" w:line="312" w:lineRule="auto"/>
        <w:ind w:left="576"/>
      </w:pPr>
      <w:r>
        <w:rPr>
          <w:rFonts w:ascii="Times New Roman" w:hAnsi="Times New Roman"/>
          <w:b/>
          <w:sz w:val="22"/>
        </w:rPr>
        <w:t xml:space="preserve">24. </w:t>
      </w:r>
      <w:r>
        <w:rPr>
          <w:rFonts w:ascii="Times New Roman" w:hAnsi="Times New Roman"/>
          <w:b/>
          <w:i w:val="0"/>
          <w:sz w:val="23"/>
        </w:rPr>
        <w:t>Matthews Correlation Coefficient (MCC):</w:t>
      </w:r>
      <w:r>
        <w:rPr>
          <w:rFonts w:ascii="Times New Roman" w:hAnsi="Times New Roman"/>
          <w:b w:val="0"/>
          <w:i w:val="0"/>
          <w:sz w:val="23"/>
        </w:rPr>
        <w:t>Robust contingency matrix correlation coefficient yielding values in [-1, +1], impervious to extreme class imbalance.</w:t>
      </w:r>
    </w:p>
    <w:p>
      <w:pPr>
        <w:spacing w:before="40" w:after="80" w:line="312" w:lineRule="auto"/>
        <w:ind w:left="576"/>
      </w:pPr>
      <w:r>
        <w:rPr>
          <w:rFonts w:ascii="Times New Roman" w:hAnsi="Times New Roman"/>
          <w:b/>
          <w:sz w:val="22"/>
        </w:rPr>
        <w:t xml:space="preserve">25. </w:t>
      </w:r>
      <w:r>
        <w:rPr>
          <w:rFonts w:ascii="Times New Roman" w:hAnsi="Times New Roman"/>
          <w:b/>
          <w:i w:val="0"/>
          <w:sz w:val="23"/>
        </w:rPr>
        <w:t>Monte Carlo (MC) Dropout:</w:t>
      </w:r>
      <w:r>
        <w:rPr>
          <w:rFonts w:ascii="Times New Roman" w:hAnsi="Times New Roman"/>
          <w:b w:val="0"/>
          <w:i w:val="0"/>
          <w:sz w:val="23"/>
        </w:rPr>
        <w:t>Variational inference technique executing multiple forward passes with active dropout at test time to approximate deep Gaussian process predictive distributions.</w:t>
      </w:r>
    </w:p>
    <w:p>
      <w:pPr>
        <w:spacing w:before="40" w:after="80" w:line="312" w:lineRule="auto"/>
        <w:ind w:left="576"/>
      </w:pPr>
      <w:r>
        <w:rPr>
          <w:rFonts w:ascii="Times New Roman" w:hAnsi="Times New Roman"/>
          <w:b/>
          <w:sz w:val="22"/>
        </w:rPr>
        <w:t xml:space="preserve">26. </w:t>
      </w:r>
      <w:r>
        <w:rPr>
          <w:rFonts w:ascii="Times New Roman" w:hAnsi="Times New Roman"/>
          <w:b/>
          <w:i w:val="0"/>
          <w:sz w:val="23"/>
        </w:rPr>
        <w:t>Multi-Layer Perceptron (MLP):</w:t>
      </w:r>
      <w:r>
        <w:rPr>
          <w:rFonts w:ascii="Times New Roman" w:hAnsi="Times New Roman"/>
          <w:b w:val="0"/>
          <w:i w:val="0"/>
          <w:sz w:val="23"/>
        </w:rPr>
        <w:t>Classical feedforward artificial neural network comprising stacked fully connected layers with non-linear activation functions.</w:t>
      </w:r>
    </w:p>
    <w:p>
      <w:pPr>
        <w:spacing w:before="40" w:after="80" w:line="312" w:lineRule="auto"/>
        <w:ind w:left="576"/>
      </w:pPr>
      <w:r>
        <w:rPr>
          <w:rFonts w:ascii="Times New Roman" w:hAnsi="Times New Roman"/>
          <w:b/>
          <w:sz w:val="22"/>
        </w:rPr>
        <w:t xml:space="preserve">27. </w:t>
      </w:r>
      <w:r>
        <w:rPr>
          <w:rFonts w:ascii="Times New Roman" w:hAnsi="Times New Roman"/>
          <w:b/>
          <w:i w:val="0"/>
          <w:sz w:val="23"/>
        </w:rPr>
        <w:t>ONNX Runtime:</w:t>
      </w:r>
      <w:r>
        <w:rPr>
          <w:rFonts w:ascii="Times New Roman" w:hAnsi="Times New Roman"/>
          <w:b w:val="0"/>
          <w:i w:val="0"/>
          <w:sz w:val="23"/>
        </w:rPr>
        <w:t>Cross-platform, high-performance accelerator engine for deploying Open Neural Network Exchange graph representations across diverse CPU and GPU targets.</w:t>
      </w:r>
    </w:p>
    <w:p>
      <w:pPr>
        <w:spacing w:before="40" w:after="80" w:line="312" w:lineRule="auto"/>
        <w:ind w:left="576"/>
      </w:pPr>
      <w:r>
        <w:rPr>
          <w:rFonts w:ascii="Times New Roman" w:hAnsi="Times New Roman"/>
          <w:b/>
          <w:sz w:val="22"/>
        </w:rPr>
        <w:t xml:space="preserve">28. </w:t>
      </w:r>
      <w:r>
        <w:rPr>
          <w:rFonts w:ascii="Times New Roman" w:hAnsi="Times New Roman"/>
          <w:b/>
          <w:i w:val="0"/>
          <w:sz w:val="23"/>
        </w:rPr>
        <w:t>Oral Potentially Malignant Disorder (OPMD):</w:t>
      </w:r>
      <w:r>
        <w:rPr>
          <w:rFonts w:ascii="Times New Roman" w:hAnsi="Times New Roman"/>
          <w:b w:val="0"/>
          <w:i w:val="0"/>
          <w:sz w:val="23"/>
        </w:rPr>
        <w:t>Clinical presentation carrying an elevated statistical risk of developing oral squamous cell carcinoma over time.</w:t>
      </w:r>
    </w:p>
    <w:p>
      <w:pPr>
        <w:spacing w:before="40" w:after="80" w:line="312" w:lineRule="auto"/>
        <w:ind w:left="576"/>
      </w:pPr>
      <w:r>
        <w:rPr>
          <w:rFonts w:ascii="Times New Roman" w:hAnsi="Times New Roman"/>
          <w:b/>
          <w:sz w:val="22"/>
        </w:rPr>
        <w:t xml:space="preserve">29. </w:t>
      </w:r>
      <w:r>
        <w:rPr>
          <w:rFonts w:ascii="Times New Roman" w:hAnsi="Times New Roman"/>
          <w:b/>
          <w:i w:val="0"/>
          <w:sz w:val="23"/>
        </w:rPr>
        <w:t>Oral Squamous Cell Carcinoma (OSCC):</w:t>
      </w:r>
      <w:r>
        <w:rPr>
          <w:rFonts w:ascii="Times New Roman" w:hAnsi="Times New Roman"/>
          <w:b w:val="0"/>
          <w:i w:val="0"/>
          <w:sz w:val="23"/>
        </w:rPr>
        <w:t>Invasive malignant epithelial neoplasm exhibiting squamous differentiation originating in the oral cavity mucosal lining.</w:t>
      </w:r>
    </w:p>
    <w:p>
      <w:pPr>
        <w:spacing w:before="40" w:after="80" w:line="312" w:lineRule="auto"/>
        <w:ind w:left="576"/>
      </w:pPr>
      <w:r>
        <w:rPr>
          <w:rFonts w:ascii="Times New Roman" w:hAnsi="Times New Roman"/>
          <w:b/>
          <w:sz w:val="22"/>
        </w:rPr>
        <w:t xml:space="preserve">30. </w:t>
      </w:r>
      <w:r>
        <w:rPr>
          <w:rFonts w:ascii="Times New Roman" w:hAnsi="Times New Roman"/>
          <w:b/>
          <w:i w:val="0"/>
          <w:sz w:val="23"/>
        </w:rPr>
        <w:t>Password-Based Key Derivation Function 2 (PBKDF2):</w:t>
      </w:r>
      <w:r>
        <w:rPr>
          <w:rFonts w:ascii="Times New Roman" w:hAnsi="Times New Roman"/>
          <w:b w:val="0"/>
          <w:i w:val="0"/>
          <w:sz w:val="23"/>
        </w:rPr>
        <w:t>Cryptographic key derivation standard specified in NIST SP 800-132 applying a pseudorandom function (HMAC-SHA256) over hundreds of thousands of iterations.</w:t>
      </w:r>
    </w:p>
    <w:p>
      <w:pPr>
        <w:spacing w:before="40" w:after="80" w:line="312" w:lineRule="auto"/>
        <w:ind w:left="576"/>
      </w:pPr>
      <w:r>
        <w:rPr>
          <w:rFonts w:ascii="Times New Roman" w:hAnsi="Times New Roman"/>
          <w:b/>
          <w:sz w:val="22"/>
        </w:rPr>
        <w:t xml:space="preserve">31. </w:t>
      </w:r>
      <w:r>
        <w:rPr>
          <w:rFonts w:ascii="Times New Roman" w:hAnsi="Times New Roman"/>
          <w:b/>
          <w:i w:val="0"/>
          <w:sz w:val="23"/>
        </w:rPr>
        <w:t>Precision-Recall Curve (PRC):</w:t>
      </w:r>
      <w:r>
        <w:rPr>
          <w:rFonts w:ascii="Times New Roman" w:hAnsi="Times New Roman"/>
          <w:b w:val="0"/>
          <w:i w:val="0"/>
          <w:sz w:val="23"/>
        </w:rPr>
        <w:t>Diagnostic evaluation curve plotting precision against recall; highly informative for datasets exhibiting severe minority-class imbalance.</w:t>
      </w:r>
    </w:p>
    <w:p>
      <w:pPr>
        <w:spacing w:before="40" w:after="80" w:line="312" w:lineRule="auto"/>
        <w:ind w:left="576"/>
      </w:pPr>
      <w:r>
        <w:rPr>
          <w:rFonts w:ascii="Times New Roman" w:hAnsi="Times New Roman"/>
          <w:b/>
          <w:sz w:val="22"/>
        </w:rPr>
        <w:t xml:space="preserve">32. </w:t>
      </w:r>
      <w:r>
        <w:rPr>
          <w:rFonts w:ascii="Times New Roman" w:hAnsi="Times New Roman"/>
          <w:b/>
          <w:i w:val="0"/>
          <w:sz w:val="23"/>
        </w:rPr>
        <w:t>Protected Health Information (PHI):</w:t>
      </w:r>
      <w:r>
        <w:rPr>
          <w:rFonts w:ascii="Times New Roman" w:hAnsi="Times New Roman"/>
          <w:b w:val="0"/>
          <w:i w:val="0"/>
          <w:sz w:val="23"/>
        </w:rPr>
        <w:t>Individually identifiable health data protected under HIPAA Privacy and Security Rules requiring strict cryptographic de-identification.</w:t>
      </w:r>
    </w:p>
    <w:p>
      <w:pPr>
        <w:spacing w:before="40" w:after="80" w:line="312" w:lineRule="auto"/>
        <w:ind w:left="576"/>
      </w:pPr>
      <w:r>
        <w:rPr>
          <w:rFonts w:ascii="Times New Roman" w:hAnsi="Times New Roman"/>
          <w:b/>
          <w:sz w:val="22"/>
        </w:rPr>
        <w:t xml:space="preserve">33. </w:t>
      </w:r>
      <w:r>
        <w:rPr>
          <w:rFonts w:ascii="Times New Roman" w:hAnsi="Times New Roman"/>
          <w:b/>
          <w:i w:val="0"/>
          <w:sz w:val="23"/>
        </w:rPr>
        <w:t>Quantization (INT8):</w:t>
      </w:r>
      <w:r>
        <w:rPr>
          <w:rFonts w:ascii="Times New Roman" w:hAnsi="Times New Roman"/>
          <w:b w:val="0"/>
          <w:i w:val="0"/>
          <w:sz w:val="23"/>
        </w:rPr>
        <w:t>Mapping continuous 32-bit floating-point weight tensors into discrete 8-bit signed integer representations to accelerate memory bandwidth and execution latency.</w:t>
      </w:r>
    </w:p>
    <w:p>
      <w:pPr>
        <w:spacing w:before="40" w:after="80" w:line="312" w:lineRule="auto"/>
        <w:ind w:left="576"/>
      </w:pPr>
      <w:r>
        <w:rPr>
          <w:rFonts w:ascii="Times New Roman" w:hAnsi="Times New Roman"/>
          <w:b/>
          <w:sz w:val="22"/>
        </w:rPr>
        <w:t xml:space="preserve">34. </w:t>
      </w:r>
      <w:r>
        <w:rPr>
          <w:rFonts w:ascii="Times New Roman" w:hAnsi="Times New Roman"/>
          <w:b/>
          <w:i w:val="0"/>
          <w:sz w:val="23"/>
        </w:rPr>
        <w:t>Receptive Field:</w:t>
      </w:r>
      <w:r>
        <w:rPr>
          <w:rFonts w:ascii="Times New Roman" w:hAnsi="Times New Roman"/>
          <w:b w:val="0"/>
          <w:i w:val="0"/>
          <w:sz w:val="23"/>
        </w:rPr>
        <w:t>The localized spatial region in the input image tensor that contributes to the feature activation of a particular neuron in a deep convolutional layer.</w:t>
      </w:r>
    </w:p>
    <w:p>
      <w:pPr>
        <w:spacing w:before="40" w:after="80" w:line="312" w:lineRule="auto"/>
        <w:ind w:left="576"/>
      </w:pPr>
      <w:r>
        <w:rPr>
          <w:rFonts w:ascii="Times New Roman" w:hAnsi="Times New Roman"/>
          <w:b/>
          <w:sz w:val="22"/>
        </w:rPr>
        <w:t xml:space="preserve">35. </w:t>
      </w:r>
      <w:r>
        <w:rPr>
          <w:rFonts w:ascii="Times New Roman" w:hAnsi="Times New Roman"/>
          <w:b/>
          <w:i w:val="0"/>
          <w:sz w:val="23"/>
        </w:rPr>
        <w:t>Reinhard Color Transfer:</w:t>
      </w:r>
      <w:r>
        <w:rPr>
          <w:rFonts w:ascii="Times New Roman" w:hAnsi="Times New Roman"/>
          <w:b w:val="0"/>
          <w:i w:val="0"/>
          <w:sz w:val="23"/>
        </w:rPr>
        <w:t>Statistical color transfer algorithm aligning the mean and standard deviation of an input image to a target reference distribution in CIELAB color space.</w:t>
      </w:r>
    </w:p>
    <w:p>
      <w:pPr>
        <w:spacing w:before="40" w:after="80" w:line="312" w:lineRule="auto"/>
        <w:ind w:left="576"/>
      </w:pPr>
      <w:r>
        <w:rPr>
          <w:rFonts w:ascii="Times New Roman" w:hAnsi="Times New Roman"/>
          <w:b/>
          <w:sz w:val="22"/>
        </w:rPr>
        <w:t xml:space="preserve">36. </w:t>
      </w:r>
      <w:r>
        <w:rPr>
          <w:rFonts w:ascii="Times New Roman" w:hAnsi="Times New Roman"/>
          <w:b/>
          <w:i w:val="0"/>
          <w:sz w:val="23"/>
        </w:rPr>
        <w:t>Residual Connection (Skip Connection):</w:t>
      </w:r>
      <w:r>
        <w:rPr>
          <w:rFonts w:ascii="Times New Roman" w:hAnsi="Times New Roman"/>
          <w:b w:val="0"/>
          <w:i w:val="0"/>
          <w:sz w:val="23"/>
        </w:rPr>
        <w:t>Identity mapping shortcut introduced in ResNet that bypasses one or more layers, allowing direct gradient backpropagation across deep topologies.</w:t>
      </w:r>
    </w:p>
    <w:p>
      <w:pPr>
        <w:spacing w:before="40" w:after="80" w:line="312" w:lineRule="auto"/>
        <w:ind w:left="576"/>
      </w:pPr>
      <w:r>
        <w:rPr>
          <w:rFonts w:ascii="Times New Roman" w:hAnsi="Times New Roman"/>
          <w:b/>
          <w:sz w:val="22"/>
        </w:rPr>
        <w:t xml:space="preserve">37. </w:t>
      </w:r>
      <w:r>
        <w:rPr>
          <w:rFonts w:ascii="Times New Roman" w:hAnsi="Times New Roman"/>
          <w:b/>
          <w:i w:val="0"/>
          <w:sz w:val="23"/>
        </w:rPr>
        <w:t>ROC Curve:</w:t>
      </w:r>
      <w:r>
        <w:rPr>
          <w:rFonts w:ascii="Times New Roman" w:hAnsi="Times New Roman"/>
          <w:b w:val="0"/>
          <w:i w:val="0"/>
          <w:sz w:val="23"/>
        </w:rPr>
        <w:t>Graphical plot illustrating binary classifier discrimination performance by plotting True Positive Rate (Sensitivity) versus False Positive Rate (1 - \text{Specificity}).</w:t>
      </w:r>
    </w:p>
    <w:p>
      <w:pPr>
        <w:spacing w:before="40" w:after="80" w:line="312" w:lineRule="auto"/>
        <w:ind w:left="576"/>
      </w:pPr>
      <w:r>
        <w:rPr>
          <w:rFonts w:ascii="Times New Roman" w:hAnsi="Times New Roman"/>
          <w:b/>
          <w:sz w:val="22"/>
        </w:rPr>
        <w:t xml:space="preserve">38. </w:t>
      </w:r>
      <w:r>
        <w:rPr>
          <w:rFonts w:ascii="Times New Roman" w:hAnsi="Times New Roman"/>
          <w:b/>
          <w:i w:val="0"/>
          <w:sz w:val="23"/>
        </w:rPr>
        <w:t>SlowAPI:</w:t>
      </w:r>
      <w:r>
        <w:rPr>
          <w:rFonts w:ascii="Times New Roman" w:hAnsi="Times New Roman"/>
          <w:b w:val="0"/>
          <w:i w:val="0"/>
          <w:sz w:val="23"/>
        </w:rPr>
        <w:t>Python rate-limiting framework protecting ASGI/FastAPI endpoints against automated brute-force attacks and denial-of-service degradation.</w:t>
      </w:r>
    </w:p>
    <w:p>
      <w:pPr>
        <w:spacing w:before="40" w:after="80" w:line="312" w:lineRule="auto"/>
        <w:ind w:left="576"/>
      </w:pPr>
      <w:r>
        <w:rPr>
          <w:rFonts w:ascii="Times New Roman" w:hAnsi="Times New Roman"/>
          <w:b/>
          <w:sz w:val="22"/>
        </w:rPr>
        <w:t xml:space="preserve">39. </w:t>
      </w:r>
      <w:r>
        <w:rPr>
          <w:rFonts w:ascii="Times New Roman" w:hAnsi="Times New Roman"/>
          <w:b/>
          <w:i w:val="0"/>
          <w:sz w:val="23"/>
        </w:rPr>
        <w:t>SNOMED-CT:</w:t>
      </w:r>
      <w:r>
        <w:rPr>
          <w:rFonts w:ascii="Times New Roman" w:hAnsi="Times New Roman"/>
          <w:b w:val="0"/>
          <w:i w:val="0"/>
          <w:sz w:val="23"/>
        </w:rPr>
        <w:t>Comprehensive, multilingual computerized clinical healthcare terminology system maintained by SNOMED International.</w:t>
      </w:r>
    </w:p>
    <w:p>
      <w:pPr>
        <w:spacing w:before="40" w:after="80" w:line="312" w:lineRule="auto"/>
        <w:ind w:left="576"/>
      </w:pPr>
      <w:r>
        <w:rPr>
          <w:rFonts w:ascii="Times New Roman" w:hAnsi="Times New Roman"/>
          <w:b/>
          <w:sz w:val="22"/>
        </w:rPr>
        <w:t xml:space="preserve">40. </w:t>
      </w:r>
      <w:r>
        <w:rPr>
          <w:rFonts w:ascii="Times New Roman" w:hAnsi="Times New Roman"/>
          <w:b/>
          <w:i w:val="0"/>
          <w:sz w:val="23"/>
        </w:rPr>
        <w:t>Software as a Medical Device (SaMD):</w:t>
      </w:r>
      <w:r>
        <w:rPr>
          <w:rFonts w:ascii="Times New Roman" w:hAnsi="Times New Roman"/>
          <w:b w:val="0"/>
          <w:i w:val="0"/>
          <w:sz w:val="23"/>
        </w:rPr>
        <w:t>Software intended to be used for one or more medical purposes without being part of a hardware medical device, regulated under FDA Class II controls.</w:t>
      </w:r>
    </w:p>
    <w:p>
      <w:pPr>
        <w:spacing w:before="40" w:after="80" w:line="312" w:lineRule="auto"/>
        <w:ind w:left="576"/>
      </w:pPr>
      <w:r>
        <w:rPr>
          <w:rFonts w:ascii="Times New Roman" w:hAnsi="Times New Roman"/>
          <w:b/>
          <w:sz w:val="22"/>
        </w:rPr>
        <w:t xml:space="preserve">41. </w:t>
      </w:r>
      <w:r>
        <w:rPr>
          <w:rFonts w:ascii="Times New Roman" w:hAnsi="Times New Roman"/>
          <w:b/>
          <w:i w:val="0"/>
          <w:sz w:val="23"/>
        </w:rPr>
        <w:t>Test-Time Augmentation (TTA):</w:t>
      </w:r>
      <w:r>
        <w:rPr>
          <w:rFonts w:ascii="Times New Roman" w:hAnsi="Times New Roman"/>
          <w:b w:val="0"/>
          <w:i w:val="0"/>
          <w:sz w:val="23"/>
        </w:rPr>
        <w:t>Diagnostic inference technique creating multiple augmented views of a test image, passing each through the network, and averaging predictions to eliminate perspective bias.</w:t>
      </w:r>
    </w:p>
    <w:p>
      <w:pPr>
        <w:spacing w:before="40" w:after="80" w:line="312" w:lineRule="auto"/>
        <w:ind w:left="576"/>
      </w:pPr>
      <w:r>
        <w:rPr>
          <w:rFonts w:ascii="Times New Roman" w:hAnsi="Times New Roman"/>
          <w:b/>
          <w:sz w:val="22"/>
        </w:rPr>
        <w:t xml:space="preserve">42. </w:t>
      </w:r>
      <w:r>
        <w:rPr>
          <w:rFonts w:ascii="Times New Roman" w:hAnsi="Times New Roman"/>
          <w:b/>
          <w:i w:val="0"/>
          <w:sz w:val="23"/>
        </w:rPr>
        <w:t>TNM Staging System:</w:t>
      </w:r>
      <w:r>
        <w:rPr>
          <w:rFonts w:ascii="Times New Roman" w:hAnsi="Times New Roman"/>
          <w:b w:val="0"/>
          <w:i w:val="0"/>
          <w:sz w:val="23"/>
        </w:rPr>
        <w:t>Internationally accepted clinical cancer staging system classifying tumor size and depth (T), regional lymph node involvement (N), and distant metastasis (M).</w:t>
      </w:r>
    </w:p>
    <w:p>
      <w:pPr>
        <w:spacing w:before="40" w:after="80" w:line="312" w:lineRule="auto"/>
        <w:ind w:left="576"/>
      </w:pPr>
      <w:r>
        <w:rPr>
          <w:rFonts w:ascii="Times New Roman" w:hAnsi="Times New Roman"/>
          <w:b/>
          <w:sz w:val="22"/>
        </w:rPr>
        <w:t xml:space="preserve">43. </w:t>
      </w:r>
      <w:r>
        <w:rPr>
          <w:rFonts w:ascii="Times New Roman" w:hAnsi="Times New Roman"/>
          <w:b/>
          <w:i w:val="0"/>
          <w:sz w:val="23"/>
        </w:rPr>
        <w:t>TRIPOD+AI:</w:t>
      </w:r>
      <w:r>
        <w:rPr>
          <w:rFonts w:ascii="Times New Roman" w:hAnsi="Times New Roman"/>
          <w:b w:val="0"/>
          <w:i w:val="0"/>
          <w:sz w:val="23"/>
        </w:rPr>
        <w:t>Transparent Reporting of a Multivariable Prediction Model for Individual Prognosis or Diagnosis guideline incorporating artificial intelligence and machine learning models.</w:t>
      </w:r>
    </w:p>
    <w:p>
      <w:pPr>
        <w:spacing w:before="40" w:after="80" w:line="312" w:lineRule="auto"/>
        <w:ind w:left="576"/>
      </w:pPr>
      <w:r>
        <w:rPr>
          <w:rFonts w:ascii="Times New Roman" w:hAnsi="Times New Roman"/>
          <w:b/>
          <w:sz w:val="22"/>
        </w:rPr>
        <w:t xml:space="preserve">44. </w:t>
      </w:r>
      <w:r>
        <w:rPr>
          <w:rFonts w:ascii="Times New Roman" w:hAnsi="Times New Roman"/>
          <w:b/>
          <w:i w:val="0"/>
          <w:sz w:val="23"/>
        </w:rPr>
        <w:t>Visual Clinical Examination (VCE):</w:t>
      </w:r>
      <w:r>
        <w:rPr>
          <w:rFonts w:ascii="Times New Roman" w:hAnsi="Times New Roman"/>
          <w:b w:val="0"/>
          <w:i w:val="0"/>
          <w:sz w:val="23"/>
        </w:rPr>
        <w:t>Conventional visual and tactile inspection of the oral mucosal surfaces and cervical lymph node chains performed by dental practitioners.</w:t>
      </w:r>
    </w:p>
    <w:p>
      <w:pPr>
        <w:spacing w:before="40" w:after="80" w:line="312" w:lineRule="auto"/>
        <w:ind w:left="576"/>
      </w:pPr>
      <w:r>
        <w:rPr>
          <w:rFonts w:ascii="Times New Roman" w:hAnsi="Times New Roman"/>
          <w:b/>
          <w:sz w:val="22"/>
        </w:rPr>
        <w:t xml:space="preserve">45. </w:t>
      </w:r>
      <w:r>
        <w:rPr>
          <w:rFonts w:ascii="Times New Roman" w:hAnsi="Times New Roman"/>
          <w:b/>
          <w:i w:val="0"/>
          <w:sz w:val="23"/>
        </w:rPr>
        <w:t>Zero-Knowledge Proof (ZKP):</w:t>
      </w:r>
      <w:r>
        <w:rPr>
          <w:rFonts w:ascii="Times New Roman" w:hAnsi="Times New Roman"/>
          <w:b w:val="0"/>
          <w:i w:val="0"/>
          <w:sz w:val="23"/>
        </w:rPr>
        <w:t>Cryptographic protocol enabling one party to prove to another that a statement is true without revealing any information beyond the statement's validity.</w:t>
      </w:r>
    </w:p>
    <w:p>
      <w:r>
        <w:br w:type="page"/>
      </w:r>
    </w:p>
    <w:p>
      <w:pPr>
        <w:spacing w:before="360" w:after="360" w:line="360" w:lineRule="auto"/>
        <w:jc w:val="center"/>
      </w:pPr>
      <w:r>
        <w:rPr>
          <w:rFonts w:ascii="Times New Roman" w:hAnsi="Times New Roman"/>
          <w:b/>
          <w:i w:val="0"/>
          <w:color w:val="0A2D5A"/>
          <w:sz w:val="32"/>
        </w:rPr>
        <w:t>ANNEXURE B: RESEARCH PAPER PUBLICATION</w:t>
      </w:r>
    </w:p>
    <w:p>
      <w:pPr>
        <w:spacing w:before="40" w:after="120" w:line="360" w:lineRule="auto"/>
        <w:jc w:val="both"/>
      </w:pPr>
    </w:p>
    <w:p>
      <w:pPr>
        <w:spacing w:before="40" w:after="120" w:line="360" w:lineRule="auto"/>
        <w:jc w:val="both"/>
      </w:pPr>
      <w:r>
        <w:rPr>
          <w:rFonts w:ascii="Times New Roman" w:hAnsi="Times New Roman"/>
          <w:b w:val="0"/>
          <w:i w:val="0"/>
          <w:sz w:val="24"/>
        </w:rPr>
        <w:t>The project research has culminated in a camera-ready IEEE conference manuscript formatted for indexed peer-reviewed proceedings:</w:t>
      </w:r>
    </w:p>
    <w:p>
      <w:pPr>
        <w:spacing w:before="40" w:after="120" w:line="360" w:lineRule="auto"/>
        <w:jc w:val="both"/>
      </w:pPr>
      <w:r>
        <w:rPr>
          <w:rFonts w:ascii="Times New Roman" w:hAnsi="Times New Roman"/>
          <w:b/>
          <w:i w:val="0"/>
          <w:sz w:val="24"/>
        </w:rPr>
        <w:t>\large A Clinically Calibrated, Multimodal Deep Learning Framework for Oral Squamous Cell Carcinoma Triage with Epistemic Uncertainty Quantification and Explainable Grad-CAM++ Concordance</w:t>
      </w:r>
    </w:p>
    <w:p>
      <w:pPr>
        <w:spacing w:before="40" w:after="120" w:line="360" w:lineRule="auto"/>
        <w:jc w:val="both"/>
      </w:pPr>
      <w:r>
        <w:rPr>
          <w:rFonts w:ascii="Times New Roman" w:hAnsi="Times New Roman"/>
          <w:b/>
          <w:i w:val="0"/>
          <w:sz w:val="24"/>
        </w:rPr>
        <w:t>Authors:</w:t>
      </w:r>
      <w:r>
        <w:rPr>
          <w:rFonts w:ascii="Times New Roman" w:hAnsi="Times New Roman"/>
          <w:b w:val="0"/>
          <w:i w:val="0"/>
          <w:sz w:val="24"/>
        </w:rPr>
        <w:t>Keerthi A, Rakshith Y B, Lohith R C, and Prof. Aishwarya S \\</w:t>
      </w:r>
      <w:r>
        <w:rPr>
          <w:rFonts w:ascii="Times New Roman" w:hAnsi="Times New Roman"/>
          <w:b/>
          <w:i w:val="0"/>
          <w:sz w:val="24"/>
        </w:rPr>
        <w:t>Institutional Affiliation:</w:t>
      </w:r>
      <w:r>
        <w:rPr>
          <w:rFonts w:ascii="Times New Roman" w:hAnsi="Times New Roman"/>
          <w:b w:val="0"/>
          <w:i w:val="0"/>
          <w:sz w:val="24"/>
        </w:rPr>
        <w:t>Department of Computer Science &amp; Engineering, Kalpataru Institute of Technology, Tiptur, Karnataka, India \\</w:t>
      </w:r>
      <w:r>
        <w:rPr>
          <w:rFonts w:ascii="Times New Roman" w:hAnsi="Times New Roman"/>
          <w:b/>
          <w:i w:val="0"/>
          <w:sz w:val="24"/>
        </w:rPr>
        <w:t>Target Venue:</w:t>
      </w:r>
      <w:r>
        <w:rPr>
          <w:rFonts w:ascii="Times New Roman" w:hAnsi="Times New Roman"/>
          <w:b w:val="0"/>
          <w:i w:val="0"/>
          <w:sz w:val="24"/>
        </w:rPr>
        <w:t>IEEE International Conference on Bioinformatics, Biomedicine and Healthcare Informatics (IEEE-BHI 2026) / Scopus Indexed \\</w:t>
      </w:r>
      <w:r>
        <w:rPr>
          <w:rFonts w:ascii="Times New Roman" w:hAnsi="Times New Roman"/>
          <w:b/>
          <w:i w:val="0"/>
          <w:sz w:val="24"/>
        </w:rPr>
        <w:t>Manuscript Identifier:</w:t>
      </w:r>
      <w:r>
        <w:rPr>
          <w:rFonts w:ascii="Times New Roman" w:hAnsi="Times New Roman"/>
          <w:b w:val="0"/>
          <w:i w:val="0"/>
          <w:sz w:val="24"/>
        </w:rPr>
        <w:t>IEEE-BHI-2026-ORC-0482 \\</w:t>
      </w:r>
      <w:r>
        <w:rPr>
          <w:rFonts w:ascii="Times New Roman" w:hAnsi="Times New Roman"/>
          <w:b/>
          <w:i w:val="0"/>
          <w:sz w:val="24"/>
        </w:rPr>
        <w:t>Artifact Location:</w:t>
      </w:r>
      <w:r>
        <w:rPr>
          <w:rFonts w:ascii="Times New Roman" w:hAnsi="Times New Roman"/>
          <w:b w:val="0"/>
          <w:i w:val="0"/>
          <w:sz w:val="24"/>
        </w:rPr>
        <w:t>The complete LaTeX manuscript is archived in</w:t>
      </w:r>
      <w:r>
        <w:rPr>
          <w:rFonts w:ascii="Consolas" w:hAnsi="Consolas"/>
          <w:color w:val="1E1E1E"/>
          <w:sz w:val="22"/>
        </w:rPr>
        <w:t>docs/ieee_paper.tex</w:t>
      </w:r>
      <w:r>
        <w:rPr>
          <w:rFonts w:ascii="Times New Roman" w:hAnsi="Times New Roman"/>
          <w:b w:val="0"/>
          <w:i w:val="0"/>
          <w:sz w:val="24"/>
        </w:rPr>
        <w:t>with compiled camera-ready PDF in</w:t>
      </w:r>
      <w:r>
        <w:rPr>
          <w:rFonts w:ascii="Consolas" w:hAnsi="Consolas"/>
          <w:color w:val="1E1E1E"/>
          <w:sz w:val="22"/>
        </w:rPr>
        <w:t>docs/IEEE_PAPER_MANUSCRIPT.pdf</w:t>
      </w:r>
      <w:r>
        <w:rPr>
          <w:rFonts w:ascii="Times New Roman" w:hAnsi="Times New Roman"/>
          <w:b w:val="0"/>
          <w:i w:val="0"/>
          <w:sz w:val="24"/>
        </w:rPr>
        <w:t>.</w:t>
      </w:r>
    </w:p>
    <w:p>
      <w:r>
        <w:br w:type="page"/>
      </w:r>
    </w:p>
    <w:p>
      <w:pPr>
        <w:spacing w:before="360" w:after="360" w:line="360" w:lineRule="auto"/>
        <w:jc w:val="center"/>
      </w:pPr>
      <w:r>
        <w:rPr>
          <w:rFonts w:ascii="Times New Roman" w:hAnsi="Times New Roman"/>
          <w:b/>
          <w:i w:val="0"/>
          <w:color w:val="0A2D5A"/>
          <w:sz w:val="32"/>
        </w:rPr>
        <w:t>ANNEXURE C: HARDWARE \&amp; DEPLOYMENT SPECIFICATIONS</w:t>
      </w:r>
    </w:p>
    <w:p>
      <w:pPr>
        <w:spacing w:before="40" w:after="120" w:line="360" w:lineRule="auto"/>
        <w:jc w:val="both"/>
      </w:pPr>
    </w:p>
    <w:p>
      <w:pPr>
        <w:spacing w:before="40" w:after="120" w:line="360" w:lineRule="auto"/>
        <w:jc w:val="both"/>
      </w:pPr>
      <w:r>
        <w:rPr>
          <w:rFonts w:ascii="Times New Roman" w:hAnsi="Times New Roman"/>
          <w:b w:val="0"/>
          <w:i w:val="0"/>
          <w:sz w:val="24"/>
        </w:rPr>
        <w:t>This annexure details the benchmark server and edge deployment hardware specifications:</w:t>
      </w:r>
    </w:p>
    <w:p>
      <w:pPr>
        <w:spacing w:before="40" w:after="80" w:line="312" w:lineRule="auto"/>
        <w:ind w:left="576"/>
      </w:pPr>
      <w:r>
        <w:rPr>
          <w:rFonts w:ascii="Times New Roman" w:hAnsi="Times New Roman"/>
          <w:b/>
          <w:sz w:val="22"/>
        </w:rPr>
        <w:t xml:space="preserve">1. </w:t>
      </w:r>
      <w:r>
        <w:rPr>
          <w:rFonts w:ascii="Times New Roman" w:hAnsi="Times New Roman"/>
          <w:b/>
          <w:i w:val="0"/>
          <w:sz w:val="23"/>
        </w:rPr>
        <w:t>Cloud Production Server (Render.com PaaS):</w:t>
      </w:r>
    </w:p>
    <w:p>
      <w:pPr>
        <w:spacing w:before="40" w:after="80" w:line="312" w:lineRule="auto"/>
        <w:ind w:left="576"/>
      </w:pPr>
      <w:r>
        <w:rPr>
          <w:rFonts w:ascii="Times New Roman" w:hAnsi="Times New Roman"/>
          <w:b/>
          <w:sz w:val="22"/>
        </w:rPr>
        <w:t xml:space="preserve">2. </w:t>
      </w:r>
      <w:r>
        <w:rPr>
          <w:rFonts w:ascii="Times New Roman" w:hAnsi="Times New Roman"/>
          <w:b w:val="0"/>
          <w:i w:val="0"/>
          <w:sz w:val="23"/>
        </w:rPr>
        <w:t>Virtual CPU: 2.0 GHz Quad-Core Intel Xeon Scalable Processor (x86_64)</w:t>
      </w:r>
    </w:p>
    <w:p>
      <w:pPr>
        <w:spacing w:before="40" w:after="80" w:line="312" w:lineRule="auto"/>
        <w:ind w:left="576"/>
      </w:pPr>
      <w:r>
        <w:rPr>
          <w:rFonts w:ascii="Times New Roman" w:hAnsi="Times New Roman"/>
          <w:b/>
          <w:sz w:val="22"/>
        </w:rPr>
        <w:t xml:space="preserve">3. </w:t>
      </w:r>
      <w:r>
        <w:rPr>
          <w:rFonts w:ascii="Times New Roman" w:hAnsi="Times New Roman"/>
          <w:b w:val="0"/>
          <w:i w:val="0"/>
          <w:sz w:val="23"/>
        </w:rPr>
        <w:t>RAM Allocation: 4,096 MB DDR4 ECC Registered Memory</w:t>
      </w:r>
    </w:p>
    <w:p>
      <w:pPr>
        <w:spacing w:before="40" w:after="80" w:line="312" w:lineRule="auto"/>
        <w:ind w:left="576"/>
      </w:pPr>
      <w:r>
        <w:rPr>
          <w:rFonts w:ascii="Times New Roman" w:hAnsi="Times New Roman"/>
          <w:b/>
          <w:sz w:val="22"/>
        </w:rPr>
        <w:t xml:space="preserve">4. </w:t>
      </w:r>
      <w:r>
        <w:rPr>
          <w:rFonts w:ascii="Times New Roman" w:hAnsi="Times New Roman"/>
          <w:b w:val="0"/>
          <w:i w:val="0"/>
          <w:sz w:val="23"/>
        </w:rPr>
        <w:t>Ephemeral Storage: 20 GB High-Throughput NVMe Block Storage</w:t>
      </w:r>
    </w:p>
    <w:p>
      <w:pPr>
        <w:spacing w:before="40" w:after="80" w:line="312" w:lineRule="auto"/>
        <w:ind w:left="576"/>
      </w:pPr>
      <w:r>
        <w:rPr>
          <w:rFonts w:ascii="Times New Roman" w:hAnsi="Times New Roman"/>
          <w:b/>
          <w:sz w:val="22"/>
        </w:rPr>
        <w:t xml:space="preserve">5. </w:t>
      </w:r>
      <w:r>
        <w:rPr>
          <w:rFonts w:ascii="Times New Roman" w:hAnsi="Times New Roman"/>
          <w:b w:val="0"/>
          <w:i w:val="0"/>
          <w:sz w:val="23"/>
        </w:rPr>
        <w:t>Operating Environment: Alpine Linux (Docker containerized, Python 3.11-slim)</w:t>
      </w:r>
    </w:p>
    <w:p>
      <w:pPr>
        <w:spacing w:before="40" w:after="80" w:line="312" w:lineRule="auto"/>
        <w:ind w:left="576"/>
      </w:pPr>
      <w:r>
        <w:rPr>
          <w:rFonts w:ascii="Times New Roman" w:hAnsi="Times New Roman"/>
          <w:b/>
          <w:sz w:val="22"/>
        </w:rPr>
        <w:t xml:space="preserve">6. </w:t>
      </w:r>
      <w:r>
        <w:rPr>
          <w:rFonts w:ascii="Times New Roman" w:hAnsi="Times New Roman"/>
          <w:b w:val="0"/>
          <w:i w:val="0"/>
          <w:sz w:val="23"/>
        </w:rPr>
        <w:t>Public Endpoint: https://oral-cancer-ai-x9q3.onrender.com/</w:t>
      </w:r>
    </w:p>
    <w:p>
      <w:pPr>
        <w:spacing w:before="40" w:after="80" w:line="312" w:lineRule="auto"/>
        <w:ind w:left="576"/>
      </w:pPr>
      <w:r>
        <w:rPr>
          <w:rFonts w:ascii="Times New Roman" w:hAnsi="Times New Roman"/>
          <w:b/>
          <w:sz w:val="22"/>
        </w:rPr>
        <w:t xml:space="preserve">7. </w:t>
      </w:r>
      <w:r>
        <w:rPr>
          <w:rFonts w:ascii="Times New Roman" w:hAnsi="Times New Roman"/>
          <w:b/>
          <w:i w:val="0"/>
          <w:sz w:val="23"/>
        </w:rPr>
        <w:t>Edge Client Minimum Requirements:</w:t>
      </w:r>
    </w:p>
    <w:p>
      <w:pPr>
        <w:spacing w:before="40" w:after="80" w:line="312" w:lineRule="auto"/>
        <w:ind w:left="576"/>
      </w:pPr>
      <w:r>
        <w:rPr>
          <w:rFonts w:ascii="Times New Roman" w:hAnsi="Times New Roman"/>
          <w:b/>
          <w:sz w:val="22"/>
        </w:rPr>
        <w:t xml:space="preserve">8. </w:t>
      </w:r>
      <w:r>
        <w:rPr>
          <w:rFonts w:ascii="Times New Roman" w:hAnsi="Times New Roman"/>
          <w:b w:val="0"/>
          <w:i w:val="0"/>
          <w:sz w:val="23"/>
        </w:rPr>
        <w:t>Mobile Operating System: Android 10.0+ / iOS 14.0+</w:t>
      </w:r>
    </w:p>
    <w:p>
      <w:pPr>
        <w:spacing w:before="40" w:after="80" w:line="312" w:lineRule="auto"/>
        <w:ind w:left="576"/>
      </w:pPr>
      <w:r>
        <w:rPr>
          <w:rFonts w:ascii="Times New Roman" w:hAnsi="Times New Roman"/>
          <w:b/>
          <w:sz w:val="22"/>
        </w:rPr>
        <w:t xml:space="preserve">9. </w:t>
      </w:r>
      <w:r>
        <w:rPr>
          <w:rFonts w:ascii="Times New Roman" w:hAnsi="Times New Roman"/>
          <w:b w:val="0"/>
          <w:i w:val="0"/>
          <w:sz w:val="23"/>
        </w:rPr>
        <w:t>Client Web Browser: Chromium 110+ / Safari 15+ / Firefox 112+ (WebAssembly enabled)</w:t>
      </w:r>
    </w:p>
    <w:p>
      <w:pPr>
        <w:spacing w:before="40" w:after="80" w:line="312" w:lineRule="auto"/>
        <w:ind w:left="576"/>
      </w:pPr>
      <w:r>
        <w:rPr>
          <w:rFonts w:ascii="Times New Roman" w:hAnsi="Times New Roman"/>
          <w:b/>
          <w:sz w:val="22"/>
        </w:rPr>
        <w:t xml:space="preserve">10. </w:t>
      </w:r>
      <w:r>
        <w:rPr>
          <w:rFonts w:ascii="Times New Roman" w:hAnsi="Times New Roman"/>
          <w:b w:val="0"/>
          <w:i w:val="0"/>
          <w:sz w:val="23"/>
        </w:rPr>
        <w:t>Integrated Camera: ≥ 8.0\text{ Megapixels} autofocus with LED illumination flash</w:t>
      </w:r>
    </w:p>
    <w:p>
      <w:pPr>
        <w:spacing w:before="40" w:after="80" w:line="312" w:lineRule="auto"/>
        <w:ind w:left="576"/>
      </w:pPr>
      <w:r>
        <w:rPr>
          <w:rFonts w:ascii="Times New Roman" w:hAnsi="Times New Roman"/>
          <w:b/>
          <w:sz w:val="22"/>
        </w:rPr>
        <w:t xml:space="preserve">11. </w:t>
      </w:r>
      <w:r>
        <w:rPr>
          <w:rFonts w:ascii="Times New Roman" w:hAnsi="Times New Roman"/>
          <w:b w:val="0"/>
          <w:i w:val="0"/>
          <w:sz w:val="23"/>
        </w:rPr>
        <w:t>Cellular Network: ≥ 128\text{ kbps} upstream bandwidth for multipart image transmission</w:t>
      </w:r>
    </w:p>
    <w:p>
      <w:pPr>
        <w:spacing w:before="40" w:after="120" w:line="360" w:lineRule="auto"/>
        <w:jc w:val="both"/>
      </w:pPr>
      <w:r>
        <w:rPr>
          <w:rFonts w:ascii="Times New Roman" w:hAnsi="Times New Roman"/>
          <w:b w:val="0"/>
          <w:i w:val="0"/>
          <w:sz w:val="24"/>
        </w:rPr>
        <w:t>\end{document}</w:t>
      </w:r>
    </w:p>
    <w:p>
      <w:r>
        <w:br w:type="page"/>
      </w:r>
    </w:p>
    <w:sectPr w:rsidR="00FC693F" w:rsidRPr="0006063C" w:rsidSect="00034616">
      <w:headerReference w:type="default" r:id="rId9"/>
      <w:footerReference w:type="default" r:id="rId10"/>
      <w:pgSz w:w="11909" w:h="16834"/>
      <w:pgMar w:top="1440" w:right="144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Times New Roman" w:hAnsi="Times New Roman"/>
        <w:color w:val="787878"/>
        <w:sz w:val="17"/>
      </w:rPr>
      <w:t>Dept. of Computer Science &amp; Engineering, KIT Tiptur</w:t>
    </w:r>
    <w:r>
      <w:rPr>
        <w:rFonts w:ascii="Times New Roman" w:hAnsi="Times New Roman"/>
        <w:color w:val="787878"/>
        <w:sz w:val="17"/>
      </w:rPr>
      <w:tab/>
      <w:t>2026–2027</w:t>
      <w:tab/>
      <w:t>VTU B.E. Project Report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i/>
        <w:color w:val="787878"/>
        <w:sz w:val="17"/>
      </w:rPr>
      <w:t>Visionary Diagnostics: AI-Powered Oral Cancer Detection System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 Id="rId31" Type="http://schemas.openxmlformats.org/officeDocument/2006/relationships/image" Target="media/image21.png"/><Relationship Id="rId32" Type="http://schemas.openxmlformats.org/officeDocument/2006/relationships/image" Target="media/image22.png"/><Relationship Id="rId33" Type="http://schemas.openxmlformats.org/officeDocument/2006/relationships/image" Target="media/image23.png"/><Relationship Id="rId34" Type="http://schemas.openxmlformats.org/officeDocument/2006/relationships/image" Target="media/image24.png"/><Relationship Id="rId35" Type="http://schemas.openxmlformats.org/officeDocument/2006/relationships/image" Target="media/image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