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jc w:val="left"/>
      </w:pPr>
    </w:p>
    <w:p>
      <w:pPr>
        <w:spacing w:after="120"/>
        <w:jc w:val="center"/>
      </w:pPr>
      <w:r>
        <w:rPr>
          <w:rFonts w:ascii="Calibri" w:cs="Calibri" w:eastAsia="Calibri" w:hAnsi="Calibri"/>
          <w:b/>
          <w:bCs/>
          <w:i w:val="false"/>
          <w:iCs w:val="false"/>
          <w:color w:val="1A3A5C"/>
          <w:sz w:val="44"/>
          <w:szCs w:val="44"/>
        </w:rPr>
        <w:t xml:space="preserve">RAPPORT D'INTERVENTION SÉCURITÉ</w:t>
      </w:r>
    </w:p>
    <w:p>
      <w:pPr>
        <w:spacing w:after="120"/>
        <w:jc w:val="center"/>
      </w:pPr>
      <w:r>
        <w:rPr>
          <w:rFonts w:ascii="Calibri" w:cs="Calibri" w:eastAsia="Calibri" w:hAnsi="Calibri"/>
          <w:b/>
          <w:bCs/>
          <w:i w:val="false"/>
          <w:iCs w:val="false"/>
          <w:color w:val="E74C3C"/>
          <w:sz w:val="26"/>
          <w:szCs w:val="26"/>
        </w:rPr>
        <w:t xml:space="preserve">Nettoyage et remise en sécurité d'un hébergement WordPress compromis</w:t>
      </w:r>
    </w:p>
    <w:p>
      <w:pPr>
        <w:spacing w:after="600"/>
        <w:jc w:val="center"/>
      </w:pPr>
      <w:r>
        <w:rPr>
          <w:rFonts w:ascii="Calibri" w:cs="Calibri" w:eastAsia="Calibri" w:hAnsi="Calibri"/>
          <w:b w:val="false"/>
          <w:bCs w:val="false"/>
          <w:i/>
          <w:iCs/>
          <w:color w:val="5D6D7E"/>
          <w:sz w:val="22"/>
          <w:szCs w:val="22"/>
        </w:rPr>
        <w:t xml:space="preserve">Hébergement OVHcloud — passionsvn-7sw</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Prestataire</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Loïc FRETAY — Cognix Systems</w:t>
            </w:r>
          </w:p>
        </w:tc>
      </w:tr>
      <w:tr>
        <w:tc>
          <w:tcPr>
            <w:tcW w:type="pct" w:w="3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Client</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PassionSports49 / Lookjob.fr</w:t>
            </w:r>
          </w:p>
        </w:tc>
      </w:tr>
      <w:tr>
        <w:tc>
          <w:tcPr>
            <w:tcW w:type="pct" w:w="3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Date d'intervention</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18 septembre 2026</w:t>
            </w:r>
          </w:p>
        </w:tc>
      </w:tr>
      <w:tr>
        <w:tc>
          <w:tcPr>
            <w:tcW w:type="pct" w:w="3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Durée d'exposition</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4 jours (14 au 18 septembre 2026)</w:t>
            </w:r>
          </w:p>
        </w:tc>
      </w:tr>
      <w:tr>
        <w:tc>
          <w:tcPr>
            <w:tcW w:type="pct" w:w="3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Hébergement</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OVHcloud Cluster102 — ssh02.cluster102.gra.hosting.ovh.net</w:t>
            </w:r>
          </w:p>
        </w:tc>
      </w:tr>
      <w:tr>
        <w:tc>
          <w:tcPr>
            <w:tcW w:type="pct" w:w="3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Sites traités</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passionsports49.fr + lookjob.fr</w:t>
            </w:r>
          </w:p>
        </w:tc>
      </w:tr>
    </w:tbl>
    <w:p>
      <w:pPr>
        <w:spacing w:after="300"/>
        <w:jc w:val="left"/>
      </w:pPr>
    </w:p>
    <w:p>
      <w:pPr>
        <w:spacing w:after="0"/>
        <w:jc w:val="center"/>
      </w:pPr>
      <w:r>
        <w:rPr>
          <w:rFonts w:ascii="Calibri" w:cs="Calibri" w:eastAsia="Calibri" w:hAnsi="Calibri"/>
          <w:b w:val="false"/>
          <w:bCs w:val="false"/>
          <w:i/>
          <w:iCs/>
          <w:color w:val="5D6D7E"/>
          <w:sz w:val="17"/>
          <w:szCs w:val="17"/>
        </w:rPr>
        <w:t xml:space="preserve">Document confidentiel — À destination du client uniquement</w:t>
      </w:r>
    </w:p>
    <w:p>
      <w:r>
        <w:br w:type="page"/>
      </w:r>
    </w:p>
    <w:p>
      <w:pPr>
        <w:pStyle w:val="Heading1"/>
        <w:shd w:fill="1A3A5C" w:color="1A3A5C" w:val="solid"/>
        <w:spacing w:after="160" w:before="240"/>
        <w:ind w:left="200"/>
      </w:pPr>
      <w:r>
        <w:rPr>
          <w:rFonts w:ascii="Calibri" w:cs="Calibri" w:eastAsia="Calibri" w:hAnsi="Calibri"/>
          <w:b/>
          <w:bCs/>
          <w:i w:val="false"/>
          <w:iCs w:val="false"/>
          <w:color w:val="FFFFFF"/>
          <w:sz w:val="28"/>
          <w:szCs w:val="28"/>
        </w:rPr>
        <w:t xml:space="preserve">1.  Résumé exécutif</w:t>
      </w:r>
    </w:p>
    <w:p>
      <w:pPr>
        <w:spacing w:after="200"/>
        <w:jc w:val="left"/>
      </w:pPr>
      <w:r>
        <w:rPr>
          <w:rFonts w:ascii="Calibri" w:cs="Calibri" w:eastAsia="Calibri" w:hAnsi="Calibri"/>
          <w:b w:val="false"/>
          <w:bCs w:val="false"/>
          <w:i w:val="false"/>
          <w:iCs w:val="false"/>
          <w:color w:val="17202A"/>
          <w:sz w:val="20"/>
          <w:szCs w:val="20"/>
        </w:rPr>
        <w:t xml:space="preserve">Le 14 septembre 2026, l'hébergement OVHcloud hébergeant passionsports49.fr et lookjob.fr a été compromis via la vulnérabilité critique CVE-2020-25213 du plugin WordPress WP File Manager. Un attaquant a déposé un webshell (go.php) et un outil d'accès base de données sans authentification (Adminer 4.7.8), puis propagé le webshell vers passionsports49.fr en moins de 15 minutes. Une backdoor plus ancienne (groupe BSSN) a également été découverte dans passionsports49.fr.</w:t>
      </w:r>
    </w:p>
    <w:p>
      <w:pPr>
        <w:spacing w:after="200"/>
        <w:jc w:val="left"/>
      </w:pPr>
      <w:r>
        <w:rPr>
          <w:rFonts w:ascii="Calibri" w:cs="Calibri" w:eastAsia="Calibri" w:hAnsi="Calibri"/>
          <w:b w:val="false"/>
          <w:bCs w:val="false"/>
          <w:i w:val="false"/>
          <w:iCs w:val="false"/>
          <w:color w:val="17202A"/>
          <w:sz w:val="20"/>
          <w:szCs w:val="20"/>
        </w:rPr>
        <w:t xml:space="preserve">L'intervention du 18 septembre 2026 a identifié l'ensemble des compromissions, supprimé tous les éléments malveillants, reconstruit un environnement sécurisé et validé l'état propre des deux sites via scan externe (Sucuri SiteCheck). Les deux sites sont désormais opérationnels et sécurisés.</w:t>
      </w:r>
    </w:p>
    <w:p>
      <w:pPr>
        <w:pStyle w:val="Heading1"/>
        <w:shd w:fill="1A3A5C" w:color="1A3A5C" w:val="solid"/>
        <w:spacing w:after="160" w:before="240"/>
        <w:ind w:left="200"/>
      </w:pPr>
      <w:r>
        <w:rPr>
          <w:rFonts w:ascii="Calibri" w:cs="Calibri" w:eastAsia="Calibri" w:hAnsi="Calibri"/>
          <w:b/>
          <w:bCs/>
          <w:i w:val="false"/>
          <w:iCs w:val="false"/>
          <w:color w:val="FFFFFF"/>
          <w:sz w:val="28"/>
          <w:szCs w:val="28"/>
        </w:rPr>
        <w:t xml:space="preserve">2.  État initial — Compromissions identifiées</w:t>
      </w:r>
    </w:p>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2.1  Sites présents sur l'hébergement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Répertoire</w:t>
            </w:r>
          </w:p>
        </w:tc>
        <w:tc>
          <w:tcPr>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Site</w:t>
            </w:r>
          </w:p>
        </w:tc>
        <w:tc>
          <w:tcPr>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Base de données</w:t>
            </w:r>
          </w:p>
        </w:tc>
        <w:tc>
          <w:tcPr>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État initial</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/www</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passionsports49.fr</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passionsvngfdsgd</w:t>
            </w:r>
          </w:p>
        </w:tc>
        <w:tc>
          <w:tcPr>
            <w:tcBorders>
              <w:top w:val="single" w:color="D5D8DC" w:sz="2"/>
              <w:left w:val="single" w:color="D5D8DC" w:sz="2"/>
              <w:bottom w:val="single" w:color="D5D8DC" w:sz="2"/>
              <w:right w:val="single" w:color="D5D8DC" w:sz="2"/>
            </w:tcBorders>
            <w:shd w:fill="FDEBD0" w:color="FDEBD0"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Compromis — propagation go.php + backdoor BSSN</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/www1</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(aucun site actif)</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t>
            </w:r>
          </w:p>
        </w:tc>
        <w:tc>
          <w:tcPr>
            <w:tcBorders>
              <w:top w:val="single" w:color="D5D8DC" w:sz="2"/>
              <w:left w:val="single" w:color="D5D8DC" w:sz="2"/>
              <w:bottom w:val="single" w:color="D5D8DC" w:sz="2"/>
              <w:right w:val="single" w:color="D5D8DC" w:sz="2"/>
            </w:tcBorders>
            <w:shd w:fill="F2F3F4" w:color="F2F3F4"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Vide / reliquat test</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/www4</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lookjob.fr</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passionsvn474</w:t>
            </w:r>
          </w:p>
        </w:tc>
        <w:tc>
          <w:tcPr>
            <w:tcBorders>
              <w:top w:val="single" w:color="D5D8DC" w:sz="2"/>
              <w:left w:val="single" w:color="D5D8DC" w:sz="2"/>
              <w:bottom w:val="single" w:color="D5D8DC" w:sz="2"/>
              <w:right w:val="single" w:color="D5D8DC" w:sz="2"/>
            </w:tcBorders>
            <w:shd w:fill="FADBD8" w:color="FADBD8"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Compromis — source de l'attaque</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/www5</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new.passionsports49.fr</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passionsvn853</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Propre</w:t>
            </w:r>
          </w:p>
        </w:tc>
      </w:tr>
    </w:tbl>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2.2  Fichiers malveillants identifiés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Fichier</w:t>
            </w:r>
          </w:p>
        </w:tc>
        <w:tc>
          <w:tcPr>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Emplacement</w:t>
            </w:r>
          </w:p>
        </w:tc>
        <w:tc>
          <w:tcPr>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Date</w:t>
            </w:r>
          </w:p>
        </w:tc>
        <w:tc>
          <w:tcPr>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Nature</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go.php</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/www4/ + /www/</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14/09 21h22 → 21h33</w:t>
            </w:r>
          </w:p>
        </w:tc>
        <w:tc>
          <w:tcPr>
            <w:tcBorders>
              <w:top w:val="single" w:color="D5D8DC" w:sz="2"/>
              <w:left w:val="single" w:color="D5D8DC" w:sz="2"/>
              <w:bottom w:val="single" w:color="D5D8DC" w:sz="2"/>
              <w:right w:val="single" w:color="D5D8DC" w:sz="2"/>
            </w:tcBorders>
            <w:shd w:fill="FADBD8" w:color="FADBD8"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Webshell complet — system/shell_exec/file_get_contents</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a.php</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/www4/</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14/09 21h27</w:t>
            </w:r>
          </w:p>
        </w:tc>
        <w:tc>
          <w:tcPr>
            <w:tcBorders>
              <w:top w:val="single" w:color="D5D8DC" w:sz="2"/>
              <w:left w:val="single" w:color="D5D8DC" w:sz="2"/>
              <w:bottom w:val="single" w:color="D5D8DC" w:sz="2"/>
              <w:right w:val="single" w:color="D5D8DC" w:sz="2"/>
            </w:tcBorders>
            <w:shd w:fill="FADBD8" w:color="FADBD8"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Adminer 4.7.8 — accès DB complet sans authentification</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wp-file-manager/</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/www4/wp-content/plugins/</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14/09 21h21</w:t>
            </w:r>
          </w:p>
        </w:tc>
        <w:tc>
          <w:tcPr>
            <w:tcBorders>
              <w:top w:val="single" w:color="D5D8DC" w:sz="2"/>
              <w:left w:val="single" w:color="D5D8DC" w:sz="2"/>
              <w:bottom w:val="single" w:color="D5D8DC" w:sz="2"/>
              <w:right w:val="single" w:color="D5D8DC" w:sz="2"/>
            </w:tcBorders>
            <w:shd w:fill="FADBD8" w:color="FADBD8"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Plugin injecté — vecteur initial CVE-2020-25213</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.htaccess BSSN</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/www/wp-content/_cache/</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~avril 2026</w:t>
            </w:r>
          </w:p>
        </w:tc>
        <w:tc>
          <w:tcPr>
            <w:tcBorders>
              <w:top w:val="single" w:color="D5D8DC" w:sz="2"/>
              <w:left w:val="single" w:color="D5D8DC" w:sz="2"/>
              <w:bottom w:val="single" w:color="D5D8DC" w:sz="2"/>
              <w:right w:val="single" w:color="D5D8DC" w:sz="2"/>
            </w:tcBorders>
            <w:shd w:fill="FDEBD0" w:color="FDEBD0"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Backdoor groupe hacker indonésien BSSN (antérieur)</w:t>
            </w:r>
          </w:p>
        </w:tc>
      </w:tr>
    </w:tbl>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2.3  Chronologie de l'attaque</w:t>
      </w:r>
    </w:p>
    <w:p>
      <w:pPr>
        <w:spacing w:after="6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Horodatage</w:t>
            </w:r>
          </w:p>
        </w:tc>
        <w:tc>
          <w:tcPr>
            <w:tcW w:type="pct" w:w="7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Événement</w:t>
            </w:r>
          </w:p>
        </w:tc>
      </w:tr>
      <w:tr>
        <w:tc>
          <w:tcPr>
            <w:tcBorders>
              <w:top w:val="single" w:color="D5D8DC" w:sz="2"/>
              <w:left w:val="single" w:color="D5D8DC" w:sz="2"/>
              <w:bottom w:val="single" w:color="D5D8DC" w:sz="2"/>
              <w:right w:val="single" w:color="D5D8DC" w:sz="2"/>
            </w:tcBorders>
            <w:shd w:fill="FDEBD0" w:color="FDEBD0"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Avr. 2026 (antérieur)</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Backdoor .htaccess BSSN injecté dans /www/wp-content/_cache/</w:t>
            </w:r>
          </w:p>
        </w:tc>
      </w:tr>
      <w:tr>
        <w:tc>
          <w:tcPr>
            <w:tcBorders>
              <w:top w:val="single" w:color="D5D8DC" w:sz="2"/>
              <w:left w:val="single" w:color="D5D8DC" w:sz="2"/>
              <w:bottom w:val="single" w:color="D5D8DC" w:sz="2"/>
              <w:right w:val="single" w:color="D5D8DC" w:sz="2"/>
            </w:tcBorders>
            <w:shd w:fill="FADBD8" w:color="FADBD8"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14/09/2026 21h21</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Plugin WP File Manager injecté dans /www4 (lookjob.fr)</w:t>
            </w:r>
          </w:p>
        </w:tc>
      </w:tr>
      <w:tr>
        <w:tc>
          <w:tcPr>
            <w:tcBorders>
              <w:top w:val="single" w:color="D5D8DC" w:sz="2"/>
              <w:left w:val="single" w:color="D5D8DC" w:sz="2"/>
              <w:bottom w:val="single" w:color="D5D8DC" w:sz="2"/>
              <w:right w:val="single" w:color="D5D8DC" w:sz="2"/>
            </w:tcBorders>
            <w:shd w:fill="FADBD8" w:color="FADBD8"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14/09/2026 21h22</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Webshell go.php (11 KB) déposé à la racine de /www4</w:t>
            </w:r>
          </w:p>
        </w:tc>
      </w:tr>
      <w:tr>
        <w:tc>
          <w:tcPr>
            <w:tcBorders>
              <w:top w:val="single" w:color="D5D8DC" w:sz="2"/>
              <w:left w:val="single" w:color="D5D8DC" w:sz="2"/>
              <w:bottom w:val="single" w:color="D5D8DC" w:sz="2"/>
              <w:right w:val="single" w:color="D5D8DC" w:sz="2"/>
            </w:tcBorders>
            <w:shd w:fill="FADBD8" w:color="FADBD8"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14/09/2026 21h27</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Adminer a.php (489 KB) déposé dans /www4 — accès DB immédiat</w:t>
            </w:r>
          </w:p>
        </w:tc>
      </w:tr>
      <w:tr>
        <w:tc>
          <w:tcPr>
            <w:tcBorders>
              <w:top w:val="single" w:color="D5D8DC" w:sz="2"/>
              <w:left w:val="single" w:color="D5D8DC" w:sz="2"/>
              <w:bottom w:val="single" w:color="D5D8DC" w:sz="2"/>
              <w:right w:val="single" w:color="D5D8DC" w:sz="2"/>
            </w:tcBorders>
            <w:shd w:fill="FADBD8" w:color="FADBD8"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14/09/2026 21h33</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Propagation de go.php vers /www (passionsports49.fr) — hash SHA256 identique</w:t>
            </w:r>
          </w:p>
        </w:tc>
      </w:tr>
      <w:tr>
        <w:tc>
          <w:tcPr>
            <w:tcBorders>
              <w:top w:val="single" w:color="D5D8DC" w:sz="2"/>
              <w:left w:val="single" w:color="D5D8DC" w:sz="2"/>
              <w:bottom w:val="single" w:color="D5D8DC" w:sz="2"/>
              <w:right w:val="single" w:color="D5D8DC" w:sz="2"/>
            </w:tcBorders>
            <w:shd w:fill="FDEBD0" w:color="FDEBD0"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14→18/09/2026</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Durée d'exposition : 4 jours — accès shell complet + accès DB</w:t>
            </w:r>
          </w:p>
        </w:tc>
      </w:tr>
      <w:tr>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18/09/2026 10h31</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Début de l'intervention Cognix Systems</w:t>
            </w:r>
          </w:p>
        </w:tc>
      </w:tr>
      <w:tr>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18/09/2026 16h50</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Sites nettoyés, sécurisés et validés par scan externe</w:t>
            </w:r>
          </w:p>
        </w:tc>
      </w:tr>
    </w:tbl>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2.4  Analyse de la propagation</w:t>
      </w:r>
    </w:p>
    <w:p>
      <w:pPr>
        <w:spacing w:after="160"/>
        <w:jc w:val="left"/>
      </w:pPr>
      <w:r>
        <w:rPr>
          <w:rFonts w:ascii="Calibri" w:cs="Calibri" w:eastAsia="Calibri" w:hAnsi="Calibri"/>
          <w:b w:val="false"/>
          <w:bCs w:val="false"/>
          <w:i w:val="false"/>
          <w:iCs w:val="false"/>
          <w:color w:val="17202A"/>
          <w:sz w:val="20"/>
          <w:szCs w:val="20"/>
        </w:rPr>
        <w:t xml:space="preserve">Tous les répertoires partagent le même utilisateur Unix (passionsvn-7sw) sans isolation. La propagation de /www4 vers /www en 11 minutes, avec un hash SHA256 identique pour les deux fichiers go.php, confirme une copie automatisée par le webshell. Un attaquant avait donc accès shell complet et accès DB sur l'ensemble de l'hébergement pendant 4 jours.</w:t>
      </w:r>
    </w:p>
    <w:p>
      <w:r>
        <w:br w:type="page"/>
      </w:r>
    </w:p>
    <w:p>
      <w:pPr>
        <w:pStyle w:val="Heading1"/>
        <w:shd w:fill="1A3A5C" w:color="1A3A5C" w:val="solid"/>
        <w:spacing w:after="160" w:before="240"/>
        <w:ind w:left="200"/>
      </w:pPr>
      <w:r>
        <w:rPr>
          <w:rFonts w:ascii="Calibri" w:cs="Calibri" w:eastAsia="Calibri" w:hAnsi="Calibri"/>
          <w:b/>
          <w:bCs/>
          <w:i w:val="false"/>
          <w:iCs w:val="false"/>
          <w:color w:val="FFFFFF"/>
          <w:sz w:val="28"/>
          <w:szCs w:val="28"/>
        </w:rPr>
        <w:t xml:space="preserve">3.  Travail effectué</w:t>
      </w:r>
    </w:p>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3.1  Sauvegardes forensic — avant tout nettoyage</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Copie intégrale /www4 → 561 MB (horodatage et hash SHA256 des fichiers suspects)</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Dump SQL complet passionsvn474 (lookjob.fr) → 33 MB</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Copie intégrale /www5 → 394 MB (sauvegarde avant suppression)</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Fichiers suspects isolés séparément avec hash SHA256 calculés</w:t>
      </w:r>
    </w:p>
    <w:p>
      <w:pPr>
        <w:spacing w:after="120"/>
        <w:jc w:val="left"/>
      </w:pPr>
    </w:p>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3.2  Nettoyage passionsports49.fr (/www)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Action effectuée</w:t>
            </w:r>
          </w:p>
        </w:tc>
        <w:tc>
          <w:tcPr>
            <w:tcW w:type="pct" w:w="2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Résultat</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Suppression du webshell go.php</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Supprimé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Suppression du .htaccess BSSN dans /wp-content/_cache/</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Supprimé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8 WordPress Salts régénérés dans wp-config.php</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62 sessions actives invalidées (wp_usermeta session_tokens)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Exécution PHP bloquée dans /wp-content/uploads/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xmlrpc.php désactivé</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wp-config.php passé en permissions 640</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Directory listing désactivé (Options -Indexes dans .htaccess)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3 mots de passe administrateurs WordPress réinitialisés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Scan base passionsvngfdsgd (options, cron, snippets, users, posts)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Propre</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Wordfence activé — email d'alerte configuré</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bl>
    <w:p>
      <w:pPr>
        <w:spacing w:after="120"/>
        <w:jc w:val="left"/>
      </w:pPr>
    </w:p>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3.3  Nettoyage lookjob.fr (/www4)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Action effectuée</w:t>
            </w:r>
          </w:p>
        </w:tc>
        <w:tc>
          <w:tcPr>
            <w:tcW w:type="pct" w:w="2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Résultat</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Suppression du webshell go.php</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Supprimé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Suppression de l'outil Adminer a.php (489 KB)</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Supprimé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Suppression complète du plugin wp-file-manager/ (~22 MB)</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Supprimé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8 WordPress Salts régénérés dans wp-config.php</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1 session active invalidée</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Exécution PHP bloquée dans /wp-content/uploads/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xmlrpc.php désactivé</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wp-config.php passé en permissions 640</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Directory listing désactivé (Options -Indexes dans .htaccess)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2 mots de passe administrateurs WordPress réinitialisés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Scan base passionsvn474 (options, cron, snippets, users, posts)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Propre</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Wordfence mis à jour — email d'alerte configuré</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Effectué</w:t>
            </w:r>
          </w:p>
        </w:tc>
      </w:tr>
    </w:tbl>
    <w:p>
      <w:pPr>
        <w:spacing w:after="120"/>
        <w:jc w:val="left"/>
      </w:pPr>
    </w:p>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3.4  Sites supprimés (hors périmètre)</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/www1 — Aucun site actif (reliquat upgrade-temp-backup) → Supprimé</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/www5 — new.passionsports49.fr — Propre — Sauvegardé (394 MB) puis supprimé sur instruction client</w:t>
      </w:r>
    </w:p>
    <w:p>
      <w:pPr>
        <w:spacing w:after="120"/>
        <w:jc w:val="left"/>
      </w:pPr>
    </w:p>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3.5  Changements d'accès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Élément</w:t>
            </w:r>
          </w:p>
        </w:tc>
        <w:tc>
          <w:tcPr>
            <w:tcW w:type="pct" w:w="30%"/>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Action</w:t>
            </w:r>
          </w:p>
        </w:tc>
        <w:tc>
          <w:tcPr>
            <w:tcW w:type="pct" w:w="15%"/>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Statut</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Mots de passe admins WordPress (5 comptes)</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Réinitialisés — sessions invalidées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Mot de passe DB passionsvn474 (lookjob.fr)</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Changé via OVH + wp-config.php mis à jour</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Mot de passe DB passionsvngfdsgd (passionsports49.fr)</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Changé via OVH + wp-config.php mis à jour</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Mot de passe OVH (espace client + FTP + SSH)</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Changé</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WordPress Salts (8 clés × 2 sites)</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Régénérés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t>
            </w:r>
          </w:p>
        </w:tc>
      </w:tr>
    </w:tbl>
    <w:p>
      <w:pPr>
        <w:spacing w:after="120"/>
        <w:jc w:val="left"/>
      </w:pPr>
    </w:p>
    <w:p>
      <w:r>
        <w:br w:type="page"/>
      </w:r>
    </w:p>
    <w:p>
      <w:pPr>
        <w:pStyle w:val="Heading1"/>
        <w:shd w:fill="1A3A5C" w:color="1A3A5C" w:val="solid"/>
        <w:spacing w:after="160" w:before="240"/>
        <w:ind w:left="200"/>
      </w:pPr>
      <w:r>
        <w:rPr>
          <w:rFonts w:ascii="Calibri" w:cs="Calibri" w:eastAsia="Calibri" w:hAnsi="Calibri"/>
          <w:b/>
          <w:bCs/>
          <w:i w:val="false"/>
          <w:iCs w:val="false"/>
          <w:color w:val="FFFFFF"/>
          <w:sz w:val="28"/>
          <w:szCs w:val="28"/>
        </w:rPr>
        <w:t xml:space="preserve">4.  Validation externe — Scan Sucuri SiteCheck</w:t>
      </w:r>
    </w:p>
    <w:p>
      <w:pPr>
        <w:spacing w:after="120"/>
        <w:jc w:val="left"/>
      </w:pPr>
      <w:r>
        <w:rPr>
          <w:rFonts w:ascii="Calibri" w:cs="Calibri" w:eastAsia="Calibri" w:hAnsi="Calibri"/>
          <w:b w:val="false"/>
          <w:bCs w:val="false"/>
          <w:i w:val="false"/>
          <w:iCs w:val="false"/>
          <w:color w:val="17202A"/>
          <w:sz w:val="20"/>
          <w:szCs w:val="20"/>
        </w:rPr>
        <w:t xml:space="preserve">Scan réalisé le 18 septembre 2026 depuis les serveurs Sucuri (analyse externe, post-nettoyage).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Critère de sécurité</w:t>
            </w:r>
          </w:p>
        </w:tc>
        <w:tc>
          <w:tcPr>
            <w:tcW w:type="pct" w:w="30%"/>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passionsports49.fr</w:t>
            </w:r>
          </w:p>
        </w:tc>
        <w:tc>
          <w:tcPr>
            <w:tcW w:type="pct" w:w="30%"/>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lookjob.fr</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Malware détecté</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Aucun</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Aucun</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Blacklisting (Google, Norton, McAfee...)</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Aucune blacklist</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Aucune blacklist</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Score sécurité Sucuri</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6/6 checks passés</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6/6 checks passés</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Certificat SSL</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Let's Encrypt — valide</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Let's Encrypt — exp. 15/11/2026</w:t>
            </w:r>
          </w:p>
        </w:tc>
      </w:tr>
    </w:tbl>
    <w:p>
      <w:pPr>
        <w:spacing w:after="160"/>
        <w:jc w:val="left"/>
      </w:pPr>
    </w:p>
    <w:p>
      <w:pPr>
        <w:spacing w:after="80"/>
        <w:jc w:val="left"/>
      </w:pPr>
      <w:r>
        <w:rPr>
          <w:rFonts w:ascii="Calibri" w:cs="Calibri" w:eastAsia="Calibri" w:hAnsi="Calibri"/>
          <w:b/>
          <w:bCs/>
          <w:i w:val="false"/>
          <w:iCs w:val="false"/>
          <w:color w:val="1A3A5C"/>
          <w:sz w:val="22"/>
          <w:szCs w:val="22"/>
        </w:rPr>
        <w:t xml:space="preserve">Indicateurs de sécurité — Avant / Après intervention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Fichiers malveillants supprimés</w:t>
            </w:r>
          </w:p>
        </w:tc>
        <w:tc>
          <w:tcPr>
            <w:tcW w:type="pct" w:w="74%"/>
            <w:tcBorders>
              <w:top w:val="none"/>
              <w:left w:val="none"/>
              <w:bottom w:val="none"/>
              <w:right w:val="none"/>
            </w:tcBorders>
            <w:shd w:fill="1E8449" w:color="1E8449" w:val="solid"/>
            <w:tcMar>
              <w:top w:type="dxa" w:w="60"/>
              <w:left w:type="dxa" w:w="0"/>
              <w:bottom w:type="dxa" w:w="60"/>
              <w:right w:type="dxa" w:w="0"/>
            </w:tcMar>
          </w:tcPr>
          <w:p>
            <w:pPr>
              <w:spacing w:after="0"/>
            </w:pPr>
            <w:r>
              <w:rPr>
                <w:rFonts w:ascii="Calibri" w:cs="Calibri" w:eastAsia="Calibri" w:hAnsi="Calibri"/>
                <w:b w:val="false"/>
                <w:bCs w:val="false"/>
                <w:i w:val="false"/>
                <w:iCs w:val="false"/>
                <w:color w:val="17202A"/>
                <w:sz w:val="20"/>
                <w:szCs w:val="20"/>
              </w:rPr>
              <w:t xml:space="preserve"/>
            </w:r>
          </w:p>
        </w:tc>
        <w:tc>
          <w:tcPr>
            <w:tcW w:type="pct" w:w="0%"/>
            <w:tcBorders>
              <w:top w:val="none"/>
              <w:left w:val="none"/>
              <w:bottom w:val="none"/>
              <w:right w:val="none"/>
            </w:tcBorders>
            <w:shd w:fill="D5D8DC" w:color="D5D8DC" w:val="solid"/>
            <w:tcMar>
              <w:top w:type="dxa" w:w="60"/>
              <w:left w:type="dxa" w:w="0"/>
              <w:bottom w:type="dxa" w:w="60"/>
              <w:right w:type="dxa" w:w="0"/>
            </w:tcMar>
          </w:tcPr>
          <w:p>
            <w:pPr>
              <w:spacing w:after="0"/>
            </w:pPr>
            <w:r>
              <w:rPr>
                <w:rFonts w:ascii="Calibri" w:cs="Calibri" w:eastAsia="Calibri" w:hAnsi="Calibri"/>
                <w:b w:val="false"/>
                <w:bCs w:val="false"/>
                <w:i w:val="false"/>
                <w:iCs w:val="false"/>
                <w:color w:val="17202A"/>
                <w:sz w:val="20"/>
                <w:szCs w:val="20"/>
              </w:rPr>
              <w:t xml:space="preserve"/>
            </w:r>
          </w:p>
        </w:tc>
        <w:tc>
          <w:tcPr>
            <w:tcW w:type="pct" w:w="5%"/>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bCs/>
                <w:i w:val="false"/>
                <w:iCs w:val="false"/>
                <w:color w:val="17202A"/>
                <w:sz w:val="19"/>
                <w:szCs w:val="19"/>
              </w:rPr>
              <w:t xml:space="preserve">100%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Accès DB sécurisé</w:t>
            </w:r>
          </w:p>
        </w:tc>
        <w:tc>
          <w:tcPr>
            <w:tcW w:type="pct" w:w="74%"/>
            <w:tcBorders>
              <w:top w:val="none"/>
              <w:left w:val="none"/>
              <w:bottom w:val="none"/>
              <w:right w:val="none"/>
            </w:tcBorders>
            <w:shd w:fill="1E8449" w:color="1E8449" w:val="solid"/>
            <w:tcMar>
              <w:top w:type="dxa" w:w="60"/>
              <w:left w:type="dxa" w:w="0"/>
              <w:bottom w:type="dxa" w:w="60"/>
              <w:right w:type="dxa" w:w="0"/>
            </w:tcMar>
          </w:tcPr>
          <w:p>
            <w:pPr>
              <w:spacing w:after="0"/>
            </w:pPr>
            <w:r>
              <w:rPr>
                <w:rFonts w:ascii="Calibri" w:cs="Calibri" w:eastAsia="Calibri" w:hAnsi="Calibri"/>
                <w:b w:val="false"/>
                <w:bCs w:val="false"/>
                <w:i w:val="false"/>
                <w:iCs w:val="false"/>
                <w:color w:val="17202A"/>
                <w:sz w:val="20"/>
                <w:szCs w:val="20"/>
              </w:rPr>
              <w:t xml:space="preserve"/>
            </w:r>
          </w:p>
        </w:tc>
        <w:tc>
          <w:tcPr>
            <w:tcW w:type="pct" w:w="0%"/>
            <w:tcBorders>
              <w:top w:val="none"/>
              <w:left w:val="none"/>
              <w:bottom w:val="none"/>
              <w:right w:val="none"/>
            </w:tcBorders>
            <w:shd w:fill="D5D8DC" w:color="D5D8DC" w:val="solid"/>
            <w:tcMar>
              <w:top w:type="dxa" w:w="60"/>
              <w:left w:type="dxa" w:w="0"/>
              <w:bottom w:type="dxa" w:w="60"/>
              <w:right w:type="dxa" w:w="0"/>
            </w:tcMar>
          </w:tcPr>
          <w:p>
            <w:pPr>
              <w:spacing w:after="0"/>
            </w:pPr>
            <w:r>
              <w:rPr>
                <w:rFonts w:ascii="Calibri" w:cs="Calibri" w:eastAsia="Calibri" w:hAnsi="Calibri"/>
                <w:b w:val="false"/>
                <w:bCs w:val="false"/>
                <w:i w:val="false"/>
                <w:iCs w:val="false"/>
                <w:color w:val="17202A"/>
                <w:sz w:val="20"/>
                <w:szCs w:val="20"/>
              </w:rPr>
              <w:t xml:space="preserve"/>
            </w:r>
          </w:p>
        </w:tc>
        <w:tc>
          <w:tcPr>
            <w:tcW w:type="pct" w:w="5%"/>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bCs/>
                <w:i w:val="false"/>
                <w:iCs w:val="false"/>
                <w:color w:val="17202A"/>
                <w:sz w:val="19"/>
                <w:szCs w:val="19"/>
              </w:rPr>
              <w:t xml:space="preserve">100%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Sessions invalidées</w:t>
            </w:r>
          </w:p>
        </w:tc>
        <w:tc>
          <w:tcPr>
            <w:tcW w:type="pct" w:w="74%"/>
            <w:tcBorders>
              <w:top w:val="none"/>
              <w:left w:val="none"/>
              <w:bottom w:val="none"/>
              <w:right w:val="none"/>
            </w:tcBorders>
            <w:shd w:fill="1E8449" w:color="1E8449" w:val="solid"/>
            <w:tcMar>
              <w:top w:type="dxa" w:w="60"/>
              <w:left w:type="dxa" w:w="0"/>
              <w:bottom w:type="dxa" w:w="60"/>
              <w:right w:type="dxa" w:w="0"/>
            </w:tcMar>
          </w:tcPr>
          <w:p>
            <w:pPr>
              <w:spacing w:after="0"/>
            </w:pPr>
            <w:r>
              <w:rPr>
                <w:rFonts w:ascii="Calibri" w:cs="Calibri" w:eastAsia="Calibri" w:hAnsi="Calibri"/>
                <w:b w:val="false"/>
                <w:bCs w:val="false"/>
                <w:i w:val="false"/>
                <w:iCs w:val="false"/>
                <w:color w:val="17202A"/>
                <w:sz w:val="20"/>
                <w:szCs w:val="20"/>
              </w:rPr>
              <w:t xml:space="preserve"/>
            </w:r>
          </w:p>
        </w:tc>
        <w:tc>
          <w:tcPr>
            <w:tcW w:type="pct" w:w="0%"/>
            <w:tcBorders>
              <w:top w:val="none"/>
              <w:left w:val="none"/>
              <w:bottom w:val="none"/>
              <w:right w:val="none"/>
            </w:tcBorders>
            <w:shd w:fill="D5D8DC" w:color="D5D8DC" w:val="solid"/>
            <w:tcMar>
              <w:top w:type="dxa" w:w="60"/>
              <w:left w:type="dxa" w:w="0"/>
              <w:bottom w:type="dxa" w:w="60"/>
              <w:right w:type="dxa" w:w="0"/>
            </w:tcMar>
          </w:tcPr>
          <w:p>
            <w:pPr>
              <w:spacing w:after="0"/>
            </w:pPr>
            <w:r>
              <w:rPr>
                <w:rFonts w:ascii="Calibri" w:cs="Calibri" w:eastAsia="Calibri" w:hAnsi="Calibri"/>
                <w:b w:val="false"/>
                <w:bCs w:val="false"/>
                <w:i w:val="false"/>
                <w:iCs w:val="false"/>
                <w:color w:val="17202A"/>
                <w:sz w:val="20"/>
                <w:szCs w:val="20"/>
              </w:rPr>
              <w:t xml:space="preserve"/>
            </w:r>
          </w:p>
        </w:tc>
        <w:tc>
          <w:tcPr>
            <w:tcW w:type="pct" w:w="5%"/>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bCs/>
                <w:i w:val="false"/>
                <w:iCs w:val="false"/>
                <w:color w:val="17202A"/>
                <w:sz w:val="19"/>
                <w:szCs w:val="19"/>
              </w:rPr>
              <w:t xml:space="preserve">100%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Uploads PHP bloqué</w:t>
            </w:r>
          </w:p>
        </w:tc>
        <w:tc>
          <w:tcPr>
            <w:tcW w:type="pct" w:w="74%"/>
            <w:tcBorders>
              <w:top w:val="none"/>
              <w:left w:val="none"/>
              <w:bottom w:val="none"/>
              <w:right w:val="none"/>
            </w:tcBorders>
            <w:shd w:fill="1E8449" w:color="1E8449" w:val="solid"/>
            <w:tcMar>
              <w:top w:type="dxa" w:w="60"/>
              <w:left w:type="dxa" w:w="0"/>
              <w:bottom w:type="dxa" w:w="60"/>
              <w:right w:type="dxa" w:w="0"/>
            </w:tcMar>
          </w:tcPr>
          <w:p>
            <w:pPr>
              <w:spacing w:after="0"/>
            </w:pPr>
            <w:r>
              <w:rPr>
                <w:rFonts w:ascii="Calibri" w:cs="Calibri" w:eastAsia="Calibri" w:hAnsi="Calibri"/>
                <w:b w:val="false"/>
                <w:bCs w:val="false"/>
                <w:i w:val="false"/>
                <w:iCs w:val="false"/>
                <w:color w:val="17202A"/>
                <w:sz w:val="20"/>
                <w:szCs w:val="20"/>
              </w:rPr>
              <w:t xml:space="preserve"/>
            </w:r>
          </w:p>
        </w:tc>
        <w:tc>
          <w:tcPr>
            <w:tcW w:type="pct" w:w="0%"/>
            <w:tcBorders>
              <w:top w:val="none"/>
              <w:left w:val="none"/>
              <w:bottom w:val="none"/>
              <w:right w:val="none"/>
            </w:tcBorders>
            <w:shd w:fill="D5D8DC" w:color="D5D8DC" w:val="solid"/>
            <w:tcMar>
              <w:top w:type="dxa" w:w="60"/>
              <w:left w:type="dxa" w:w="0"/>
              <w:bottom w:type="dxa" w:w="60"/>
              <w:right w:type="dxa" w:w="0"/>
            </w:tcMar>
          </w:tcPr>
          <w:p>
            <w:pPr>
              <w:spacing w:after="0"/>
            </w:pPr>
            <w:r>
              <w:rPr>
                <w:rFonts w:ascii="Calibri" w:cs="Calibri" w:eastAsia="Calibri" w:hAnsi="Calibri"/>
                <w:b w:val="false"/>
                <w:bCs w:val="false"/>
                <w:i w:val="false"/>
                <w:iCs w:val="false"/>
                <w:color w:val="17202A"/>
                <w:sz w:val="20"/>
                <w:szCs w:val="20"/>
              </w:rPr>
              <w:t xml:space="preserve"/>
            </w:r>
          </w:p>
        </w:tc>
        <w:tc>
          <w:tcPr>
            <w:tcW w:type="pct" w:w="5%"/>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bCs/>
                <w:i w:val="false"/>
                <w:iCs w:val="false"/>
                <w:color w:val="17202A"/>
                <w:sz w:val="19"/>
                <w:szCs w:val="19"/>
              </w:rPr>
              <w:t xml:space="preserve">100%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Credentials changés</w:t>
            </w:r>
          </w:p>
        </w:tc>
        <w:tc>
          <w:tcPr>
            <w:tcW w:type="pct" w:w="74%"/>
            <w:tcBorders>
              <w:top w:val="none"/>
              <w:left w:val="none"/>
              <w:bottom w:val="none"/>
              <w:right w:val="none"/>
            </w:tcBorders>
            <w:shd w:fill="1E8449" w:color="1E8449" w:val="solid"/>
            <w:tcMar>
              <w:top w:type="dxa" w:w="60"/>
              <w:left w:type="dxa" w:w="0"/>
              <w:bottom w:type="dxa" w:w="60"/>
              <w:right w:type="dxa" w:w="0"/>
            </w:tcMar>
          </w:tcPr>
          <w:p>
            <w:pPr>
              <w:spacing w:after="0"/>
            </w:pPr>
            <w:r>
              <w:rPr>
                <w:rFonts w:ascii="Calibri" w:cs="Calibri" w:eastAsia="Calibri" w:hAnsi="Calibri"/>
                <w:b w:val="false"/>
                <w:bCs w:val="false"/>
                <w:i w:val="false"/>
                <w:iCs w:val="false"/>
                <w:color w:val="17202A"/>
                <w:sz w:val="20"/>
                <w:szCs w:val="20"/>
              </w:rPr>
              <w:t xml:space="preserve"/>
            </w:r>
          </w:p>
        </w:tc>
        <w:tc>
          <w:tcPr>
            <w:tcW w:type="pct" w:w="0%"/>
            <w:tcBorders>
              <w:top w:val="none"/>
              <w:left w:val="none"/>
              <w:bottom w:val="none"/>
              <w:right w:val="none"/>
            </w:tcBorders>
            <w:shd w:fill="D5D8DC" w:color="D5D8DC" w:val="solid"/>
            <w:tcMar>
              <w:top w:type="dxa" w:w="60"/>
              <w:left w:type="dxa" w:w="0"/>
              <w:bottom w:type="dxa" w:w="60"/>
              <w:right w:type="dxa" w:w="0"/>
            </w:tcMar>
          </w:tcPr>
          <w:p>
            <w:pPr>
              <w:spacing w:after="0"/>
            </w:pPr>
            <w:r>
              <w:rPr>
                <w:rFonts w:ascii="Calibri" w:cs="Calibri" w:eastAsia="Calibri" w:hAnsi="Calibri"/>
                <w:b w:val="false"/>
                <w:bCs w:val="false"/>
                <w:i w:val="false"/>
                <w:iCs w:val="false"/>
                <w:color w:val="17202A"/>
                <w:sz w:val="20"/>
                <w:szCs w:val="20"/>
              </w:rPr>
              <w:t xml:space="preserve"/>
            </w:r>
          </w:p>
        </w:tc>
        <w:tc>
          <w:tcPr>
            <w:tcW w:type="pct" w:w="5%"/>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bCs/>
                <w:i w:val="false"/>
                <w:iCs w:val="false"/>
                <w:color w:val="17202A"/>
                <w:sz w:val="19"/>
                <w:szCs w:val="19"/>
              </w:rPr>
              <w:t xml:space="preserve">100%</w:t>
            </w:r>
          </w:p>
        </w:tc>
      </w:tr>
    </w:tbl>
    <w:p>
      <w:pPr>
        <w:spacing w:after="120"/>
        <w:jc w:val="left"/>
      </w:pPr>
    </w:p>
    <w:p>
      <w:pPr>
        <w:pStyle w:val="Heading1"/>
        <w:shd w:fill="1A3A5C" w:color="1A3A5C" w:val="solid"/>
        <w:spacing w:after="160" w:before="240"/>
        <w:ind w:left="200"/>
      </w:pPr>
      <w:r>
        <w:rPr>
          <w:rFonts w:ascii="Calibri" w:cs="Calibri" w:eastAsia="Calibri" w:hAnsi="Calibri"/>
          <w:b/>
          <w:bCs/>
          <w:i w:val="false"/>
          <w:iCs w:val="false"/>
          <w:color w:val="FFFFFF"/>
          <w:sz w:val="28"/>
          <w:szCs w:val="28"/>
        </w:rPr>
        <w:t xml:space="preserve">5.  Tableau résultat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Site</w:t>
            </w:r>
          </w:p>
        </w:tc>
        <w:tc>
          <w:tcPr>
            <w:tcW w:type="pct" w:w="26%"/>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État avant</w:t>
            </w:r>
          </w:p>
        </w:tc>
        <w:tc>
          <w:tcPr>
            <w:tcW w:type="pct" w:w="30%"/>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Intervention principale</w:t>
            </w:r>
          </w:p>
        </w:tc>
        <w:tc>
          <w:tcPr>
            <w:tcW w:type="pct" w:w="22%"/>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État après</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passionsports49.fr</w:t>
            </w:r>
          </w:p>
        </w:tc>
        <w:tc>
          <w:tcPr>
            <w:tcBorders>
              <w:top w:val="single" w:color="D5D8DC" w:sz="2"/>
              <w:left w:val="single" w:color="D5D8DC" w:sz="2"/>
              <w:bottom w:val="single" w:color="D5D8DC" w:sz="2"/>
              <w:right w:val="single" w:color="D5D8DC" w:sz="2"/>
            </w:tcBorders>
            <w:shd w:fill="FDEBD0" w:color="FDEBD0"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Compromis (go.php + .htaccess BSSN)</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Nettoyage, durcissement, reset accès complet</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Propre et sécurisé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lookjob.fr</w:t>
            </w:r>
          </w:p>
        </w:tc>
        <w:tc>
          <w:tcPr>
            <w:tcBorders>
              <w:top w:val="single" w:color="D5D8DC" w:sz="2"/>
              <w:left w:val="single" w:color="D5D8DC" w:sz="2"/>
              <w:bottom w:val="single" w:color="D5D8DC" w:sz="2"/>
              <w:right w:val="single" w:color="D5D8DC" w:sz="2"/>
            </w:tcBorders>
            <w:shd w:fill="FADBD8" w:color="FADBD8"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Compromis (go.php + Adminer + WP-FM)</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Nettoyage, durcissement, reset accès complet</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Propre et sécurisé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/www1</w:t>
            </w:r>
          </w:p>
        </w:tc>
        <w:tc>
          <w:tcPr>
            <w:tcBorders>
              <w:top w:val="single" w:color="D5D8DC" w:sz="2"/>
              <w:left w:val="single" w:color="D5D8DC" w:sz="2"/>
              <w:bottom w:val="single" w:color="D5D8DC" w:sz="2"/>
              <w:right w:val="single" w:color="D5D8DC" w:sz="2"/>
            </w:tcBorders>
            <w:shd w:fill="F2F3F4" w:color="F2F3F4"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Vide</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Supprimé</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Supprimé</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new.passionsports49.fr</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Propre</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Sauvegardé puis supprimé (hors périmètre)</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Supprimé</w:t>
            </w:r>
          </w:p>
        </w:tc>
      </w:tr>
    </w:tbl>
    <w:p>
      <w:r>
        <w:br w:type="page"/>
      </w:r>
    </w:p>
    <w:p>
      <w:pPr>
        <w:pStyle w:val="Heading1"/>
        <w:shd w:fill="1A3A5C" w:color="1A3A5C" w:val="solid"/>
        <w:spacing w:after="160" w:before="240"/>
        <w:ind w:left="200"/>
      </w:pPr>
      <w:r>
        <w:rPr>
          <w:rFonts w:ascii="Calibri" w:cs="Calibri" w:eastAsia="Calibri" w:hAnsi="Calibri"/>
          <w:b/>
          <w:bCs/>
          <w:i w:val="false"/>
          <w:iCs w:val="false"/>
          <w:color w:val="FFFFFF"/>
          <w:sz w:val="28"/>
          <w:szCs w:val="28"/>
        </w:rPr>
        <w:t xml:space="preserve">6.  Recommandations</w:t>
      </w:r>
    </w:p>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6.1  Urgentes — dans les 7 jours</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Installer Wordfence sur lookjob.fr et lancer un scan complet sur les 2 sites</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Activer la double authentification (2FA) sur tous les comptes administrateurs WordPress — plugin recommandé : WP 2FA</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Supprimer définitivement WP File Manager de tous les sites — vecteur d'attaque critique (CVE-2020-25213)</w:t>
      </w:r>
    </w:p>
    <w:p>
      <w:pPr>
        <w:spacing w:after="120"/>
        <w:jc w:val="left"/>
      </w:pPr>
    </w:p>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6.2  Court terme — dans le mois</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Mettre à jour WordPress core, plugins et thèmes sur les 2 sites</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Corriger le mixed content HTTP/HTTPS sur lookjob.fr (images chargées en HTTP)</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Mettre en place une sauvegarde externalisée journalière indépendante de l'hébergeur OVH</w:t>
      </w:r>
    </w:p>
    <w:p>
      <w:pPr>
        <w:pStyle w:val="ListParagraph"/>
        <w:numPr>
          <w:ilvl w:val="0"/>
          <w:numId w:val="1"/>
        </w:numPr>
        <w:spacing w:after="60"/>
      </w:pPr>
      <w:r>
        <w:rPr>
          <w:rFonts w:ascii="Calibri" w:cs="Calibri" w:eastAsia="Calibri" w:hAnsi="Calibri"/>
          <w:b w:val="false"/>
          <w:bCs w:val="false"/>
          <w:i w:val="false"/>
          <w:iCs w:val="false"/>
          <w:color w:val="17202A"/>
          <w:sz w:val="20"/>
          <w:szCs w:val="20"/>
        </w:rPr>
        <w:t xml:space="preserve">Ajouter les headers de sécurité HTTP manquants (HSTS, Content-Security-Policy, X-Frame-Options)</w:t>
      </w:r>
    </w:p>
    <w:p>
      <w:pPr>
        <w:spacing w:after="120"/>
        <w:jc w:val="left"/>
      </w:pPr>
    </w:p>
    <w:p>
      <w:pPr>
        <w:pStyle w:val="Heading2"/>
        <w:pBdr>
          <w:bottom w:val="single" w:color="E74C3C" w:sz="6"/>
        </w:pBdr>
        <w:spacing w:after="120" w:before="240"/>
      </w:pPr>
      <w:r>
        <w:rPr>
          <w:rFonts w:ascii="Calibri" w:cs="Calibri" w:eastAsia="Calibri" w:hAnsi="Calibri"/>
          <w:b/>
          <w:bCs/>
          <w:i w:val="false"/>
          <w:iCs w:val="false"/>
          <w:color w:val="1A3A5C"/>
          <w:sz w:val="24"/>
          <w:szCs w:val="24"/>
        </w:rPr>
        <w:t xml:space="preserve">6.3  Limites de cette intervention</w:t>
      </w:r>
    </w:p>
    <w:p>
      <w:pPr>
        <w:spacing w:after="160"/>
        <w:jc w:val="left"/>
      </w:pPr>
      <w:r>
        <w:rPr>
          <w:rFonts w:ascii="Calibri" w:cs="Calibri" w:eastAsia="Calibri" w:hAnsi="Calibri"/>
          <w:b w:val="false"/>
          <w:bCs w:val="false"/>
          <w:i w:val="false"/>
          <w:iCs w:val="false"/>
          <w:color w:val="17202A"/>
          <w:sz w:val="20"/>
          <w:szCs w:val="20"/>
        </w:rPr>
        <w:t xml:space="preserve">L'origine exacte de la backdoor BSSN (antérieure au 14 septembre) n'a pas pu être déterminée faute de logs Apache sur l'hébergement mutualisé OVH. La CVE-2020-25213 est le vecteur identifié pour l'attaque du 14/09. Le scan Sucuri valide l'absence de malware connu à la date de l'intervention, mais ne garantit pas l'absence de modifications antérieures non référencées.</w:t>
      </w:r>
    </w:p>
    <w:p>
      <w:pPr>
        <w:pStyle w:val="Heading1"/>
        <w:shd w:fill="1A3A5C" w:color="1A3A5C" w:val="solid"/>
        <w:spacing w:after="160" w:before="240"/>
        <w:ind w:left="200"/>
      </w:pPr>
      <w:r>
        <w:rPr>
          <w:rFonts w:ascii="Calibri" w:cs="Calibri" w:eastAsia="Calibri" w:hAnsi="Calibri"/>
          <w:b/>
          <w:bCs/>
          <w:i w:val="false"/>
          <w:iCs w:val="false"/>
          <w:color w:val="FFFFFF"/>
          <w:sz w:val="28"/>
          <w:szCs w:val="28"/>
        </w:rPr>
        <w:t xml:space="preserve">7.  Proposition infogérance WordPress — Cognix Systems</w:t>
      </w:r>
    </w:p>
    <w:p>
      <w:pPr>
        <w:spacing w:after="160"/>
        <w:jc w:val="left"/>
      </w:pPr>
      <w:r>
        <w:rPr>
          <w:rFonts w:ascii="Calibri" w:cs="Calibri" w:eastAsia="Calibri" w:hAnsi="Calibri"/>
          <w:b w:val="false"/>
          <w:bCs w:val="false"/>
          <w:i w:val="false"/>
          <w:iCs w:val="false"/>
          <w:color w:val="17202A"/>
          <w:sz w:val="20"/>
          <w:szCs w:val="20"/>
        </w:rPr>
        <w:t xml:space="preserve">Cette intervention illustre les risques d'un hébergement non maintenu. Un suivi actif aurait permis de détecter la compromission en quelques heures plutôt qu'en 4 jours.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
            <w:tcBorders>
              <w:top w:val="single" w:color="D5D8DC" w:sz="2"/>
              <w:left w:val="single" w:color="D5D8DC" w:sz="2"/>
              <w:bottom w:val="single" w:color="D5D8DC" w:sz="2"/>
              <w:right w:val="single" w:color="D5D8DC" w:sz="2"/>
            </w:tcBorders>
            <w:shd w:fill="1A3A5C" w:color="1A3A5C" w:val="solid"/>
            <w:tcMar>
              <w:top w:type="dxa" w:w="80"/>
              <w:left w:type="dxa" w:w="120"/>
              <w:bottom w:type="dxa" w:w="80"/>
              <w:right w:type="dxa" w:w="120"/>
            </w:tcMar>
          </w:tcPr>
          <w:p>
            <w:pPr>
              <w:spacing w:after="40"/>
            </w:pPr>
            <w:r>
              <w:rPr>
                <w:rFonts w:ascii="Calibri" w:cs="Calibri" w:eastAsia="Calibri" w:hAnsi="Calibri"/>
                <w:b/>
                <w:bCs/>
                <w:i w:val="false"/>
                <w:iCs w:val="false"/>
                <w:color w:val="FFFFFF"/>
                <w:sz w:val="19"/>
                <w:szCs w:val="19"/>
              </w:rPr>
              <w:t xml:space="preserve">Offre Infogérance WordPress — Cognix Systems</w:t>
            </w:r>
          </w:p>
        </w:tc>
      </w:tr>
      <w:tr>
        <w:tc>
          <w:tcPr>
            <w:tcW w:type="pct" w:w="55%"/>
            <w:tcBorders>
              <w:top w:val="single" w:color="D5D8DC" w:sz="2"/>
              <w:left w:val="single" w:color="D5D8DC" w:sz="2"/>
              <w:bottom w:val="single" w:color="D5D8DC" w:sz="2"/>
              <w:right w:val="single" w:color="D5D8DC" w:sz="2"/>
            </w:tcBorders>
            <w:shd w:fill="D6EAF8" w:color="D6EAF8" w:val="solid"/>
            <w:tcMar>
              <w:top w:type="dxa" w:w="80"/>
              <w:left w:type="dxa" w:w="120"/>
              <w:bottom w:type="dxa" w:w="80"/>
              <w:right w:type="dxa" w:w="120"/>
            </w:tcMar>
          </w:tcPr>
          <w:p>
            <w:pPr>
              <w:spacing w:after="40"/>
            </w:pPr>
            <w:r>
              <w:rPr>
                <w:rFonts w:ascii="Calibri" w:cs="Calibri" w:eastAsia="Calibri" w:hAnsi="Calibri"/>
                <w:b/>
                <w:bCs/>
                <w:i w:val="false"/>
                <w:iCs w:val="false"/>
                <w:color w:val="17202A"/>
                <w:sz w:val="19"/>
                <w:szCs w:val="19"/>
              </w:rPr>
              <w:t xml:space="preserve">Prestation incluse</w:t>
            </w:r>
          </w:p>
        </w:tc>
        <w:tc>
          <w:tcPr>
            <w:tcW w:type="pct" w:w="45%"/>
            <w:tcBorders>
              <w:top w:val="single" w:color="D5D8DC" w:sz="2"/>
              <w:left w:val="single" w:color="D5D8DC" w:sz="2"/>
              <w:bottom w:val="single" w:color="D5D8DC" w:sz="2"/>
              <w:right w:val="single" w:color="D5D8DC" w:sz="2"/>
            </w:tcBorders>
            <w:shd w:fill="D6EAF8" w:color="D6EAF8" w:val="solid"/>
            <w:tcMar>
              <w:top w:type="dxa" w:w="80"/>
              <w:left w:type="dxa" w:w="120"/>
              <w:bottom w:type="dxa" w:w="80"/>
              <w:right w:type="dxa" w:w="120"/>
            </w:tcMar>
          </w:tcPr>
          <w:p>
            <w:pPr>
              <w:spacing w:after="40"/>
            </w:pPr>
            <w:r>
              <w:rPr>
                <w:rFonts w:ascii="Calibri" w:cs="Calibri" w:eastAsia="Calibri" w:hAnsi="Calibri"/>
                <w:b/>
                <w:bCs/>
                <w:i w:val="false"/>
                <w:iCs w:val="false"/>
                <w:color w:val="17202A"/>
                <w:sz w:val="19"/>
                <w:szCs w:val="19"/>
              </w:rPr>
              <w:t xml:space="preserve">Tarif</w:t>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Surveillance sécurité 24/7 (alertes Wordfence)</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Mises à jour WordPress, plugins, thèmes (hebdomadaire)</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Sauvegardes externalisées journalières</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Monitoring disponibilité</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Intervention corrective incluse (jusqu'à 2h/mois)</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w:r>
          </w:p>
        </w:tc>
      </w:tr>
      <w:tr>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Rapport mensuel de santé</w:t>
            </w:r>
          </w:p>
        </w:tc>
        <w:tc>
          <w:tcPr>
            <w:tcBorders>
              <w:top w:val="single" w:color="D5D8DC" w:sz="2"/>
              <w:left w:val="single" w:color="D5D8DC" w:sz="2"/>
              <w:bottom w:val="single" w:color="D5D8DC" w:sz="2"/>
              <w:right w:val="single" w:color="D5D8DC" w:sz="2"/>
            </w:tcBorders>
            <w:shd w:fill="FFFFFF" w:color="FFFFFF" w:val="solid"/>
            <w:tcMar>
              <w:top w:type="dxa" w:w="80"/>
              <w:left w:type="dxa" w:w="120"/>
              <w:bottom w:type="dxa" w:w="80"/>
              <w:right w:type="dxa" w:w="120"/>
            </w:tcMar>
          </w:tcPr>
          <w:p>
            <w:pPr>
              <w:spacing w:after="40"/>
            </w:pPr>
            <w:r>
              <w:rPr>
                <w:rFonts w:ascii="Calibri" w:cs="Calibri" w:eastAsia="Calibri" w:hAnsi="Calibri"/>
                <w:b w:val="false"/>
                <w:bCs w:val="false"/>
                <w:i w:val="false"/>
                <w:iCs w:val="false"/>
                <w:color w:val="17202A"/>
                <w:sz w:val="19"/>
                <w:szCs w:val="19"/>
              </w:rPr>
              <w:t xml:space="preserve"/>
            </w:r>
          </w:p>
        </w:tc>
      </w:tr>
      <w:tr>
        <w:tc>
          <w:tcPr>
            <w:tcBorders>
              <w:top w:val="single" w:color="D5D8DC" w:sz="2"/>
              <w:left w:val="single" w:color="D5D8DC" w:sz="2"/>
              <w:bottom w:val="single" w:color="D5D8DC" w:sz="2"/>
              <w:right w:val="single" w:color="D5D8DC" w:sz="2"/>
            </w:tcBorders>
            <w:shd w:fill="D6EAF8" w:color="D6EAF8" w:val="solid"/>
            <w:tcMar>
              <w:top w:type="dxa" w:w="80"/>
              <w:left w:type="dxa" w:w="120"/>
              <w:bottom w:type="dxa" w:w="80"/>
              <w:right w:type="dxa" w:w="120"/>
            </w:tcMar>
          </w:tcPr>
          <w:p>
            <w:pPr>
              <w:spacing w:after="40"/>
            </w:pPr>
            <w:r>
              <w:rPr>
                <w:rFonts w:ascii="Calibri" w:cs="Calibri" w:eastAsia="Calibri" w:hAnsi="Calibri"/>
                <w:b/>
                <w:bCs/>
                <w:i w:val="false"/>
                <w:iCs w:val="false"/>
                <w:color w:val="17202A"/>
                <w:sz w:val="19"/>
                <w:szCs w:val="19"/>
              </w:rPr>
              <w:t xml:space="preserve">TARIF — 1 site</w:t>
            </w:r>
          </w:p>
        </w:tc>
        <w:tc>
          <w:tcPr>
            <w:tcBorders>
              <w:top w:val="single" w:color="D5D8DC" w:sz="2"/>
              <w:left w:val="single" w:color="D5D8DC" w:sz="2"/>
              <w:bottom w:val="single" w:color="D5D8DC" w:sz="2"/>
              <w:right w:val="single" w:color="D5D8DC" w:sz="2"/>
            </w:tcBorders>
            <w:shd w:fill="D6EAF8" w:color="D6EAF8" w:val="solid"/>
            <w:tcMar>
              <w:top w:type="dxa" w:w="80"/>
              <w:left w:type="dxa" w:w="120"/>
              <w:bottom w:type="dxa" w:w="80"/>
              <w:right w:type="dxa" w:w="120"/>
            </w:tcMar>
          </w:tcPr>
          <w:p>
            <w:pPr>
              <w:spacing w:after="40"/>
            </w:pPr>
            <w:r>
              <w:rPr>
                <w:rFonts w:ascii="Calibri" w:cs="Calibri" w:eastAsia="Calibri" w:hAnsi="Calibri"/>
                <w:b/>
                <w:bCs/>
                <w:i w:val="false"/>
                <w:iCs w:val="false"/>
                <w:color w:val="17202A"/>
                <w:sz w:val="19"/>
                <w:szCs w:val="19"/>
              </w:rPr>
              <w:t xml:space="preserve">35 € HT/mois</w:t>
            </w:r>
          </w:p>
        </w:tc>
      </w:tr>
      <w:tr>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bCs/>
                <w:i w:val="false"/>
                <w:iCs w:val="false"/>
                <w:color w:val="17202A"/>
                <w:sz w:val="19"/>
                <w:szCs w:val="19"/>
              </w:rPr>
              <w:t xml:space="preserve">TARIF — 2 sites (passionsports49.fr + lookjob.fr)</w:t>
            </w:r>
          </w:p>
        </w:tc>
        <w:tc>
          <w:tcPr>
            <w:tcBorders>
              <w:top w:val="single" w:color="D5D8DC" w:sz="2"/>
              <w:left w:val="single" w:color="D5D8DC" w:sz="2"/>
              <w:bottom w:val="single" w:color="D5D8DC" w:sz="2"/>
              <w:right w:val="single" w:color="D5D8DC" w:sz="2"/>
            </w:tcBorders>
            <w:shd w:fill="D5F5E3" w:color="D5F5E3" w:val="solid"/>
            <w:tcMar>
              <w:top w:type="dxa" w:w="80"/>
              <w:left w:type="dxa" w:w="120"/>
              <w:bottom w:type="dxa" w:w="80"/>
              <w:right w:type="dxa" w:w="120"/>
            </w:tcMar>
          </w:tcPr>
          <w:p>
            <w:pPr>
              <w:spacing w:after="40"/>
            </w:pPr>
            <w:r>
              <w:rPr>
                <w:rFonts w:ascii="Calibri" w:cs="Calibri" w:eastAsia="Calibri" w:hAnsi="Calibri"/>
                <w:b/>
                <w:bCs/>
                <w:i w:val="false"/>
                <w:iCs w:val="false"/>
                <w:color w:val="17202A"/>
                <w:sz w:val="19"/>
                <w:szCs w:val="19"/>
              </w:rPr>
              <w:t xml:space="preserve">70 € HT/mois</w:t>
            </w:r>
          </w:p>
        </w:tc>
      </w:tr>
    </w:tbl>
    <w:p>
      <w:pPr>
        <w:spacing w:after="300"/>
        <w:jc w:val="left"/>
      </w:pPr>
    </w:p>
    <w:p>
      <w:pPr>
        <w:spacing w:after="0"/>
        <w:jc w:val="center"/>
      </w:pPr>
      <w:r>
        <w:rPr>
          <w:rFonts w:ascii="Calibri" w:cs="Calibri" w:eastAsia="Calibri" w:hAnsi="Calibri"/>
          <w:b w:val="false"/>
          <w:bCs w:val="false"/>
          <w:i/>
          <w:iCs/>
          <w:color w:val="5D6D7E"/>
          <w:sz w:val="17"/>
          <w:szCs w:val="17"/>
        </w:rPr>
        <w:t xml:space="preserve">Cognix Systems — Loïc FRETAY  |  https://www.cognix-systems.com  |  Intervention réalisée le 18 septembre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2026-09-18T16:57:43.383Z</dcterms:created>
  <dcterms:modified xsi:type="dcterms:W3CDTF">2026-09-18T16:57:43.383Z</dcterms:modified>
</cp:coreProperties>
</file>

<file path=docProps/custom.xml><?xml version="1.0" encoding="utf-8"?>
<Properties xmlns="http://schemas.openxmlformats.org/officeDocument/2006/custom-properties" xmlns:vt="http://schemas.openxmlformats.org/officeDocument/2006/docPropsVTypes"/>
</file>