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3202A22" w14:textId="045A16FD" w:rsidR="00C667E1" w:rsidRPr="00C667E1" w:rsidRDefault="00C667E1" w:rsidP="00C667E1">
      <w:pPr>
        <w:rPr>
          <w:b/>
          <w:bCs/>
          <w:sz w:val="28"/>
          <w:szCs w:val="28"/>
          <w:u w:val="single"/>
        </w:rPr>
      </w:pPr>
      <w:r w:rsidRPr="00C667E1">
        <w:rPr>
          <w:b/>
          <w:bCs/>
          <w:sz w:val="28"/>
          <w:szCs w:val="28"/>
          <w:u w:val="single"/>
        </w:rPr>
        <w:t>Objectifs principaux du projet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218"/>
        <w:gridCol w:w="6849"/>
      </w:tblGrid>
      <w:tr w:rsidR="00C667E1" w14:paraId="034A0D5B" w14:textId="77777777" w:rsidTr="00C667E1">
        <w:tc>
          <w:tcPr>
            <w:tcW w:w="2218" w:type="dxa"/>
            <w:shd w:val="clear" w:color="auto" w:fill="F2F2F2" w:themeFill="background1" w:themeFillShade="F2"/>
            <w:vAlign w:val="center"/>
          </w:tcPr>
          <w:p w14:paraId="62669A9F" w14:textId="5ECC76DA" w:rsidR="00C667E1" w:rsidRDefault="00C667E1" w:rsidP="00C667E1">
            <w:pPr>
              <w:jc w:val="center"/>
              <w:rPr>
                <w:b/>
                <w:bCs/>
              </w:rPr>
            </w:pPr>
            <w:r w:rsidRPr="00C667E1">
              <w:rPr>
                <w:b/>
                <w:bCs/>
              </w:rPr>
              <w:t>Domaine</w:t>
            </w:r>
          </w:p>
        </w:tc>
        <w:tc>
          <w:tcPr>
            <w:tcW w:w="6849" w:type="dxa"/>
            <w:shd w:val="clear" w:color="auto" w:fill="F2F2F2" w:themeFill="background1" w:themeFillShade="F2"/>
            <w:vAlign w:val="center"/>
          </w:tcPr>
          <w:p w14:paraId="1546BE8D" w14:textId="64F862CF" w:rsidR="00C667E1" w:rsidRDefault="00C667E1" w:rsidP="00C667E1">
            <w:pPr>
              <w:jc w:val="center"/>
              <w:rPr>
                <w:b/>
                <w:bCs/>
              </w:rPr>
            </w:pPr>
            <w:r w:rsidRPr="00C667E1">
              <w:rPr>
                <w:b/>
                <w:bCs/>
              </w:rPr>
              <w:t>Objectif</w:t>
            </w:r>
          </w:p>
        </w:tc>
      </w:tr>
      <w:tr w:rsidR="00C667E1" w14:paraId="14F8CB37" w14:textId="77777777" w:rsidTr="00C667E1">
        <w:trPr>
          <w:trHeight w:val="2243"/>
        </w:trPr>
        <w:tc>
          <w:tcPr>
            <w:tcW w:w="2218" w:type="dxa"/>
            <w:vAlign w:val="center"/>
          </w:tcPr>
          <w:p w14:paraId="4AEF04D2" w14:textId="15BBD9FA" w:rsidR="00C667E1" w:rsidRDefault="00C667E1" w:rsidP="00C667E1">
            <w:pPr>
              <w:rPr>
                <w:b/>
                <w:bCs/>
              </w:rPr>
            </w:pPr>
            <w:r w:rsidRPr="00C667E1">
              <w:rPr>
                <w:b/>
                <w:bCs/>
              </w:rPr>
              <w:t>OLTP – Cohérence et scalabilité</w:t>
            </w:r>
          </w:p>
        </w:tc>
        <w:tc>
          <w:tcPr>
            <w:tcW w:w="6849" w:type="dxa"/>
            <w:vAlign w:val="center"/>
          </w:tcPr>
          <w:p w14:paraId="33F24BEB" w14:textId="77777777" w:rsidR="00C667E1" w:rsidRDefault="00C667E1" w:rsidP="00C667E1">
            <w:pPr>
              <w:jc w:val="both"/>
            </w:pPr>
            <w:r w:rsidRPr="00C667E1">
              <w:t>Gérer les transactions (paiements, remboursements, abonnements) en garantissant la rapidité, la fiabilité et la cohérence.</w:t>
            </w:r>
            <w:r>
              <w:t xml:space="preserve"> </w:t>
            </w:r>
          </w:p>
          <w:p w14:paraId="3A35BAEC" w14:textId="77777777" w:rsidR="00C667E1" w:rsidRDefault="00C667E1" w:rsidP="00C667E1">
            <w:pPr>
              <w:jc w:val="both"/>
            </w:pPr>
          </w:p>
          <w:p w14:paraId="4E98BEF0" w14:textId="3A50C17B" w:rsidR="00C667E1" w:rsidRPr="00C667E1" w:rsidRDefault="00C667E1" w:rsidP="00C667E1">
            <w:pPr>
              <w:jc w:val="both"/>
            </w:pPr>
            <w:r w:rsidRPr="00C667E1">
              <w:t xml:space="preserve">-&gt; </w:t>
            </w:r>
            <w:r w:rsidRPr="00C667E1">
              <w:t>Le système doit pouvoir traiter des millions de transactions par jour, sans erreurs, avec des propriétés ACID.</w:t>
            </w:r>
          </w:p>
        </w:tc>
      </w:tr>
      <w:tr w:rsidR="00C667E1" w14:paraId="0B5B415A" w14:textId="77777777" w:rsidTr="00C667E1">
        <w:trPr>
          <w:trHeight w:val="2105"/>
        </w:trPr>
        <w:tc>
          <w:tcPr>
            <w:tcW w:w="2218" w:type="dxa"/>
            <w:vAlign w:val="center"/>
          </w:tcPr>
          <w:p w14:paraId="2798C18B" w14:textId="66CD5F04" w:rsidR="00C667E1" w:rsidRDefault="00C667E1" w:rsidP="00C667E1">
            <w:pPr>
              <w:rPr>
                <w:b/>
                <w:bCs/>
              </w:rPr>
            </w:pPr>
            <w:r w:rsidRPr="00C667E1">
              <w:rPr>
                <w:b/>
                <w:bCs/>
              </w:rPr>
              <w:t>OLAP – Performance analytique</w:t>
            </w:r>
          </w:p>
        </w:tc>
        <w:tc>
          <w:tcPr>
            <w:tcW w:w="6849" w:type="dxa"/>
            <w:vAlign w:val="center"/>
          </w:tcPr>
          <w:p w14:paraId="5FE347B4" w14:textId="77777777" w:rsidR="00C667E1" w:rsidRDefault="00C667E1" w:rsidP="00C667E1">
            <w:pPr>
              <w:jc w:val="both"/>
            </w:pPr>
            <w:r w:rsidRPr="00C667E1">
              <w:t>Permettre l’analyse de grandes quantités de données (revenus, fraude, performance, etc.).</w:t>
            </w:r>
            <w:r>
              <w:t xml:space="preserve"> </w:t>
            </w:r>
          </w:p>
          <w:p w14:paraId="70ABA45E" w14:textId="77777777" w:rsidR="00C667E1" w:rsidRDefault="00C667E1" w:rsidP="00C667E1">
            <w:pPr>
              <w:jc w:val="both"/>
            </w:pPr>
          </w:p>
          <w:p w14:paraId="2A45ACB1" w14:textId="6D733A96" w:rsidR="00C667E1" w:rsidRPr="00C667E1" w:rsidRDefault="00C667E1" w:rsidP="00C667E1">
            <w:pPr>
              <w:jc w:val="both"/>
            </w:pPr>
            <w:r w:rsidRPr="00C667E1">
              <w:t xml:space="preserve">-&gt; </w:t>
            </w:r>
            <w:r w:rsidRPr="00C667E1">
              <w:t>Le système analytique doit être capable d’effectuer des requêtes complexes rapidement, avec des vues agrégées et des rapports automatisés.</w:t>
            </w:r>
          </w:p>
        </w:tc>
      </w:tr>
      <w:tr w:rsidR="00C667E1" w14:paraId="15FB1234" w14:textId="77777777" w:rsidTr="00C667E1">
        <w:trPr>
          <w:trHeight w:val="1979"/>
        </w:trPr>
        <w:tc>
          <w:tcPr>
            <w:tcW w:w="2218" w:type="dxa"/>
            <w:vAlign w:val="center"/>
          </w:tcPr>
          <w:p w14:paraId="46E6D3FD" w14:textId="79558123" w:rsidR="00C667E1" w:rsidRDefault="00C667E1" w:rsidP="00C667E1">
            <w:pPr>
              <w:rPr>
                <w:b/>
                <w:bCs/>
              </w:rPr>
            </w:pPr>
            <w:r w:rsidRPr="00C667E1">
              <w:rPr>
                <w:b/>
                <w:bCs/>
              </w:rPr>
              <w:t>NoSQL – Flexibilité des données non structurées</w:t>
            </w:r>
          </w:p>
        </w:tc>
        <w:tc>
          <w:tcPr>
            <w:tcW w:w="6849" w:type="dxa"/>
            <w:vAlign w:val="center"/>
          </w:tcPr>
          <w:p w14:paraId="36C55052" w14:textId="77777777" w:rsidR="00C667E1" w:rsidRPr="00C667E1" w:rsidRDefault="00C667E1" w:rsidP="00C667E1">
            <w:pPr>
              <w:jc w:val="both"/>
            </w:pPr>
            <w:r w:rsidRPr="00C667E1">
              <w:t xml:space="preserve">Stocker et exploiter les logs, les retours clients, les données comportementales et les </w:t>
            </w:r>
            <w:proofErr w:type="spellStart"/>
            <w:r w:rsidRPr="00C667E1">
              <w:t>features</w:t>
            </w:r>
            <w:proofErr w:type="spellEnd"/>
            <w:r w:rsidRPr="00C667E1">
              <w:t xml:space="preserve"> machine </w:t>
            </w:r>
            <w:proofErr w:type="spellStart"/>
            <w:r w:rsidRPr="00C667E1">
              <w:t>learning</w:t>
            </w:r>
            <w:proofErr w:type="spellEnd"/>
            <w:r w:rsidRPr="00C667E1">
              <w:t>.</w:t>
            </w:r>
            <w:r w:rsidRPr="00C667E1">
              <w:t xml:space="preserve"> </w:t>
            </w:r>
          </w:p>
          <w:p w14:paraId="0ADEFFE3" w14:textId="77777777" w:rsidR="00C667E1" w:rsidRPr="00C667E1" w:rsidRDefault="00C667E1" w:rsidP="00C667E1">
            <w:pPr>
              <w:jc w:val="both"/>
            </w:pPr>
          </w:p>
          <w:p w14:paraId="205F76E4" w14:textId="47522C72" w:rsidR="00C667E1" w:rsidRPr="00C667E1" w:rsidRDefault="00C667E1" w:rsidP="00C667E1">
            <w:pPr>
              <w:jc w:val="both"/>
              <w:rPr>
                <w:b/>
                <w:bCs/>
              </w:rPr>
            </w:pPr>
            <w:r w:rsidRPr="00C667E1">
              <w:t xml:space="preserve">-&gt; </w:t>
            </w:r>
            <w:r w:rsidRPr="00C667E1">
              <w:t>Le système NoSQL doit permettre de gérer des données très variées (texte, JSON, logs) et de s’intégrer avec OLTP et OLAP.</w:t>
            </w:r>
          </w:p>
        </w:tc>
      </w:tr>
      <w:tr w:rsidR="00C667E1" w14:paraId="7751725A" w14:textId="77777777" w:rsidTr="00C667E1">
        <w:trPr>
          <w:trHeight w:val="2249"/>
        </w:trPr>
        <w:tc>
          <w:tcPr>
            <w:tcW w:w="2218" w:type="dxa"/>
            <w:vAlign w:val="center"/>
          </w:tcPr>
          <w:p w14:paraId="0142185D" w14:textId="6CDEC7A7" w:rsidR="00C667E1" w:rsidRDefault="00C667E1" w:rsidP="00C667E1">
            <w:pPr>
              <w:rPr>
                <w:b/>
                <w:bCs/>
              </w:rPr>
            </w:pPr>
            <w:r w:rsidRPr="00C667E1">
              <w:rPr>
                <w:b/>
                <w:bCs/>
              </w:rPr>
              <w:t>Sécurité &amp; conformité (GDPR / PCI-DSS)</w:t>
            </w:r>
          </w:p>
        </w:tc>
        <w:tc>
          <w:tcPr>
            <w:tcW w:w="6849" w:type="dxa"/>
            <w:vAlign w:val="center"/>
          </w:tcPr>
          <w:p w14:paraId="0620A08B" w14:textId="77777777" w:rsidR="00C667E1" w:rsidRDefault="00C667E1" w:rsidP="00C667E1">
            <w:pPr>
              <w:jc w:val="both"/>
            </w:pPr>
            <w:r w:rsidRPr="00C667E1">
              <w:t>Protéger les données sensibles et respecter les réglementations.</w:t>
            </w:r>
          </w:p>
          <w:p w14:paraId="384FB44D" w14:textId="77777777" w:rsidR="00C667E1" w:rsidRDefault="00C667E1" w:rsidP="00C667E1">
            <w:pPr>
              <w:jc w:val="both"/>
              <w:rPr>
                <w:b/>
                <w:bCs/>
              </w:rPr>
            </w:pPr>
          </w:p>
          <w:p w14:paraId="5FAD471B" w14:textId="0ED74B54" w:rsidR="00C667E1" w:rsidRPr="00C667E1" w:rsidRDefault="00C667E1" w:rsidP="00C667E1">
            <w:pPr>
              <w:jc w:val="both"/>
            </w:pPr>
            <w:r w:rsidRPr="00C667E1">
              <w:t xml:space="preserve">-&gt; </w:t>
            </w:r>
            <w:r w:rsidRPr="00C667E1">
              <w:t>Les données doivent être chiffrées, contrôlées par rôle et auditables pour répondre aux normes européennes et internationales.</w:t>
            </w:r>
          </w:p>
        </w:tc>
      </w:tr>
    </w:tbl>
    <w:p w14:paraId="1C5228CD" w14:textId="77777777" w:rsidR="00C667E1" w:rsidRPr="00C667E1" w:rsidRDefault="00C667E1" w:rsidP="00C667E1">
      <w:pPr>
        <w:rPr>
          <w:b/>
          <w:bCs/>
        </w:rPr>
      </w:pPr>
    </w:p>
    <w:p w14:paraId="2DF2FBD6" w14:textId="56181290" w:rsidR="00C667E1" w:rsidRDefault="00C667E1" w:rsidP="00C667E1"/>
    <w:p w14:paraId="5DB41EB3" w14:textId="69A73394" w:rsidR="00C667E1" w:rsidRPr="00C667E1" w:rsidRDefault="00C667E1" w:rsidP="00C667E1">
      <w:pPr>
        <w:rPr>
          <w:b/>
          <w:bCs/>
          <w:sz w:val="28"/>
          <w:szCs w:val="28"/>
          <w:u w:val="single"/>
        </w:rPr>
      </w:pPr>
      <w:r w:rsidRPr="00C667E1">
        <w:rPr>
          <w:b/>
          <w:bCs/>
          <w:sz w:val="28"/>
          <w:szCs w:val="28"/>
          <w:u w:val="single"/>
        </w:rPr>
        <w:t>Cas d’usage principaux</w:t>
      </w:r>
    </w:p>
    <w:p w14:paraId="620AB0B0" w14:textId="77777777" w:rsidR="00C667E1" w:rsidRPr="00C667E1" w:rsidRDefault="00C667E1" w:rsidP="00C667E1">
      <w:pPr>
        <w:numPr>
          <w:ilvl w:val="0"/>
          <w:numId w:val="3"/>
        </w:numPr>
      </w:pPr>
      <w:r w:rsidRPr="00C667E1">
        <w:rPr>
          <w:b/>
          <w:bCs/>
        </w:rPr>
        <w:t>Paiement</w:t>
      </w:r>
      <w:r w:rsidRPr="00C667E1">
        <w:br/>
        <w:t>→ Enregistrer et valider un paiement client (avec méthode, devise, statut, etc.)</w:t>
      </w:r>
      <w:r w:rsidRPr="00C667E1">
        <w:br/>
        <w:t>→ Garantir la cohérence du système même en cas de panne.</w:t>
      </w:r>
    </w:p>
    <w:p w14:paraId="4F292CD9" w14:textId="77777777" w:rsidR="00C667E1" w:rsidRPr="00C667E1" w:rsidRDefault="00C667E1" w:rsidP="00C667E1">
      <w:pPr>
        <w:numPr>
          <w:ilvl w:val="0"/>
          <w:numId w:val="3"/>
        </w:numPr>
      </w:pPr>
      <w:r w:rsidRPr="00C667E1">
        <w:rPr>
          <w:b/>
          <w:bCs/>
        </w:rPr>
        <w:t>Remboursement / litige (</w:t>
      </w:r>
      <w:proofErr w:type="spellStart"/>
      <w:r w:rsidRPr="00C667E1">
        <w:rPr>
          <w:b/>
          <w:bCs/>
        </w:rPr>
        <w:t>chargeback</w:t>
      </w:r>
      <w:proofErr w:type="spellEnd"/>
      <w:r w:rsidRPr="00C667E1">
        <w:rPr>
          <w:b/>
          <w:bCs/>
        </w:rPr>
        <w:t>)</w:t>
      </w:r>
      <w:r w:rsidRPr="00C667E1">
        <w:br/>
        <w:t>→ Gérer les remboursements et litiges clients.</w:t>
      </w:r>
      <w:r w:rsidRPr="00C667E1">
        <w:br/>
        <w:t>→ Suivre les montants, les causes et les impacts sur la trésorerie et la fraude.</w:t>
      </w:r>
    </w:p>
    <w:p w14:paraId="79AA63A9" w14:textId="77777777" w:rsidR="00C667E1" w:rsidRPr="00C667E1" w:rsidRDefault="00C667E1" w:rsidP="00C667E1">
      <w:pPr>
        <w:numPr>
          <w:ilvl w:val="0"/>
          <w:numId w:val="3"/>
        </w:numPr>
      </w:pPr>
      <w:r w:rsidRPr="00C667E1">
        <w:rPr>
          <w:b/>
          <w:bCs/>
        </w:rPr>
        <w:lastRenderedPageBreak/>
        <w:t>Détection de fraude en temps réel</w:t>
      </w:r>
      <w:r w:rsidRPr="00C667E1">
        <w:br/>
        <w:t>→ Analyser les transactions et comportements pour détecter les anomalies.</w:t>
      </w:r>
      <w:r w:rsidRPr="00C667E1">
        <w:br/>
        <w:t>→ Utiliser les données du système NoSQL et des modèles ML.</w:t>
      </w:r>
    </w:p>
    <w:p w14:paraId="18BE3AA4" w14:textId="77777777" w:rsidR="00C667E1" w:rsidRPr="00C667E1" w:rsidRDefault="00C667E1" w:rsidP="00C667E1">
      <w:pPr>
        <w:numPr>
          <w:ilvl w:val="0"/>
          <w:numId w:val="3"/>
        </w:numPr>
      </w:pPr>
      <w:proofErr w:type="spellStart"/>
      <w:r w:rsidRPr="00C667E1">
        <w:rPr>
          <w:b/>
          <w:bCs/>
        </w:rPr>
        <w:t>Reporting</w:t>
      </w:r>
      <w:proofErr w:type="spellEnd"/>
      <w:r w:rsidRPr="00C667E1">
        <w:rPr>
          <w:b/>
          <w:bCs/>
        </w:rPr>
        <w:t xml:space="preserve"> financier et conformité</w:t>
      </w:r>
      <w:r w:rsidRPr="00C667E1">
        <w:br/>
        <w:t>→ Calculer les revenus, marges et taux de fraude par période, pays ou produit.</w:t>
      </w:r>
      <w:r w:rsidRPr="00C667E1">
        <w:br/>
        <w:t>→ Produire des rapports automatiques pour les équipes internes et les régulateurs.</w:t>
      </w:r>
    </w:p>
    <w:p w14:paraId="54DC5CF3" w14:textId="77777777" w:rsidR="00C667E1" w:rsidRDefault="00C667E1" w:rsidP="00C667E1">
      <w:pPr>
        <w:numPr>
          <w:ilvl w:val="0"/>
          <w:numId w:val="3"/>
        </w:numPr>
      </w:pPr>
      <w:r w:rsidRPr="00C667E1">
        <w:rPr>
          <w:b/>
          <w:bCs/>
        </w:rPr>
        <w:t>Segmentation client (analytique marketing)</w:t>
      </w:r>
      <w:r w:rsidRPr="00C667E1">
        <w:br/>
        <w:t>→ Classer les clients selon leur fréquence d’achat, montant moyen et récence (RFM).</w:t>
      </w:r>
      <w:r w:rsidRPr="00C667E1">
        <w:br/>
        <w:t>→ Identifier les segments à forte valeur et les comportements à risque.</w:t>
      </w:r>
    </w:p>
    <w:p w14:paraId="24E6B909" w14:textId="2737FF3C" w:rsidR="00C667E1" w:rsidRPr="00C667E1" w:rsidRDefault="00C667E1" w:rsidP="00C667E1"/>
    <w:p w14:paraId="4255512E" w14:textId="6A87E1AD" w:rsidR="00C667E1" w:rsidRDefault="00C667E1" w:rsidP="00C667E1">
      <w:pPr>
        <w:rPr>
          <w:b/>
          <w:bCs/>
          <w:sz w:val="28"/>
          <w:szCs w:val="28"/>
          <w:u w:val="single"/>
        </w:rPr>
      </w:pPr>
      <w:r w:rsidRPr="00C667E1">
        <w:rPr>
          <w:b/>
          <w:bCs/>
          <w:sz w:val="28"/>
          <w:szCs w:val="28"/>
          <w:u w:val="single"/>
        </w:rPr>
        <w:t>Contraintes du projet</w:t>
      </w:r>
    </w:p>
    <w:tbl>
      <w:tblPr>
        <w:tblStyle w:val="Grilledutableau"/>
        <w:tblW w:w="9067" w:type="dxa"/>
        <w:tblLook w:val="04A0" w:firstRow="1" w:lastRow="0" w:firstColumn="1" w:lastColumn="0" w:noHBand="0" w:noVBand="1"/>
      </w:tblPr>
      <w:tblGrid>
        <w:gridCol w:w="2282"/>
        <w:gridCol w:w="6785"/>
      </w:tblGrid>
      <w:tr w:rsidR="00C667E1" w14:paraId="33D3C250" w14:textId="77777777" w:rsidTr="00C667E1">
        <w:tc>
          <w:tcPr>
            <w:tcW w:w="2282" w:type="dxa"/>
            <w:shd w:val="clear" w:color="auto" w:fill="F2F2F2" w:themeFill="background1" w:themeFillShade="F2"/>
            <w:vAlign w:val="center"/>
          </w:tcPr>
          <w:p w14:paraId="0DC2BB7C" w14:textId="5D60FD65" w:rsidR="00C667E1" w:rsidRDefault="00C667E1" w:rsidP="006748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Catégorie</w:t>
            </w:r>
          </w:p>
        </w:tc>
        <w:tc>
          <w:tcPr>
            <w:tcW w:w="6785" w:type="dxa"/>
            <w:shd w:val="clear" w:color="auto" w:fill="F2F2F2" w:themeFill="background1" w:themeFillShade="F2"/>
            <w:vAlign w:val="center"/>
          </w:tcPr>
          <w:p w14:paraId="029F4982" w14:textId="1D7B5009" w:rsidR="00C667E1" w:rsidRDefault="00C667E1" w:rsidP="006748CD">
            <w:pPr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Contraintes principales</w:t>
            </w:r>
          </w:p>
        </w:tc>
      </w:tr>
      <w:tr w:rsidR="00C667E1" w14:paraId="4312A7A7" w14:textId="77777777" w:rsidTr="00C667E1">
        <w:trPr>
          <w:trHeight w:val="1226"/>
        </w:trPr>
        <w:tc>
          <w:tcPr>
            <w:tcW w:w="2282" w:type="dxa"/>
            <w:vAlign w:val="center"/>
          </w:tcPr>
          <w:p w14:paraId="5DD258D8" w14:textId="5D75E305" w:rsidR="00C667E1" w:rsidRDefault="00C667E1" w:rsidP="00C667E1">
            <w:pPr>
              <w:rPr>
                <w:b/>
                <w:bCs/>
              </w:rPr>
            </w:pPr>
            <w:r w:rsidRPr="00C667E1">
              <w:rPr>
                <w:b/>
                <w:bCs/>
              </w:rPr>
              <w:t>Techniques</w:t>
            </w:r>
          </w:p>
        </w:tc>
        <w:tc>
          <w:tcPr>
            <w:tcW w:w="6785" w:type="dxa"/>
            <w:vAlign w:val="center"/>
          </w:tcPr>
          <w:p w14:paraId="18EC7A0B" w14:textId="11C9646F" w:rsidR="00C667E1" w:rsidRPr="00C667E1" w:rsidRDefault="00C667E1" w:rsidP="00C667E1">
            <w:pPr>
              <w:jc w:val="both"/>
            </w:pPr>
            <w:r w:rsidRPr="00C667E1">
              <w:t>Le système doit être hautement disponible, scalable et capable de gérer des flux temps réel via des outils comme Kafka.</w:t>
            </w:r>
          </w:p>
        </w:tc>
      </w:tr>
      <w:tr w:rsidR="00C667E1" w14:paraId="04703BCD" w14:textId="77777777" w:rsidTr="00C667E1">
        <w:trPr>
          <w:trHeight w:val="1414"/>
        </w:trPr>
        <w:tc>
          <w:tcPr>
            <w:tcW w:w="2282" w:type="dxa"/>
            <w:vAlign w:val="center"/>
          </w:tcPr>
          <w:p w14:paraId="3DB6793A" w14:textId="3F8799F0" w:rsidR="00C667E1" w:rsidRDefault="00C667E1" w:rsidP="00C667E1">
            <w:pPr>
              <w:rPr>
                <w:b/>
                <w:bCs/>
              </w:rPr>
            </w:pPr>
            <w:r w:rsidRPr="00C667E1">
              <w:rPr>
                <w:b/>
                <w:bCs/>
              </w:rPr>
              <w:t>Organisationnelles</w:t>
            </w:r>
          </w:p>
        </w:tc>
        <w:tc>
          <w:tcPr>
            <w:tcW w:w="6785" w:type="dxa"/>
            <w:vAlign w:val="center"/>
          </w:tcPr>
          <w:p w14:paraId="172513AB" w14:textId="1108F349" w:rsidR="00C667E1" w:rsidRPr="00C667E1" w:rsidRDefault="00C667E1" w:rsidP="00C667E1">
            <w:pPr>
              <w:jc w:val="both"/>
            </w:pPr>
            <w:r w:rsidRPr="00C667E1">
              <w:t xml:space="preserve">Les données doivent être centralisées et cohérentes entre OLTP, OLAP et NoSQL. Les flux seront orchestrés via des outils comme </w:t>
            </w:r>
            <w:proofErr w:type="spellStart"/>
            <w:r w:rsidRPr="00C667E1">
              <w:t>Airflow</w:t>
            </w:r>
            <w:proofErr w:type="spellEnd"/>
            <w:r w:rsidRPr="00C667E1">
              <w:t>.</w:t>
            </w:r>
          </w:p>
        </w:tc>
      </w:tr>
      <w:tr w:rsidR="00C667E1" w14:paraId="17ACBF28" w14:textId="77777777" w:rsidTr="00C667E1">
        <w:trPr>
          <w:trHeight w:val="1289"/>
        </w:trPr>
        <w:tc>
          <w:tcPr>
            <w:tcW w:w="2282" w:type="dxa"/>
            <w:vAlign w:val="center"/>
          </w:tcPr>
          <w:p w14:paraId="60B2CF2F" w14:textId="6027A19C" w:rsidR="00C667E1" w:rsidRDefault="00C667E1" w:rsidP="00C667E1">
            <w:pPr>
              <w:rPr>
                <w:b/>
                <w:bCs/>
              </w:rPr>
            </w:pPr>
            <w:r w:rsidRPr="00C667E1">
              <w:rPr>
                <w:b/>
                <w:bCs/>
              </w:rPr>
              <w:t>Sécurité et conformité</w:t>
            </w:r>
          </w:p>
        </w:tc>
        <w:tc>
          <w:tcPr>
            <w:tcW w:w="6785" w:type="dxa"/>
            <w:vAlign w:val="center"/>
          </w:tcPr>
          <w:p w14:paraId="49352A83" w14:textId="3FE16DDB" w:rsidR="00C667E1" w:rsidRPr="00C667E1" w:rsidRDefault="00C667E1" w:rsidP="00C667E1">
            <w:pPr>
              <w:jc w:val="both"/>
            </w:pPr>
            <w:r w:rsidRPr="00C667E1">
              <w:t>Respect strict du GDPR et du PCI-DSS : chiffrement, anonymisation, contrôle des accès, audit.</w:t>
            </w:r>
          </w:p>
        </w:tc>
      </w:tr>
      <w:tr w:rsidR="00C667E1" w14:paraId="53581EB0" w14:textId="77777777" w:rsidTr="00C667E1">
        <w:trPr>
          <w:trHeight w:val="1250"/>
        </w:trPr>
        <w:tc>
          <w:tcPr>
            <w:tcW w:w="2282" w:type="dxa"/>
            <w:vAlign w:val="center"/>
          </w:tcPr>
          <w:p w14:paraId="592E13A8" w14:textId="38E8625D" w:rsidR="00C667E1" w:rsidRDefault="00C667E1" w:rsidP="00C667E1">
            <w:pPr>
              <w:rPr>
                <w:b/>
                <w:bCs/>
              </w:rPr>
            </w:pPr>
            <w:r w:rsidRPr="00C667E1">
              <w:rPr>
                <w:b/>
                <w:bCs/>
              </w:rPr>
              <w:t>Performance</w:t>
            </w:r>
          </w:p>
        </w:tc>
        <w:tc>
          <w:tcPr>
            <w:tcW w:w="6785" w:type="dxa"/>
            <w:vAlign w:val="center"/>
          </w:tcPr>
          <w:p w14:paraId="41C590FD" w14:textId="2C97F731" w:rsidR="00C667E1" w:rsidRPr="00C667E1" w:rsidRDefault="00C667E1" w:rsidP="00C667E1">
            <w:pPr>
              <w:jc w:val="both"/>
            </w:pPr>
            <w:r w:rsidRPr="00C667E1">
              <w:t>Temps de réponse rapide, mise à jour quasi instantanée, possibilité de traiter des volumes massifs de données.</w:t>
            </w:r>
          </w:p>
        </w:tc>
      </w:tr>
    </w:tbl>
    <w:p w14:paraId="12B21778" w14:textId="77777777" w:rsidR="00C667E1" w:rsidRDefault="00C667E1" w:rsidP="00C667E1">
      <w:pPr>
        <w:rPr>
          <w:b/>
          <w:bCs/>
          <w:sz w:val="28"/>
          <w:szCs w:val="28"/>
          <w:u w:val="single"/>
        </w:rPr>
      </w:pPr>
    </w:p>
    <w:p w14:paraId="55FB1AD4" w14:textId="77777777" w:rsidR="00C667E1" w:rsidRDefault="00C667E1" w:rsidP="00C667E1">
      <w:pPr>
        <w:rPr>
          <w:b/>
          <w:bCs/>
          <w:sz w:val="28"/>
          <w:szCs w:val="28"/>
          <w:u w:val="single"/>
        </w:rPr>
      </w:pPr>
    </w:p>
    <w:p w14:paraId="2AB751E8" w14:textId="77777777" w:rsidR="00C667E1" w:rsidRPr="00C667E1" w:rsidRDefault="00C667E1" w:rsidP="00C667E1"/>
    <w:sectPr w:rsidR="00C667E1" w:rsidRPr="00C667E1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AF1ABC"/>
    <w:multiLevelType w:val="hybridMultilevel"/>
    <w:tmpl w:val="4492E9E2"/>
    <w:lvl w:ilvl="0" w:tplc="34D687A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CD9646E"/>
    <w:multiLevelType w:val="hybridMultilevel"/>
    <w:tmpl w:val="AFCE222E"/>
    <w:lvl w:ilvl="0" w:tplc="8DD81AE8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6512A0F"/>
    <w:multiLevelType w:val="hybridMultilevel"/>
    <w:tmpl w:val="2690A61E"/>
    <w:lvl w:ilvl="0" w:tplc="48625924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8FC078F"/>
    <w:multiLevelType w:val="multilevel"/>
    <w:tmpl w:val="368CF26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306663F4"/>
    <w:multiLevelType w:val="multilevel"/>
    <w:tmpl w:val="B3AAF1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A1D1A5E"/>
    <w:multiLevelType w:val="hybridMultilevel"/>
    <w:tmpl w:val="861678F4"/>
    <w:lvl w:ilvl="0" w:tplc="FDBE19F0">
      <w:numFmt w:val="bullet"/>
      <w:lvlText w:val=""/>
      <w:lvlJc w:val="left"/>
      <w:pPr>
        <w:ind w:left="720" w:hanging="360"/>
      </w:pPr>
      <w:rPr>
        <w:rFonts w:ascii="Wingdings" w:eastAsiaTheme="minorHAnsi" w:hAnsi="Wingdings" w:cstheme="minorBidi" w:hint="default"/>
        <w:b w:val="0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62077A"/>
    <w:multiLevelType w:val="multilevel"/>
    <w:tmpl w:val="19FAD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1906881"/>
    <w:multiLevelType w:val="multilevel"/>
    <w:tmpl w:val="F42CE6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57173007">
    <w:abstractNumId w:val="6"/>
  </w:num>
  <w:num w:numId="2" w16cid:durableId="190533400">
    <w:abstractNumId w:val="3"/>
  </w:num>
  <w:num w:numId="3" w16cid:durableId="1414857871">
    <w:abstractNumId w:val="4"/>
  </w:num>
  <w:num w:numId="4" w16cid:durableId="855771299">
    <w:abstractNumId w:val="7"/>
  </w:num>
  <w:num w:numId="5" w16cid:durableId="1713840237">
    <w:abstractNumId w:val="0"/>
  </w:num>
  <w:num w:numId="6" w16cid:durableId="797801324">
    <w:abstractNumId w:val="2"/>
  </w:num>
  <w:num w:numId="7" w16cid:durableId="600644941">
    <w:abstractNumId w:val="1"/>
  </w:num>
  <w:num w:numId="8" w16cid:durableId="65996847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667E1"/>
    <w:rsid w:val="0067094E"/>
    <w:rsid w:val="00AA588B"/>
    <w:rsid w:val="00C667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D29D8A0"/>
  <w15:chartTrackingRefBased/>
  <w15:docId w15:val="{7EE6F497-3D90-408C-ADE3-46E353859C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667E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C667E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C667E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667E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667E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667E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667E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667E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667E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667E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667E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667E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667E1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667E1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667E1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667E1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667E1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667E1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667E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667E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667E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667E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667E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667E1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667E1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667E1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667E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667E1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667E1"/>
    <w:rPr>
      <w:b/>
      <w:bCs/>
      <w:smallCaps/>
      <w:color w:val="0F4761" w:themeColor="accent1" w:themeShade="BF"/>
      <w:spacing w:val="5"/>
    </w:rPr>
  </w:style>
  <w:style w:type="table" w:styleId="Grilledutableau">
    <w:name w:val="Table Grid"/>
    <w:basedOn w:val="TableauNormal"/>
    <w:uiPriority w:val="39"/>
    <w:rsid w:val="00C667E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60061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7993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43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675044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9445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449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302091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048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471704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1807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839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14861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12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156554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04492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93531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7388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14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470198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5611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400</Words>
  <Characters>2202</Characters>
  <Application>Microsoft Office Word</Application>
  <DocSecurity>0</DocSecurity>
  <Lines>18</Lines>
  <Paragraphs>5</Paragraphs>
  <ScaleCrop>false</ScaleCrop>
  <Company/>
  <LinksUpToDate>false</LinksUpToDate>
  <CharactersWithSpaces>2597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Loic Valentini</dc:creator>
  <cp:keywords/>
  <dc:description/>
  <cp:lastModifiedBy>Loic Valentini</cp:lastModifiedBy>
  <cp:revision>2</cp:revision>
  <cp:lastPrinted>2025-10-15T09:01:00Z</cp:lastPrinted>
  <dcterms:created xsi:type="dcterms:W3CDTF">2025-10-15T08:52:00Z</dcterms:created>
  <dcterms:modified xsi:type="dcterms:W3CDTF">2025-10-15T09:02:00Z</dcterms:modified>
</cp:coreProperties>
</file>