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MÔ TẢ CẤU TRÚC VĂN BẢN PHÁP LUẬT</w:t>
      </w:r>
    </w:p>
    <w:p>
      <w:pPr>
        <w:jc w:val="center"/>
      </w:pPr>
      <w:r>
        <w:rPr>
          <w:b/>
          <w:sz w:val="23"/>
        </w:rPr>
        <w:t>Tập dữ liệu Thông tư – lĩnh vực hôn nhân, gia đình và sức khỏe sinh sản</w:t>
      </w:r>
    </w:p>
    <w:p>
      <w:pPr>
        <w:pStyle w:val="Heading1"/>
        <w:spacing w:before="160" w:after="80"/>
      </w:pPr>
      <w:r>
        <w:t>1. Phạm vi bộ dữ liệu</w:t>
      </w:r>
    </w:p>
    <w:p>
      <w:r>
        <w:t>Bộ dữ liệu hiện gồm 05 văn bản Thông tư/Thông tư liên tịch, được chuẩn hóa theo đơn vị Điều. Mỗi Điều được tách thành một tệp PDF riêng để phục vụ lưu trữ, truy xuất và xây dựng pipeline xử lý văn bản pháp luật.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top"/>
          </w:tcPr>
          <w:p>
            <w:pPr>
              <w:spacing w:after="0"/>
            </w:pPr>
            <w:r>
              <w:rPr>
                <w:rFonts w:ascii="Arial" w:hAnsi="Arial"/>
                <w:b/>
                <w:sz w:val="17"/>
              </w:rPr>
              <w:t>STT</w:t>
            </w:r>
          </w:p>
        </w:tc>
        <w:tc>
          <w:tcPr>
            <w:tcW w:type="dxa" w:w="2045"/>
            <w:shd w:fill="D9EAF7"/>
            <w:vAlign w:val="top"/>
          </w:tcPr>
          <w:p>
            <w:pPr>
              <w:spacing w:after="0"/>
            </w:pPr>
            <w:r>
              <w:rPr>
                <w:rFonts w:ascii="Arial" w:hAnsi="Arial"/>
                <w:b/>
                <w:sz w:val="17"/>
              </w:rPr>
              <w:t>Số hiệu</w:t>
            </w:r>
          </w:p>
        </w:tc>
        <w:tc>
          <w:tcPr>
            <w:tcW w:type="dxa" w:w="2045"/>
            <w:shd w:fill="D9EAF7"/>
            <w:vAlign w:val="top"/>
          </w:tcPr>
          <w:p>
            <w:pPr>
              <w:spacing w:after="0"/>
            </w:pPr>
            <w:r>
              <w:rPr>
                <w:rFonts w:ascii="Arial" w:hAnsi="Arial"/>
                <w:b/>
                <w:sz w:val="17"/>
              </w:rPr>
              <w:t>Cơ quan ban hành</w:t>
            </w:r>
          </w:p>
        </w:tc>
        <w:tc>
          <w:tcPr>
            <w:tcW w:type="dxa" w:w="2045"/>
            <w:shd w:fill="D9EAF7"/>
            <w:vAlign w:val="top"/>
          </w:tcPr>
          <w:p>
            <w:pPr>
              <w:spacing w:after="0"/>
            </w:pPr>
            <w:r>
              <w:rPr>
                <w:rFonts w:ascii="Arial" w:hAnsi="Arial"/>
                <w:b/>
                <w:sz w:val="17"/>
              </w:rPr>
              <w:t>Số Điều</w:t>
            </w:r>
          </w:p>
        </w:tc>
        <w:tc>
          <w:tcPr>
            <w:tcW w:type="dxa" w:w="2045"/>
            <w:shd w:fill="D9EAF7"/>
            <w:vAlign w:val="top"/>
          </w:tcPr>
          <w:p>
            <w:pPr>
              <w:spacing w:after="0"/>
            </w:pPr>
            <w:r>
              <w:rPr>
                <w:rFonts w:ascii="Arial" w:hAnsi="Arial"/>
                <w:b/>
                <w:sz w:val="17"/>
              </w:rPr>
              <w:t>Đặc điểm cấu trúc</w:t>
            </w:r>
          </w:p>
        </w:tc>
      </w:tr>
      <w:tr>
        <w:tc>
          <w:tcPr>
            <w:tcW w:type="dxa" w:w="2045"/>
            <w:vAlign w:val="top"/>
          </w:tcPr>
          <w:p>
            <w:pPr>
              <w:spacing w:after="0"/>
            </w:pPr>
            <w:r>
              <w:rPr>
                <w:rFonts w:ascii="Arial" w:hAnsi="Arial"/>
                <w:sz w:val="17"/>
              </w:rPr>
              <w:t>1</w:t>
            </w:r>
          </w:p>
        </w:tc>
        <w:tc>
          <w:tcPr>
            <w:tcW w:type="dxa" w:w="2045"/>
            <w:vAlign w:val="top"/>
          </w:tcPr>
          <w:p>
            <w:pPr>
              <w:spacing w:after="0"/>
            </w:pPr>
            <w:r>
              <w:rPr>
                <w:rFonts w:ascii="Arial" w:hAnsi="Arial"/>
                <w:sz w:val="17"/>
              </w:rPr>
              <w:t>01/2016/TTLT-TANDTC-VKSNDTC-BTP</w:t>
            </w:r>
          </w:p>
        </w:tc>
        <w:tc>
          <w:tcPr>
            <w:tcW w:type="dxa" w:w="2045"/>
            <w:vAlign w:val="top"/>
          </w:tcPr>
          <w:p>
            <w:pPr>
              <w:spacing w:after="0"/>
            </w:pPr>
            <w:r>
              <w:rPr>
                <w:rFonts w:ascii="Arial" w:hAnsi="Arial"/>
                <w:sz w:val="17"/>
              </w:rPr>
              <w:t>TANDTC; VKSNDTC; Bộ Tư pháp</w:t>
            </w:r>
          </w:p>
        </w:tc>
        <w:tc>
          <w:tcPr>
            <w:tcW w:type="dxa" w:w="2045"/>
            <w:vAlign w:val="top"/>
          </w:tcPr>
          <w:p>
            <w:pPr>
              <w:spacing w:after="0"/>
            </w:pPr>
            <w:r>
              <w:rPr>
                <w:rFonts w:ascii="Arial" w:hAnsi="Arial"/>
                <w:sz w:val="17"/>
              </w:rPr>
              <w:t>9</w:t>
            </w:r>
          </w:p>
        </w:tc>
        <w:tc>
          <w:tcPr>
            <w:tcW w:type="dxa" w:w="2045"/>
            <w:vAlign w:val="top"/>
          </w:tcPr>
          <w:p>
            <w:pPr>
              <w:spacing w:after="0"/>
            </w:pPr>
            <w:r>
              <w:rPr>
                <w:rFonts w:ascii="Arial" w:hAnsi="Arial"/>
                <w:sz w:val="17"/>
              </w:rPr>
              <w:t>Không chia Chương; Điều → Khoản → Điểm; có ví dụ.</w:t>
            </w:r>
          </w:p>
        </w:tc>
      </w:tr>
      <w:tr>
        <w:tc>
          <w:tcPr>
            <w:tcW w:type="dxa" w:w="2045"/>
            <w:vAlign w:val="top"/>
          </w:tcPr>
          <w:p>
            <w:pPr>
              <w:spacing w:after="0"/>
            </w:pPr>
            <w:r>
              <w:rPr>
                <w:rFonts w:ascii="Arial" w:hAnsi="Arial"/>
                <w:sz w:val="17"/>
              </w:rPr>
              <w:t>2</w:t>
            </w:r>
          </w:p>
        </w:tc>
        <w:tc>
          <w:tcPr>
            <w:tcW w:type="dxa" w:w="2045"/>
            <w:vAlign w:val="top"/>
          </w:tcPr>
          <w:p>
            <w:pPr>
              <w:spacing w:after="0"/>
            </w:pPr>
            <w:r>
              <w:rPr>
                <w:rFonts w:ascii="Arial" w:hAnsi="Arial"/>
                <w:sz w:val="17"/>
              </w:rPr>
              <w:t>02a/2015/TT-BTP</w:t>
            </w:r>
          </w:p>
        </w:tc>
        <w:tc>
          <w:tcPr>
            <w:tcW w:type="dxa" w:w="2045"/>
            <w:vAlign w:val="top"/>
          </w:tcPr>
          <w:p>
            <w:pPr>
              <w:spacing w:after="0"/>
            </w:pPr>
            <w:r>
              <w:rPr>
                <w:rFonts w:ascii="Arial" w:hAnsi="Arial"/>
                <w:sz w:val="17"/>
              </w:rPr>
              <w:t>Bộ Tư pháp</w:t>
            </w:r>
          </w:p>
        </w:tc>
        <w:tc>
          <w:tcPr>
            <w:tcW w:type="dxa" w:w="2045"/>
            <w:vAlign w:val="top"/>
          </w:tcPr>
          <w:p>
            <w:pPr>
              <w:spacing w:after="0"/>
            </w:pPr>
            <w:r>
              <w:rPr>
                <w:rFonts w:ascii="Arial" w:hAnsi="Arial"/>
                <w:sz w:val="17"/>
              </w:rPr>
              <w:t>17</w:t>
            </w:r>
          </w:p>
        </w:tc>
        <w:tc>
          <w:tcPr>
            <w:tcW w:type="dxa" w:w="2045"/>
            <w:vAlign w:val="top"/>
          </w:tcPr>
          <w:p>
            <w:pPr>
              <w:spacing w:after="0"/>
            </w:pPr>
            <w:r>
              <w:rPr>
                <w:rFonts w:ascii="Arial" w:hAnsi="Arial"/>
                <w:sz w:val="17"/>
              </w:rPr>
              <w:t>Có 6 Chương; Chương → Điều → Khoản → Điểm.</w:t>
            </w:r>
          </w:p>
        </w:tc>
      </w:tr>
      <w:tr>
        <w:tc>
          <w:tcPr>
            <w:tcW w:type="dxa" w:w="2045"/>
            <w:vAlign w:val="top"/>
          </w:tcPr>
          <w:p>
            <w:pPr>
              <w:spacing w:after="0"/>
            </w:pPr>
            <w:r>
              <w:rPr>
                <w:rFonts w:ascii="Arial" w:hAnsi="Arial"/>
                <w:sz w:val="17"/>
              </w:rPr>
              <w:t>3</w:t>
            </w:r>
          </w:p>
        </w:tc>
        <w:tc>
          <w:tcPr>
            <w:tcW w:type="dxa" w:w="2045"/>
            <w:vAlign w:val="top"/>
          </w:tcPr>
          <w:p>
            <w:pPr>
              <w:spacing w:after="0"/>
            </w:pPr>
            <w:r>
              <w:rPr>
                <w:rFonts w:ascii="Arial" w:hAnsi="Arial"/>
                <w:sz w:val="17"/>
              </w:rPr>
              <w:t>32/2016/TT-BYT</w:t>
            </w:r>
          </w:p>
        </w:tc>
        <w:tc>
          <w:tcPr>
            <w:tcW w:type="dxa" w:w="2045"/>
            <w:vAlign w:val="top"/>
          </w:tcPr>
          <w:p>
            <w:pPr>
              <w:spacing w:after="0"/>
            </w:pPr>
            <w:r>
              <w:rPr>
                <w:rFonts w:ascii="Arial" w:hAnsi="Arial"/>
                <w:sz w:val="17"/>
              </w:rPr>
              <w:t>Bộ Y tế</w:t>
            </w:r>
          </w:p>
        </w:tc>
        <w:tc>
          <w:tcPr>
            <w:tcW w:type="dxa" w:w="2045"/>
            <w:vAlign w:val="top"/>
          </w:tcPr>
          <w:p>
            <w:pPr>
              <w:spacing w:after="0"/>
            </w:pPr>
            <w:r>
              <w:rPr>
                <w:rFonts w:ascii="Arial" w:hAnsi="Arial"/>
                <w:sz w:val="17"/>
              </w:rPr>
              <w:t>6</w:t>
            </w:r>
          </w:p>
        </w:tc>
        <w:tc>
          <w:tcPr>
            <w:tcW w:type="dxa" w:w="2045"/>
            <w:vAlign w:val="top"/>
          </w:tcPr>
          <w:p>
            <w:pPr>
              <w:spacing w:after="0"/>
            </w:pPr>
            <w:r>
              <w:rPr>
                <w:rFonts w:ascii="Arial" w:hAnsi="Arial"/>
                <w:sz w:val="17"/>
              </w:rPr>
              <w:t>Điều → Khoản → Điểm; có Điều kéo dài qua trang.</w:t>
            </w:r>
          </w:p>
        </w:tc>
      </w:tr>
      <w:tr>
        <w:tc>
          <w:tcPr>
            <w:tcW w:type="dxa" w:w="2045"/>
            <w:vAlign w:val="top"/>
          </w:tcPr>
          <w:p>
            <w:pPr>
              <w:spacing w:after="0"/>
            </w:pPr>
            <w:r>
              <w:rPr>
                <w:rFonts w:ascii="Arial" w:hAnsi="Arial"/>
                <w:sz w:val="17"/>
              </w:rPr>
              <w:t>4</w:t>
            </w:r>
          </w:p>
        </w:tc>
        <w:tc>
          <w:tcPr>
            <w:tcW w:type="dxa" w:w="2045"/>
            <w:vAlign w:val="top"/>
          </w:tcPr>
          <w:p>
            <w:pPr>
              <w:spacing w:after="0"/>
            </w:pPr>
            <w:r>
              <w:rPr>
                <w:rFonts w:ascii="Arial" w:hAnsi="Arial"/>
                <w:sz w:val="17"/>
              </w:rPr>
              <w:t>34/2017/TT-BYT</w:t>
            </w:r>
          </w:p>
        </w:tc>
        <w:tc>
          <w:tcPr>
            <w:tcW w:type="dxa" w:w="2045"/>
            <w:vAlign w:val="top"/>
          </w:tcPr>
          <w:p>
            <w:pPr>
              <w:spacing w:after="0"/>
            </w:pPr>
            <w:r>
              <w:rPr>
                <w:rFonts w:ascii="Arial" w:hAnsi="Arial"/>
                <w:sz w:val="17"/>
              </w:rPr>
              <w:t>Bộ Y tế</w:t>
            </w:r>
          </w:p>
        </w:tc>
        <w:tc>
          <w:tcPr>
            <w:tcW w:type="dxa" w:w="2045"/>
            <w:vAlign w:val="top"/>
          </w:tcPr>
          <w:p>
            <w:pPr>
              <w:spacing w:after="0"/>
            </w:pPr>
            <w:r>
              <w:rPr>
                <w:rFonts w:ascii="Arial" w:hAnsi="Arial"/>
                <w:sz w:val="17"/>
              </w:rPr>
              <w:t>9</w:t>
            </w:r>
          </w:p>
        </w:tc>
        <w:tc>
          <w:tcPr>
            <w:tcW w:type="dxa" w:w="2045"/>
            <w:vAlign w:val="top"/>
          </w:tcPr>
          <w:p>
            <w:pPr>
              <w:spacing w:after="0"/>
            </w:pPr>
            <w:r>
              <w:rPr>
                <w:rFonts w:ascii="Arial" w:hAnsi="Arial"/>
                <w:sz w:val="17"/>
              </w:rPr>
              <w:t>Có 3 Chương; Chương → Điều → Khoản → Điểm.</w:t>
            </w:r>
          </w:p>
        </w:tc>
      </w:tr>
      <w:tr>
        <w:tc>
          <w:tcPr>
            <w:tcW w:type="dxa" w:w="2045"/>
            <w:vAlign w:val="top"/>
          </w:tcPr>
          <w:p>
            <w:pPr>
              <w:spacing w:after="0"/>
            </w:pPr>
            <w:r>
              <w:rPr>
                <w:rFonts w:ascii="Arial" w:hAnsi="Arial"/>
                <w:sz w:val="17"/>
              </w:rPr>
              <w:t>5</w:t>
            </w:r>
          </w:p>
        </w:tc>
        <w:tc>
          <w:tcPr>
            <w:tcW w:type="dxa" w:w="2045"/>
            <w:vAlign w:val="top"/>
          </w:tcPr>
          <w:p>
            <w:pPr>
              <w:spacing w:after="0"/>
            </w:pPr>
            <w:r>
              <w:rPr>
                <w:rFonts w:ascii="Arial" w:hAnsi="Arial"/>
                <w:sz w:val="17"/>
              </w:rPr>
              <w:t>30/2019/TT-BYT</w:t>
            </w:r>
          </w:p>
        </w:tc>
        <w:tc>
          <w:tcPr>
            <w:tcW w:type="dxa" w:w="2045"/>
            <w:vAlign w:val="top"/>
          </w:tcPr>
          <w:p>
            <w:pPr>
              <w:spacing w:after="0"/>
            </w:pPr>
            <w:r>
              <w:rPr>
                <w:rFonts w:ascii="Arial" w:hAnsi="Arial"/>
                <w:sz w:val="17"/>
              </w:rPr>
              <w:t>Bộ Y tế</w:t>
            </w:r>
          </w:p>
        </w:tc>
        <w:tc>
          <w:tcPr>
            <w:tcW w:type="dxa" w:w="2045"/>
            <w:vAlign w:val="top"/>
          </w:tcPr>
          <w:p>
            <w:pPr>
              <w:spacing w:after="0"/>
            </w:pPr>
            <w:r>
              <w:rPr>
                <w:rFonts w:ascii="Arial" w:hAnsi="Arial"/>
                <w:sz w:val="17"/>
              </w:rPr>
              <w:t>3</w:t>
            </w:r>
          </w:p>
        </w:tc>
        <w:tc>
          <w:tcPr>
            <w:tcW w:type="dxa" w:w="2045"/>
            <w:vAlign w:val="top"/>
          </w:tcPr>
          <w:p>
            <w:pPr>
              <w:spacing w:after="0"/>
            </w:pPr>
            <w:r>
              <w:rPr>
                <w:rFonts w:ascii="Arial" w:hAnsi="Arial"/>
                <w:sz w:val="17"/>
              </w:rPr>
              <w:t>Điều → Khoản; Điều 1 chứa nội dung sửa đổi/bổ sung văn bản khác.</w:t>
            </w:r>
          </w:p>
        </w:tc>
      </w:tr>
    </w:tbl>
    <w:p>
      <w:r>
        <w:rPr>
          <w:b/>
        </w:rPr>
        <w:t>Tổng số đơn vị Điều: 44 Điều → 44 tệp PDF.</w:t>
      </w:r>
    </w:p>
    <w:p>
      <w:pPr>
        <w:pStyle w:val="Heading1"/>
        <w:spacing w:before="160" w:after="80"/>
      </w:pPr>
      <w:r>
        <w:t>2. Cấu trúc phân cấp của văn bản</w:t>
      </w:r>
    </w:p>
    <w:p>
      <w:r>
        <w:t>Cấu trúc tổng quát cần hỗ trợ: Văn bản → Chương (nếu có) → Điều → Khoản → Điểm → đoạn nội dung/ví dụ.</w:t>
      </w:r>
    </w:p>
    <w:p>
      <w:pPr>
        <w:pStyle w:val="ListBullet"/>
        <w:spacing w:after="40"/>
      </w:pPr>
      <w:r>
        <w:t>Không phải văn bản nào cũng có cấp Chương. 01/2016/TTLT-TANDTC-VKSNDTC-BTP được tổ chức trực tiếp theo Điều.</w:t>
      </w:r>
    </w:p>
    <w:p>
      <w:pPr>
        <w:pStyle w:val="ListBullet"/>
        <w:spacing w:after="40"/>
      </w:pPr>
      <w:r>
        <w:t>02a/2015/TT-BTP và 34/2017/TT-BYT có cấp Chương; pipeline phải nhận diện Chương nhưng cho phép trường này rỗng.</w:t>
      </w:r>
    </w:p>
    <w:p>
      <w:pPr>
        <w:pStyle w:val="ListBullet"/>
        <w:spacing w:after="40"/>
      </w:pPr>
      <w:r>
        <w:t>Trong Điều có thể có khoản 1., 2., 3... và điểm a), b), c)...; một số văn bản có ví dụ hoặc nội dung sửa đổi văn bản khác.</w:t>
      </w:r>
    </w:p>
    <w:p>
      <w:pPr>
        <w:pStyle w:val="ListBullet"/>
        <w:spacing w:after="40"/>
      </w:pPr>
      <w:r>
        <w:t>Cụm “Điều X” trong câu dẫn chiếu không được coi là tiêu đề Điều mới.</w:t>
      </w:r>
    </w:p>
    <w:p>
      <w:pPr>
        <w:pStyle w:val="Heading1"/>
        <w:spacing w:before="160" w:after="80"/>
      </w:pPr>
      <w:r>
        <w:t>3. Quy tắc tách tệp theo Điều</w:t>
      </w:r>
    </w:p>
    <w:p>
      <w:r>
        <w:t>Đơn vị lưu trữ trong data/raw_data/circulars/ là từng Điều. Một Điều phải được giữ đầy đủ nội dung kể cả khi bắt đầu ở giữa trang, kéo dài sang trang kế tiếp hoặc nằm chung trang với Điều khác.</w:t>
      </w:r>
    </w:p>
    <w:p>
      <w:pPr>
        <w:pStyle w:val="ListBullet"/>
        <w:spacing w:after="40"/>
      </w:pPr>
      <w:r>
        <w:t>Mỗi tệp PDF chỉ đại diện cho một Điều của văn bản nguồn.</w:t>
      </w:r>
    </w:p>
    <w:p>
      <w:pPr>
        <w:pStyle w:val="ListBullet"/>
        <w:spacing w:after="40"/>
      </w:pPr>
      <w:r>
        <w:t>Không dùng quy tắc 1 trang = 1 Điều.</w:t>
      </w:r>
    </w:p>
    <w:p>
      <w:pPr>
        <w:pStyle w:val="ListBullet"/>
        <w:spacing w:after="40"/>
      </w:pPr>
      <w:r>
        <w:t>Chữ ký, con dấu, nơi nhận, phụ lục/biểu mẫu không thuộc nội dung Điều thì không được gộp nhầm vào Điều.</w:t>
      </w:r>
    </w:p>
    <w:p>
      <w:pPr>
        <w:pStyle w:val="ListBullet"/>
        <w:spacing w:after="40"/>
      </w:pPr>
      <w:r>
        <w:t>Tên tệp thống nhất theo mẫu &lt;so_hieu_rut_gon&gt;_Dieu_XX.pdf, ví dụ 32_2016_TT_BYT_Dieu_03.pdf.</w:t>
      </w:r>
    </w:p>
    <w:p>
      <w:pPr>
        <w:pStyle w:val="Heading1"/>
        <w:spacing w:before="160" w:after="80"/>
      </w:pPr>
      <w:r>
        <w:t>4. Thống kê và đặc điểm từng văn bản</w:t>
      </w:r>
    </w:p>
    <w:p>
      <w:pPr>
        <w:pStyle w:val="Heading2"/>
        <w:spacing w:before="160" w:after="80"/>
      </w:pPr>
      <w:r>
        <w:t>4.1. 01/2016/TTLT-TANDTC-VKSNDTC-BTP</w:t>
      </w:r>
    </w:p>
    <w:p>
      <w:r>
        <w:t>09 Điều; không chia Chương. Nội dung có nhiều khoản, điểm và ví dụ. Nhiều Điều kéo dài qua nhiều trang. File nguồn dạng scan nên cần chú ý lỗi OCR.</w:t>
      </w:r>
    </w:p>
    <w:p>
      <w:pPr>
        <w:pStyle w:val="Heading2"/>
        <w:spacing w:before="160" w:after="80"/>
      </w:pPr>
      <w:r>
        <w:t>4.2. 02a/2015/TT-BTP</w:t>
      </w:r>
    </w:p>
    <w:p>
      <w:r>
        <w:t>17 Điều, chia thành 06 Chương. File nguồn còn có danh mục biểu mẫu và các biểu mẫu sau phần nội dung chính; các trang này không được coi là Điều mới.</w:t>
      </w:r>
    </w:p>
    <w:p>
      <w:pPr>
        <w:pStyle w:val="Heading2"/>
        <w:spacing w:before="160" w:after="80"/>
      </w:pPr>
      <w:r>
        <w:t>4.3. 32/2016/TT-BYT</w:t>
      </w:r>
    </w:p>
    <w:p>
      <w:r>
        <w:t>06 Điều. Nhiều trang chứa phần cuối của một Điều và phần đầu của Điều kế tiếp, vì vậy phải tách theo ranh giới nội dung Điều.</w:t>
      </w:r>
    </w:p>
    <w:p>
      <w:pPr>
        <w:pStyle w:val="Heading2"/>
        <w:spacing w:before="160" w:after="80"/>
      </w:pPr>
      <w:r>
        <w:t>4.4. 34/2017/TT-BYT</w:t>
      </w:r>
    </w:p>
    <w:p>
      <w:r>
        <w:t>09 Điều, chia thành 03 Chương. Một số Điều tiếp tục sang trang kế tiếp; trang cuối của file scan gần như trống và không tạo thành Điều.</w:t>
      </w:r>
    </w:p>
    <w:p>
      <w:pPr>
        <w:pStyle w:val="Heading2"/>
        <w:spacing w:before="160" w:after="80"/>
      </w:pPr>
      <w:r>
        <w:t>4.5. 30/2019/TT-BYT</w:t>
      </w:r>
    </w:p>
    <w:p>
      <w:r>
        <w:t>03 Điều. Điều 1 sửa đổi, bổ sung nội dung của Thông tư 34/2017/TT-BYT và kéo dài sang trang 2; cần phân biệt Điều của văn bản hiện tại với Điều được dẫn chiếu/sửa đổi.</w:t>
      </w:r>
    </w:p>
    <w:p>
      <w:pPr>
        <w:pStyle w:val="Heading1"/>
        <w:spacing w:before="160" w:after="80"/>
      </w:pPr>
      <w:r>
        <w:t>5. Các trường hợp khó xử lý khi số hóa/chunking</w:t>
      </w:r>
    </w:p>
    <w:p>
      <w:pPr>
        <w:pStyle w:val="ListBullet"/>
        <w:spacing w:after="40"/>
      </w:pPr>
      <w:r>
        <w:t>PDF scan và chất lượng ảnh không đồng đều: OCR có thể nhận sai dấu tiếng Việt, số hiệu và ký hiệu khoản/điểm.</w:t>
      </w:r>
    </w:p>
    <w:p>
      <w:pPr>
        <w:pStyle w:val="ListBullet"/>
        <w:spacing w:after="40"/>
      </w:pPr>
      <w:r>
        <w:t>Điều/khoản bị ngắt qua trang: cần nối đúng nội dung theo cấu trúc pháp lý.</w:t>
      </w:r>
    </w:p>
    <w:p>
      <w:pPr>
        <w:pStyle w:val="ListBullet"/>
        <w:spacing w:after="40"/>
      </w:pPr>
      <w:r>
        <w:t>Nhiều Điều trên cùng một trang: cần xác định chính xác vị trí bắt đầu/kết thúc của từng Điều.</w:t>
      </w:r>
    </w:p>
    <w:p>
      <w:pPr>
        <w:pStyle w:val="ListBullet"/>
        <w:spacing w:after="40"/>
      </w:pPr>
      <w:r>
        <w:t>Nhiều cấp đánh số: phải phân biệt Chương, Điều, khoản và điểm.</w:t>
      </w:r>
    </w:p>
    <w:p>
      <w:pPr>
        <w:pStyle w:val="ListBullet"/>
        <w:spacing w:after="40"/>
      </w:pPr>
      <w:r>
        <w:t>Dẫn chiếu pháp luật: các cụm “Điều 2”, “Điều 97”, “khoản 2 Điều 84” trong nội dung không phải tiêu đề mới.</w:t>
      </w:r>
    </w:p>
    <w:p>
      <w:pPr>
        <w:pStyle w:val="ListBullet"/>
        <w:spacing w:after="40"/>
      </w:pPr>
      <w:r>
        <w:t>Văn bản sửa đổi: 30/2019/TT-BYT có Điều 1 chứa các Điều được sửa đổi/bổ sung của 34/2017/TT-BYT; phải giữ chúng trong Điều 1.</w:t>
      </w:r>
    </w:p>
    <w:p>
      <w:pPr>
        <w:pStyle w:val="ListBullet"/>
        <w:spacing w:after="40"/>
      </w:pPr>
      <w:r>
        <w:t>Phần hành chính và phụ lục: chữ ký, con dấu, nơi nhận, danh mục biểu mẫu và biểu mẫu đính kèm cần nhận diện riêng.</w:t>
      </w:r>
    </w:p>
    <w:p>
      <w:pPr>
        <w:pStyle w:val="ListBullet"/>
        <w:spacing w:after="40"/>
      </w:pPr>
      <w:r>
        <w:t>Tiêu đề Điều dài hoặc xuống dòng cần được ghép đầy đủ trước khi gắn metadata.</w:t>
      </w:r>
    </w:p>
    <w:p>
      <w:pPr>
        <w:pStyle w:val="Heading1"/>
        <w:spacing w:before="160" w:after="80"/>
      </w:pPr>
      <w:r>
        <w:t>6. Liên kết giữa tệp PDF và metadata</w:t>
      </w:r>
    </w:p>
    <w:p>
      <w:r>
        <w:t>Mỗi tệp PDF Điều tương ứng với một dòng trong circulars_metadata.xlsx. Theo form hiện tại của nhóm, metadata gồm 07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0"/>
            </w:pPr>
            <w:r>
              <w:rPr>
                <w:rFonts w:ascii="Arial" w:hAnsi="Arial"/>
                <w:b/>
                <w:sz w:val="17"/>
              </w:rPr>
              <w:t>Trường</w:t>
            </w:r>
          </w:p>
        </w:tc>
        <w:tc>
          <w:tcPr>
            <w:tcW w:type="dxa" w:w="3408"/>
            <w:shd w:fill="D9EAF7"/>
            <w:vAlign w:val="top"/>
          </w:tcPr>
          <w:p>
            <w:pPr>
              <w:spacing w:after="0"/>
            </w:pPr>
            <w:r>
              <w:rPr>
                <w:rFonts w:ascii="Arial" w:hAnsi="Arial"/>
                <w:b/>
                <w:sz w:val="17"/>
              </w:rPr>
              <w:t>Ý nghĩa</w:t>
            </w:r>
          </w:p>
        </w:tc>
        <w:tc>
          <w:tcPr>
            <w:tcW w:type="dxa" w:w="3408"/>
            <w:shd w:fill="D9EAF7"/>
            <w:vAlign w:val="top"/>
          </w:tcPr>
          <w:p>
            <w:pPr>
              <w:spacing w:after="0"/>
            </w:pPr>
            <w:r>
              <w:rPr>
                <w:rFonts w:ascii="Arial" w:hAnsi="Arial"/>
                <w:b/>
                <w:sz w:val="17"/>
              </w:rPr>
              <w:t>Ghi chú</w:t>
            </w:r>
          </w:p>
        </w:tc>
      </w:tr>
      <w:tr>
        <w:tc>
          <w:tcPr>
            <w:tcW w:type="dxa" w:w="3408"/>
            <w:vAlign w:val="top"/>
          </w:tcPr>
          <w:p>
            <w:pPr>
              <w:spacing w:after="0"/>
            </w:pPr>
            <w:r>
              <w:rPr>
                <w:rFonts w:ascii="Arial" w:hAnsi="Arial"/>
                <w:sz w:val="17"/>
              </w:rPr>
              <w:t>Loại văn bản</w:t>
            </w:r>
          </w:p>
        </w:tc>
        <w:tc>
          <w:tcPr>
            <w:tcW w:type="dxa" w:w="3408"/>
            <w:vAlign w:val="top"/>
          </w:tcPr>
          <w:p>
            <w:pPr>
              <w:spacing w:after="0"/>
            </w:pPr>
            <w:r>
              <w:rPr>
                <w:rFonts w:ascii="Arial" w:hAnsi="Arial"/>
                <w:sz w:val="17"/>
              </w:rPr>
              <w:t>Loại văn bản pháp luật</w:t>
            </w:r>
          </w:p>
        </w:tc>
        <w:tc>
          <w:tcPr>
            <w:tcW w:type="dxa" w:w="3408"/>
            <w:vAlign w:val="top"/>
          </w:tcPr>
          <w:p>
            <w:pPr>
              <w:spacing w:after="0"/>
            </w:pPr>
            <w:r>
              <w:rPr>
                <w:rFonts w:ascii="Arial" w:hAnsi="Arial"/>
                <w:sz w:val="17"/>
              </w:rPr>
              <w:t>Giá trị dùng trong form: Thông tư.</w:t>
            </w:r>
          </w:p>
        </w:tc>
      </w:tr>
      <w:tr>
        <w:tc>
          <w:tcPr>
            <w:tcW w:type="dxa" w:w="3408"/>
            <w:vAlign w:val="top"/>
          </w:tcPr>
          <w:p>
            <w:pPr>
              <w:spacing w:after="0"/>
            </w:pPr>
            <w:r>
              <w:rPr>
                <w:rFonts w:ascii="Arial" w:hAnsi="Arial"/>
                <w:sz w:val="17"/>
              </w:rPr>
              <w:t>Số hiệu</w:t>
            </w:r>
          </w:p>
        </w:tc>
        <w:tc>
          <w:tcPr>
            <w:tcW w:type="dxa" w:w="3408"/>
            <w:vAlign w:val="top"/>
          </w:tcPr>
          <w:p>
            <w:pPr>
              <w:spacing w:after="0"/>
            </w:pPr>
            <w:r>
              <w:rPr>
                <w:rFonts w:ascii="Arial" w:hAnsi="Arial"/>
                <w:sz w:val="17"/>
              </w:rPr>
              <w:t>Số hiệu văn bản nguồn</w:t>
            </w:r>
          </w:p>
        </w:tc>
        <w:tc>
          <w:tcPr>
            <w:tcW w:type="dxa" w:w="3408"/>
            <w:vAlign w:val="top"/>
          </w:tcPr>
          <w:p>
            <w:pPr>
              <w:spacing w:after="0"/>
            </w:pPr>
            <w:r>
              <w:rPr>
                <w:rFonts w:ascii="Arial" w:hAnsi="Arial"/>
                <w:sz w:val="17"/>
              </w:rPr>
              <w:t>Các Điều cùng văn bản dùng chung số hiệu.</w:t>
            </w:r>
          </w:p>
        </w:tc>
      </w:tr>
      <w:tr>
        <w:tc>
          <w:tcPr>
            <w:tcW w:type="dxa" w:w="3408"/>
            <w:vAlign w:val="top"/>
          </w:tcPr>
          <w:p>
            <w:pPr>
              <w:spacing w:after="0"/>
            </w:pPr>
            <w:r>
              <w:rPr>
                <w:rFonts w:ascii="Arial" w:hAnsi="Arial"/>
                <w:sz w:val="17"/>
              </w:rPr>
              <w:t>Tên / Trích yếu nội dung</w:t>
            </w:r>
          </w:p>
        </w:tc>
        <w:tc>
          <w:tcPr>
            <w:tcW w:type="dxa" w:w="3408"/>
            <w:vAlign w:val="top"/>
          </w:tcPr>
          <w:p>
            <w:pPr>
              <w:spacing w:after="0"/>
            </w:pPr>
            <w:r>
              <w:rPr>
                <w:rFonts w:ascii="Arial" w:hAnsi="Arial"/>
                <w:sz w:val="17"/>
              </w:rPr>
              <w:t>Tên Điều</w:t>
            </w:r>
          </w:p>
        </w:tc>
        <w:tc>
          <w:tcPr>
            <w:tcW w:type="dxa" w:w="3408"/>
            <w:vAlign w:val="top"/>
          </w:tcPr>
          <w:p>
            <w:pPr>
              <w:spacing w:after="0"/>
            </w:pPr>
            <w:r>
              <w:rPr>
                <w:rFonts w:ascii="Arial" w:hAnsi="Arial"/>
                <w:sz w:val="17"/>
              </w:rPr>
              <w:t>Dùng để phân biệt từng Điều.</w:t>
            </w:r>
          </w:p>
        </w:tc>
      </w:tr>
      <w:tr>
        <w:tc>
          <w:tcPr>
            <w:tcW w:type="dxa" w:w="3408"/>
            <w:vAlign w:val="top"/>
          </w:tcPr>
          <w:p>
            <w:pPr>
              <w:spacing w:after="0"/>
            </w:pPr>
            <w:r>
              <w:rPr>
                <w:rFonts w:ascii="Arial" w:hAnsi="Arial"/>
                <w:sz w:val="17"/>
              </w:rPr>
              <w:t>Ngày ban hành</w:t>
            </w:r>
          </w:p>
        </w:tc>
        <w:tc>
          <w:tcPr>
            <w:tcW w:type="dxa" w:w="3408"/>
            <w:vAlign w:val="top"/>
          </w:tcPr>
          <w:p>
            <w:pPr>
              <w:spacing w:after="0"/>
            </w:pPr>
            <w:r>
              <w:rPr>
                <w:rFonts w:ascii="Arial" w:hAnsi="Arial"/>
                <w:sz w:val="17"/>
              </w:rPr>
              <w:t>Ngày ban hành văn bản</w:t>
            </w:r>
          </w:p>
        </w:tc>
        <w:tc>
          <w:tcPr>
            <w:tcW w:type="dxa" w:w="3408"/>
            <w:vAlign w:val="top"/>
          </w:tcPr>
          <w:p>
            <w:pPr>
              <w:spacing w:after="0"/>
            </w:pPr>
            <w:r>
              <w:rPr>
                <w:rFonts w:ascii="Arial" w:hAnsi="Arial"/>
                <w:sz w:val="17"/>
              </w:rPr>
              <w:t>DD-MM-YYYY.</w:t>
            </w:r>
          </w:p>
        </w:tc>
      </w:tr>
      <w:tr>
        <w:tc>
          <w:tcPr>
            <w:tcW w:type="dxa" w:w="3408"/>
            <w:vAlign w:val="top"/>
          </w:tcPr>
          <w:p>
            <w:pPr>
              <w:spacing w:after="0"/>
            </w:pPr>
            <w:r>
              <w:rPr>
                <w:rFonts w:ascii="Arial" w:hAnsi="Arial"/>
                <w:sz w:val="17"/>
              </w:rPr>
              <w:t>Ngày hiệu lực</w:t>
            </w:r>
          </w:p>
        </w:tc>
        <w:tc>
          <w:tcPr>
            <w:tcW w:type="dxa" w:w="3408"/>
            <w:vAlign w:val="top"/>
          </w:tcPr>
          <w:p>
            <w:pPr>
              <w:spacing w:after="0"/>
            </w:pPr>
            <w:r>
              <w:rPr>
                <w:rFonts w:ascii="Arial" w:hAnsi="Arial"/>
                <w:sz w:val="17"/>
              </w:rPr>
              <w:t>Ngày văn bản có hiệu lực</w:t>
            </w:r>
          </w:p>
        </w:tc>
        <w:tc>
          <w:tcPr>
            <w:tcW w:type="dxa" w:w="3408"/>
            <w:vAlign w:val="top"/>
          </w:tcPr>
          <w:p>
            <w:pPr>
              <w:spacing w:after="0"/>
            </w:pPr>
            <w:r>
              <w:rPr>
                <w:rFonts w:ascii="Arial" w:hAnsi="Arial"/>
                <w:sz w:val="17"/>
              </w:rPr>
              <w:t>DD-MM-YYYY.</w:t>
            </w:r>
          </w:p>
        </w:tc>
      </w:tr>
      <w:tr>
        <w:tc>
          <w:tcPr>
            <w:tcW w:type="dxa" w:w="3408"/>
            <w:vAlign w:val="top"/>
          </w:tcPr>
          <w:p>
            <w:pPr>
              <w:spacing w:after="0"/>
            </w:pPr>
            <w:r>
              <w:rPr>
                <w:rFonts w:ascii="Arial" w:hAnsi="Arial"/>
                <w:sz w:val="17"/>
              </w:rPr>
              <w:t>Lĩnh vực</w:t>
            </w:r>
          </w:p>
        </w:tc>
        <w:tc>
          <w:tcPr>
            <w:tcW w:type="dxa" w:w="3408"/>
            <w:vAlign w:val="top"/>
          </w:tcPr>
          <w:p>
            <w:pPr>
              <w:spacing w:after="0"/>
            </w:pPr>
            <w:r>
              <w:rPr>
                <w:rFonts w:ascii="Arial" w:hAnsi="Arial"/>
                <w:sz w:val="17"/>
              </w:rPr>
              <w:t>Phân loại lĩnh vực pháp luật</w:t>
            </w:r>
          </w:p>
        </w:tc>
        <w:tc>
          <w:tcPr>
            <w:tcW w:type="dxa" w:w="3408"/>
            <w:vAlign w:val="top"/>
          </w:tcPr>
          <w:p>
            <w:pPr>
              <w:spacing w:after="0"/>
            </w:pPr>
            <w:r>
              <w:rPr>
                <w:rFonts w:ascii="Arial" w:hAnsi="Arial"/>
                <w:sz w:val="17"/>
              </w:rPr>
              <w:t>Theo nội dung văn bản.</w:t>
            </w:r>
          </w:p>
        </w:tc>
      </w:tr>
      <w:tr>
        <w:tc>
          <w:tcPr>
            <w:tcW w:type="dxa" w:w="3408"/>
            <w:vAlign w:val="top"/>
          </w:tcPr>
          <w:p>
            <w:pPr>
              <w:spacing w:after="0"/>
            </w:pPr>
            <w:r>
              <w:rPr>
                <w:rFonts w:ascii="Arial" w:hAnsi="Arial"/>
                <w:sz w:val="17"/>
              </w:rPr>
              <w:t>URL nguồn</w:t>
            </w:r>
          </w:p>
        </w:tc>
        <w:tc>
          <w:tcPr>
            <w:tcW w:type="dxa" w:w="3408"/>
            <w:vAlign w:val="top"/>
          </w:tcPr>
          <w:p>
            <w:pPr>
              <w:spacing w:after="0"/>
            </w:pPr>
            <w:r>
              <w:rPr>
                <w:rFonts w:ascii="Arial" w:hAnsi="Arial"/>
                <w:sz w:val="17"/>
              </w:rPr>
              <w:t>Đường dẫn nguồn văn bản</w:t>
            </w:r>
          </w:p>
        </w:tc>
        <w:tc>
          <w:tcPr>
            <w:tcW w:type="dxa" w:w="3408"/>
            <w:vAlign w:val="top"/>
          </w:tcPr>
          <w:p>
            <w:pPr>
              <w:spacing w:after="0"/>
            </w:pPr>
            <w:r>
              <w:rPr>
                <w:rFonts w:ascii="Arial" w:hAnsi="Arial"/>
                <w:sz w:val="17"/>
              </w:rPr>
              <w:t>Ưu tiên nguồn chính thức.</w:t>
            </w:r>
          </w:p>
        </w:tc>
      </w:tr>
    </w:tbl>
    <w:p>
      <w:pPr>
        <w:pStyle w:val="Heading1"/>
        <w:spacing w:before="160" w:after="80"/>
      </w:pPr>
      <w:r>
        <w:t>7. Đề xuất cấu trúc dữ liệu cho pipeline tuần 5</w:t>
      </w:r>
    </w:p>
    <w:p>
      <w:r>
        <w:t>Ngoài 07 trường metadata dùng để nộp theo form nhóm, pipeline có thể lưu thêm: document_id, source_file, chapter, dieu, khoan, diem, tieu_de_dieu, noi_dung, page_start, page_end. Các trường chapter/khoan/diem được phép để trống khi không tồn tại.</w:t>
      </w:r>
    </w:p>
    <w:p>
      <w:r>
        <w:t>Khóa liên kết nên được xây dựng từ số hiệu văn bản và số Điều, ví dụ 32_2016_TT_BYT_Dieu_03, giúp ánh xạ ổn định giữa PDF, metadata và chunk nội dung.</w:t>
      </w:r>
    </w:p>
    <w:p>
      <w:pPr>
        <w:pStyle w:val="Heading1"/>
        <w:spacing w:before="160" w:after="80"/>
      </w:pPr>
      <w:r>
        <w:t>8. Kết luận</w:t>
      </w:r>
    </w:p>
    <w:p>
      <w:r>
        <w:t>Bộ dữ liệu Circulars hiện gồm 05 văn bản với tổng cộng 44 Điều được tách thành 44 tệp PDF. Cấu trúc giữa các văn bản không hoàn toàn đồng nhất: có văn bản không chia Chương, có văn bản chia nhiều Chương, nhiều Điều/khoản bị ngắt qua trang và có trường hợp dẫn chiếu hoặc sửa đổi Điều của văn bản khác. Vì vậy pipeline cần nhận diện cấu trúc theo nội dung pháp lý thay vì dựa vào số trang, đồng thời duy trì liên kết 1 Điều ↔ 1 tệp PDF ↔ 1 dòng metadata.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