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γ</m:t>
        </m:r>
      </m:oMath>
      <w:r>
        <w:t xml:space="preserve"> after formula with additional ordinary prose continuing across several lines.</w:t>
      </w:r>
    </w:p>
    <w:p>
      <w:r>
        <w:t>Following prose.</w:t>
      </w:r>
    </w:p>
    <w:sectPr>
      <w:pgSz w:w="12240" w:h="15840"/>
      <w:pgMar w:top="1440" w:bottom="1440" w:left="1440" w:right="80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