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3000"/>
        <w:gridCol w:w="3000"/>
      </w:tblGrid>
      <w:tr>
        <w:tc>
          <w:tcPr>
            <w:tcW w:w="3000" w:type="dxa"/>
            <w:vAlign w:val="top"/>
          </w:tcPr>
          <w:p>
            <w:r>
              <w:t>Public adjacent cell.</w:t>
            </w:r>
          </w:p>
        </w:tc>
        <w:tc>
          <w:tcPr>
            <w:tcW w:w="3000" w:type="dxa"/>
            <w:vAlign w:val="top"/>
          </w:tcPr>
          <w:p>
            <ns0:oMathPara xmlns:ns0="http://schemas.openxmlformats.org/officeDocument/2006/math">
              <ns0:oMath>
                <ns0:f>
                  <ns0:num>
                    <ns0:r>
                      <w:rPr>
                        <w:rFonts w:ascii="Cambria Math" w:hAnsi="Cambria Math"/>
                      </w:rPr>
                      <ns0:t xml:space="preserve">x</ns0:t>
                    </ns0:r>
                    <ns0:r>
                      <w:rPr>
                        <w:rFonts w:ascii="Cambria Math" w:hAnsi="Cambria Math"/>
                      </w:rPr>
                      <ns0:t xml:space="preserve">+</ns0:t>
                    </ns0:r>
                    <ns0:r>
                      <w:rPr>
                        <w:rFonts w:ascii="Cambria Math" w:hAnsi="Cambria Math"/>
                      </w:rPr>
                      <ns0:t xml:space="preserve">2</ns0:t>
                    </ns0:r>
                  </ns0:num>
                  <ns0:den>
                    <ns0:r>
                      <w:rPr>
                        <w:rFonts w:ascii="Cambria Math" w:hAnsi="Cambria Math"/>
                      </w:rPr>
                      <ns0:t xml:space="preserve">y</ns0:t>
                    </ns0:r>
                  </ns0:den>
                </ns0:f>
              </ns0:oMath>
            </ns0:oMathPara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