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ody>
    <w:p>
      <m:oMathPara>
        <m:oMath>
          <m:f>
            <m:num>
              <m:sSubSup>
                <m:e>
                  <m:r>
                    <w:rPr>
                      <w:rFonts w:ascii="Cambria Math" w:hAnsi="Cambria Math"/>
                    </w:rPr>
                    <m:t xml:space="preserve">α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num>
            <m:den>
              <m:r>
                <m:t>y</m:t>
              </m:r>
            </m:den>
          </m:f>
        </m:oMath>
      </m:oMathPara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2:inline>
            <ns2:extent cx="457200" cy="228600"/>
            <ns2:docPr id="1" name="Public trend illustration"/>
            <ns3:graphic>
              <ns3:graphicData uri="http://schemas.openxmlformats.org/drawingml/2006/picture">
                <ns4:pic>
                  <ns4:nvPicPr>
                    <ns4:cNvPr id="1" name="Public trend illustration"/>
                    <ns4:cNvPicPr/>
                  </ns4:nvPicPr>
                  <ns4:blipFill>
                    <ns3:blip ns5:embed="image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57200" cy="2286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