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f>
            <m:num>
              <m:r>
                <m:t>x+2</m:t>
              </m:r>
            </m:num>
            <m:den>
              <m:sSubSup>
                <m:e>
                  <m:r>
                    <w:rPr>
                      <w:rFonts w:ascii="Cambria Math" w:hAnsi="Cambria Math"/>
                    </w:rPr>
                    <m:t xml:space="preserve">α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den>
          </m:f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