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Top.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Alphá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AfterAlpha.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AfterBravo.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0" ns0:after="0" ns0:line="400" ns0:lineRule="atLeast"/>
      </ns0:pPr>
      <ns0:r>
        <ns0:rPr>
          <ns0:rFonts ns0:ascii="Calibri" ns0:hAnsi="Calibri"/>
          <ns0:sz ns0:val="24"/>
        </ns0:rPr>
        <ns0:t>Public minimum AfterDelta. AV To WA.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