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8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  <ns0:gridCol ns0:w="24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rPr>
                <ns0:sz ns0:val="22"/>
              </ns0:rPr>
              <ns0:t>Public merged prose keeps its source ordered across a shared row frame. A second sentence continues through the same merged source.</ns0:t>
            </ns0:r>
          </ns0:p>
        </ns0:tc>
        <ns0:tc>
          <ns0:tcPr>
            <ns0:tcW ns0:w="2400" ns0:type="dxa"/>
          </ns0:tcPr>
          <ns0:p>
            <ns0:r>
              <ns0:t>Side row 1.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  <ns0:tc>
          <ns0:tcPr>
            <ns0:tcW ns0:w="2400" ns0:type="dxa"/>
          </ns0:tcPr>
          <ns0:p>
            <ns0:r>
              <ns0:t>Side row 2.</ns0:t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