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  <ns0:Override PartName="/word/inactive-first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first" ns1:id="rInactiveStatic"/>
      <ns0:footnotePr>
        <ns0:pos ns0:val="pageBottom"/>
        <ns0:numFmt ns0:val="decimalZero"/>
        <ns0:numStart ns0:val="9"/>
        <ns0:numRestart ns0:val="eachPage"/>
      </ns0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inactive-first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tbl>
    <ns0:tblPr>
      <ns0:tblW ns0:w="6000" ns0:type="dxa"/>
      <ns0:tblLayout ns0:type="fixed"/>
      <ns0:tblCellMar>
        <ns0:top ns0:w="0" ns0:type="dxa"/>
        <ns0:bottom ns0:w="0" ns0:type="dxa"/>
        <ns0:left ns0:w="20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 xml:space="preserve">Before inline </ns0:t>
                            </ns0:r>
                            <ns4:oMath>
                              <ns4:f>
                                <ns4:num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x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+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2</ns4:t>
                                  </ns4:r>
                                </ns4:num>
                                <ns4:den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y</ns4:t>
                                  </ns4:r>
                                </ns4:den>
                              </ns4:f>
                            </ns4:oMath>
                            <ns0:r>
                              <ns0:t xml:space="preserve"> after equation.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</ns0:p>
      </ns0:tc>
    </ns0:tr>
  </ns0:tbl>
</ns0:hdr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ns0:Relationship Id="rInactiveStatic" Target="inactive-first-header.xml" Type="http://schemas.openxmlformats.org/officeDocument/2006/relationships/header" /></ns0:Relationships>
</file>