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2"/>
        </ns0:rPr>
        <ns0:t>Leading paragraph.</ns0:t>
      </ns0:r>
    </ns0:p>
    <ns0:tbl>
      <ns0:tblPr>
        <ns0:tblW ns0:w="9360" ns0:type="dxa"/>
        <ns0:tblLayout ns0:type="fixed"/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t>Observed series.</ns0:t>
            </ns0:r>
          </ns0:p>
        </ns0:tc>
        <ns0:tc>
          <ns0:tcPr>
            <ns0:tcW ns0:w="4680" ns0:type="dxa"/>
          </ns0:tcPr>
          <ns0:p>
            <ns1:oMath>
              <ns1:f>
                <ns1:num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time</ns1:t>
                  </ns1:r>
                </ns1:den>
              </ns1:f>
            </ns1:oMath>
            <ns0:r>
              <ns0:rPr>
                <ns0:rFonts ns0:ascii="Arial" ns0:hAnsi="Arial"/>
                <ns0:sz ns0:val="22"/>
                <ns0:vertAlign ns0:val="superscript"/>
              </ns0:rPr>
              <ns0:footnoteReference ns0:id="1"/>
            </ns0:r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  <ns0:footnotePr>
        <ns0:numRestart ns0:val="continuous"/>
      </ns0:footnotePr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footnotes" Target="footnotes.xml" /></ns0:Relationships>
</file>