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 w:line="276" w:lineRule="auto"/>
      </w:pPr>
      <w:r>
        <w:rPr>
          <w:rFonts w:ascii="Calibri" w:hAnsi="Calibri"/>
          <w:sz w:val="20"/>
          <w:color w:val="333333"/>
        </w:rPr>
        <w:t>Compact spacing lead paragraph establishes the inherited automatic line pitch.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First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Second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Third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Fourth compact item</w:t>
      </w:r>
    </w:p>
    <w:p>
      <w:pPr>
        <w:spacing w:before="36" w:after="0" w:line="276" w:lineRule="auto"/>
      </w:pPr>
      <w:r>
        <w:rPr>
          <w:rFonts w:ascii="Calibri" w:hAnsi="Calibri"/>
          <w:sz w:val="20"/>
          <w:color w:val="333333"/>
        </w:rPr>
        <w:t>Fifth compact item</w:t>
      </w:r>
    </w:p>
    <w:sectPr>
      <w:pgSz w:w="11900" w:h="16840"/>
      <w:pgMar w:top="1440" w:right="1440" w:bottom="1440" w:left="1440"/>
    </w:sectPr>
  </w:body>
</w:document>
</file>