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Second public paragraph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after the second marker.</ns0:t>
      </ns0:r>
    </ns0:p>
    <ns0:sectPr>
      <ns0:pgSz ns0:w="12240" ns0:h="15840"/>
      <ns0:pgMar ns0:top="1440" ns0:right="1440" ns0:bottom="1440" ns0:left="1440" ns0:header="720" ns0:footer="720"/>
      <ns0:footnotePr>
        <ns0:pos ns0:val="pageBottom"/>
      </ns0:footnotePr>
      <ns0:endnotePr>
        <ns0:pos ns0:val="docEnd"/>
      </ns0:endnotePr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footnote 1 destination text.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footnote 2 destination text.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