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footer.xml" ContentType="application/vnd.openxmlformats-officedocument.wordprocessingml.footer+xml"/>
  <ns0:Override PartName="/word/inactive-even-footer.xml" ContentType="application/vnd.openxmlformats-officedocument.wordprocessingml.foot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footerReference ns0:type="even" ns1:id="rInactiveStatic"/>
      <ns0:footerReference ns0:type="default" ns1:id="rPassiveBodyFooter"/>
      <ns0:pgSz ns0:w="12240" ns0:h="15840"/>
      <ns0:pgMar ns0:top="1440" ns0:right="1440" ns0:bottom="1440" ns0:left="1440" ns0:header="720" ns0:footer="720"/>
    </ns0:sectPr>
  </ns0:body>
</ns0:document>
</file>

<file path=word/inactive-even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ftr>
</file>

<file path=word/passive-body-footer.xml><?xml version="1.0" encoding="utf-8"?>
<ns0:ft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footer.</ns0:t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Footer" Target="passive-body-footer.xml" Type="http://schemas.openxmlformats.org/officeDocument/2006/relationships/footer" /><ns0:Relationship Id="rInactiveStatic" Target="inactive-even-footer.xml" Type="http://schemas.openxmlformats.org/officeDocument/2006/relationships/footer" /></ns0:Relationships>
</file>